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F721" w14:textId="4BBF0681" w:rsidR="00850198" w:rsidRPr="006F42AB" w:rsidRDefault="007A4CD3" w:rsidP="00F4737E">
      <w:pPr>
        <w:pStyle w:val="Bezmezer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Metodika</w:t>
      </w:r>
      <w:r w:rsidR="00000FE5" w:rsidRPr="00EF64A9">
        <w:rPr>
          <w:rFonts w:ascii="Times New Roman" w:hAnsi="Times New Roman"/>
          <w:b/>
          <w:sz w:val="36"/>
          <w:szCs w:val="36"/>
        </w:rPr>
        <w:t xml:space="preserve"> </w:t>
      </w:r>
      <w:bookmarkStart w:id="0" w:name="_Hlk115349365"/>
      <w:r w:rsidR="00000FE5" w:rsidRPr="00EF64A9">
        <w:rPr>
          <w:rFonts w:ascii="Times New Roman" w:hAnsi="Times New Roman"/>
          <w:b/>
          <w:sz w:val="36"/>
          <w:szCs w:val="36"/>
        </w:rPr>
        <w:t xml:space="preserve">pro řešení růstu cen stavebních materiálů na stavbách dopravní </w:t>
      </w:r>
      <w:r w:rsidR="00B26C8B" w:rsidRPr="00EF64A9">
        <w:rPr>
          <w:rFonts w:ascii="Times New Roman" w:hAnsi="Times New Roman"/>
          <w:b/>
          <w:sz w:val="36"/>
          <w:szCs w:val="36"/>
        </w:rPr>
        <w:t xml:space="preserve">a vodní </w:t>
      </w:r>
      <w:r w:rsidR="00000FE5" w:rsidRPr="00EF64A9">
        <w:rPr>
          <w:rFonts w:ascii="Times New Roman" w:hAnsi="Times New Roman"/>
          <w:b/>
          <w:sz w:val="36"/>
          <w:szCs w:val="36"/>
        </w:rPr>
        <w:t>infrastruktury</w:t>
      </w:r>
      <w:bookmarkEnd w:id="0"/>
      <w:r w:rsidR="00F4737E" w:rsidRPr="006F42AB">
        <w:rPr>
          <w:rFonts w:ascii="Times New Roman" w:hAnsi="Times New Roman"/>
          <w:b/>
          <w:sz w:val="36"/>
          <w:szCs w:val="36"/>
        </w:rPr>
        <w:t xml:space="preserve"> </w:t>
      </w:r>
    </w:p>
    <w:p w14:paraId="60DB858D" w14:textId="77777777" w:rsidR="00F67647" w:rsidRPr="006F42AB" w:rsidRDefault="00F67647" w:rsidP="00637828">
      <w:pPr>
        <w:pStyle w:val="Bezmezer"/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609F66E2" w14:textId="77777777" w:rsidR="00D26D01" w:rsidRPr="00AB3D26" w:rsidRDefault="00D26D01" w:rsidP="00000F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B3D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Úvod</w:t>
      </w:r>
    </w:p>
    <w:p w14:paraId="5E3AE52F" w14:textId="77777777" w:rsidR="00334EC0" w:rsidRDefault="00000FE5" w:rsidP="00000F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metodika je vydávána v souvislosti se skutečností</w:t>
      </w:r>
      <w:r w:rsid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významného nárůstu cen vybraných </w:t>
      </w:r>
      <w:r w:rsidR="007516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stavebních </w:t>
      </w:r>
      <w:r w:rsid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materiálů potřebných pro výstavbu inženýrských staveb, ke kterému </w:t>
      </w:r>
      <w:r w:rsidR="00A60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dochází </w:t>
      </w:r>
      <w:r w:rsid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nejvyšší míře zejména od </w:t>
      </w:r>
      <w:r w:rsidR="00334EC0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začátku</w:t>
      </w:r>
      <w:r w:rsidR="009D20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29AF">
        <w:rPr>
          <w:rFonts w:ascii="Times New Roman" w:eastAsia="Times New Roman" w:hAnsi="Times New Roman" w:cs="Times New Roman"/>
          <w:sz w:val="24"/>
          <w:szCs w:val="24"/>
          <w:lang w:eastAsia="cs-CZ"/>
        </w:rPr>
        <w:t>roku 202</w:t>
      </w:r>
      <w:r w:rsidR="00334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(viz obrázek </w:t>
      </w:r>
      <w:proofErr w:type="gramStart"/>
      <w:r w:rsidR="00334EC0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- index</w:t>
      </w:r>
      <w:proofErr w:type="gramEnd"/>
      <w:r w:rsidR="00334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 průmyslových výrobců),</w:t>
      </w:r>
      <w:r w:rsidR="007516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 tím související potřebou </w:t>
      </w:r>
      <w:r w:rsidR="009D20D8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 jednotného postupu při řešení této skutečnosti.</w:t>
      </w:r>
      <w:r w:rsidR="00334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772A4C" w14:textId="77777777" w:rsidR="000E558F" w:rsidRDefault="00334EC0" w:rsidP="00000F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A1D484" wp14:editId="6B62B407">
            <wp:extent cx="4808220" cy="29590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sionChart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12" cy="296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E6081" w14:textId="77777777" w:rsidR="008A229C" w:rsidRDefault="00334EC0" w:rsidP="00000F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12" w:history="1">
        <w:r w:rsidRPr="00334EC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Ceny výrobců | ČSÚ (czso.cz)</w:t>
        </w:r>
      </w:hyperlink>
    </w:p>
    <w:p w14:paraId="68E905DC" w14:textId="77777777" w:rsidR="00334EC0" w:rsidRDefault="00334EC0" w:rsidP="00000F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92B053" w14:textId="77777777" w:rsidR="008A229C" w:rsidRPr="008A229C" w:rsidRDefault="008A229C" w:rsidP="00000F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Pravděpodobné příčiny nepředpokládaného růstu cen</w:t>
      </w:r>
    </w:p>
    <w:p w14:paraId="6C832D1A" w14:textId="316A913E" w:rsidR="000E558F" w:rsidRPr="000E558F" w:rsidRDefault="000E558F" w:rsidP="000E55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vní „významnou poruchu“ trhu, mající vliv na růst cen, </w:t>
      </w:r>
      <w:r w:rsidRP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>lze spatřovat v období vypuknutí a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následně probíhající celosvětové pandemie COVID-19, kdy prokazatelně došlo jak k omezení výrobních kapacit vlivem národních karanténních opatření, tak i k omezení celosvětové přepravy výrobků/zboží a s tím spojeným významným růstem cen za přepravu zboží a materiálů (viz obr. níže). Uvedené se zejména týkalo (nikoliv však výhradně) námořní přepravy. Důsledkem byl růst cen</w:t>
      </w:r>
      <w:r w:rsidR="000501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vstupů do staveb, komodit a materiálů.</w:t>
      </w:r>
      <w:r w:rsidRP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>Evropě se nový </w:t>
      </w:r>
      <w:r w:rsidRPr="000E55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koronavirus</w:t>
      </w:r>
      <w:r w:rsidRPr="000E55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objevil 24. ledna 2020, kdy první případy nákazy oznámila Francie. </w:t>
      </w:r>
    </w:p>
    <w:p w14:paraId="7F662D30" w14:textId="77777777" w:rsidR="000E558F" w:rsidRDefault="000E558F" w:rsidP="00252BD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5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Světová lodní doprava trpěla rovněž v roce 2021 dalšími jednorázovými </w:t>
      </w:r>
      <w:r w:rsidR="00334E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negativními </w:t>
      </w:r>
      <w:r w:rsidRPr="000E55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vlivy</w:t>
      </w:r>
      <w:r w:rsidR="005429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34EC0">
        <w:rPr>
          <w:rFonts w:ascii="Times New Roman" w:eastAsia="Times New Roman" w:hAnsi="Times New Roman" w:cs="Times New Roman"/>
          <w:sz w:val="24"/>
          <w:szCs w:val="24"/>
          <w:lang w:eastAsia="cs-CZ"/>
        </w:rPr>
        <w:t>kdy</w:t>
      </w:r>
      <w:r w:rsidR="005429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vlivy měly </w:t>
      </w:r>
      <w:r w:rsid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negativní </w:t>
      </w:r>
      <w:r w:rsidR="005429AF">
        <w:rPr>
          <w:rFonts w:ascii="Times New Roman" w:eastAsia="Times New Roman" w:hAnsi="Times New Roman" w:cs="Times New Roman"/>
          <w:sz w:val="24"/>
          <w:szCs w:val="24"/>
          <w:lang w:eastAsia="cs-CZ"/>
        </w:rPr>
        <w:t>dopad do cen přepravy zboží (materiálů)</w:t>
      </w:r>
      <w:r w:rsid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gramStart"/>
      <w:r w:rsid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</w:t>
      </w:r>
      <w:r w:rsidR="006F42AB" w:rsidRPr="006F42AB">
        <w:t xml:space="preserve"> </w:t>
      </w:r>
      <w:proofErr w:type="spellStart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>Freightos</w:t>
      </w:r>
      <w:proofErr w:type="spellEnd"/>
      <w:proofErr w:type="gramEnd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>Baltic</w:t>
      </w:r>
      <w:proofErr w:type="spellEnd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Index (FBX): </w:t>
      </w:r>
      <w:proofErr w:type="spellStart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Container</w:t>
      </w:r>
      <w:proofErr w:type="spellEnd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>Freight</w:t>
      </w:r>
      <w:proofErr w:type="spellEnd"/>
      <w:r w:rsidR="006F42AB" w:rsidRP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Index</w:t>
      </w:r>
      <w:r w:rsidR="006F42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E07643" w14:textId="77777777" w:rsidR="006F42AB" w:rsidRDefault="006F42AB" w:rsidP="00252BD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4A155D9" wp14:editId="7C672F7C">
            <wp:extent cx="4823460" cy="27279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10" cy="272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AA80" w14:textId="77777777" w:rsidR="006F42AB" w:rsidRPr="00C6272C" w:rsidRDefault="006F42AB" w:rsidP="006F4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</w:t>
      </w:r>
      <w:r w:rsidRPr="00B76839">
        <w:rPr>
          <w:rFonts w:ascii="Times New Roman" w:hAnsi="Times New Roman" w:cs="Times New Roman"/>
          <w:sz w:val="24"/>
          <w:szCs w:val="24"/>
        </w:rPr>
        <w:t>https://fbx.freightos.com/</w:t>
      </w:r>
    </w:p>
    <w:p w14:paraId="7B0AD93F" w14:textId="77777777" w:rsidR="008A229C" w:rsidRDefault="006F42AB" w:rsidP="009D3F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Důsledkem</w:t>
      </w:r>
      <w:r w:rsidR="009D3F13"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logistických problémů bylo, že vzrostly ceny i u položek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materiálů/zboží</w:t>
      </w:r>
      <w:r w:rsidR="009D3F13"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</w:t>
      </w:r>
      <w:r w:rsidR="00CB17DD"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nezaznamenaly zvýšenou poptávku, přičemž u položek, </w:t>
      </w:r>
      <w:r w:rsidR="009D3F13"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>u kterých byla zvýšená poptávka zaznamenána</w:t>
      </w:r>
      <w:r w:rsidR="00CB17DD"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dříve</w:t>
      </w:r>
      <w:r w:rsidR="009D3F13"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došlo ještě k výraznějšímu růstu cen. </w:t>
      </w:r>
    </w:p>
    <w:p w14:paraId="6A3D43B0" w14:textId="124EF3BE" w:rsidR="009D3F13" w:rsidRPr="00252BD7" w:rsidRDefault="009D3F13" w:rsidP="009D3F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>Konečně za další příčinu růstu cen lze spatřovat ve válečném konfliktu na Ukrajině, který byl zahájen dne 24. 2. 2022</w:t>
      </w:r>
      <w:r w:rsidR="000501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5651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kterým je</w:t>
      </w:r>
      <w:r w:rsidR="000501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mj. </w:t>
      </w:r>
      <w:r w:rsidR="00E46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spojena </w:t>
      </w:r>
      <w:r w:rsidR="000501AE">
        <w:rPr>
          <w:rFonts w:ascii="Times New Roman" w:eastAsia="Times New Roman" w:hAnsi="Times New Roman" w:cs="Times New Roman"/>
          <w:sz w:val="24"/>
          <w:szCs w:val="24"/>
          <w:lang w:eastAsia="cs-CZ"/>
        </w:rPr>
        <w:t>světová sankční politika vůči Rusku.</w:t>
      </w:r>
      <w:r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B5AB63E" w14:textId="77777777" w:rsidR="009D3F13" w:rsidRPr="00252BD7" w:rsidRDefault="009D3F13" w:rsidP="009D3F13">
      <w:pPr>
        <w:keepNext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>Lze shrnout, že abnormální a nepředvídatelný růst cen</w:t>
      </w:r>
      <w:r w:rsidR="00CB17DD"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ke kterému dochází od roku 2021, </w:t>
      </w:r>
      <w:r w:rsidRPr="00252BD7">
        <w:rPr>
          <w:rFonts w:ascii="Times New Roman" w:eastAsia="Times New Roman" w:hAnsi="Times New Roman" w:cs="Times New Roman"/>
          <w:sz w:val="24"/>
          <w:szCs w:val="24"/>
          <w:lang w:eastAsia="cs-CZ"/>
        </w:rPr>
        <w:t>kumulativně způsobily tyto faktory:</w:t>
      </w:r>
    </w:p>
    <w:p w14:paraId="720E334D" w14:textId="630090EE" w:rsidR="009D3F13" w:rsidRDefault="009D3F13" w:rsidP="009D3F13">
      <w:pPr>
        <w:pStyle w:val="Odstavecseseznamem"/>
        <w:keepNext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Propuknutí celosvětové pandemie COVID-19 a s tím spojená restriktivní opatření </w:t>
      </w:r>
      <w:r w:rsidR="00E461CA">
        <w:rPr>
          <w:rFonts w:ascii="Times New Roman" w:hAnsi="Times New Roman" w:cs="Times New Roman"/>
          <w:sz w:val="24"/>
          <w:szCs w:val="24"/>
        </w:rPr>
        <w:t xml:space="preserve">zavedená </w:t>
      </w:r>
      <w:r>
        <w:rPr>
          <w:rFonts w:ascii="Times New Roman" w:hAnsi="Times New Roman" w:cs="Times New Roman"/>
          <w:sz w:val="24"/>
          <w:szCs w:val="24"/>
        </w:rPr>
        <w:t xml:space="preserve">jednotlivými vládami světa. </w:t>
      </w:r>
    </w:p>
    <w:p w14:paraId="25D2F574" w14:textId="77777777" w:rsidR="009D3F13" w:rsidRDefault="009D3F13" w:rsidP="009D3F13">
      <w:pPr>
        <w:pStyle w:val="Odstavecseseznamem"/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F2CF2" w14:textId="77777777" w:rsidR="009D3F13" w:rsidRDefault="009D3F13" w:rsidP="009D3F13">
      <w:pPr>
        <w:pStyle w:val="Odstavecseseznamem"/>
        <w:keepNext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Omezení/utlumení mezinárodní lodní dopravy – přepravy materiálů / výrobků. </w:t>
      </w:r>
    </w:p>
    <w:p w14:paraId="2C0C1688" w14:textId="77777777" w:rsidR="009D3F13" w:rsidRPr="00C6272C" w:rsidRDefault="009D3F13" w:rsidP="009D3F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6C93858" w14:textId="77777777" w:rsidR="009D3F13" w:rsidRDefault="009D3F13" w:rsidP="009D3F13">
      <w:pPr>
        <w:pStyle w:val="Odstavecseseznamem"/>
        <w:keepNext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Významné zvýšení cen přepravy – zejména v mezinárodní lodní dopravě. </w:t>
      </w:r>
    </w:p>
    <w:p w14:paraId="5083791C" w14:textId="77777777" w:rsidR="009D3F13" w:rsidRPr="00C6272C" w:rsidRDefault="009D3F13" w:rsidP="009D3F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CA0BA6" w14:textId="6157F535" w:rsidR="009D3F13" w:rsidRDefault="009D3F13" w:rsidP="009D3F13">
      <w:pPr>
        <w:pStyle w:val="Odstavecseseznamem"/>
        <w:keepNext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Růst poptávky související s detekovaným růstem cen (a následně růstem inflace) ze</w:t>
      </w:r>
      <w:r w:rsidR="008B52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strany kupujících spojený s kumulací volného/disp</w:t>
      </w:r>
      <w:r w:rsidR="00CB17DD">
        <w:rPr>
          <w:rFonts w:ascii="Times New Roman" w:hAnsi="Times New Roman" w:cs="Times New Roman"/>
          <w:sz w:val="24"/>
          <w:szCs w:val="24"/>
        </w:rPr>
        <w:t>onibilního finančního kapitálu a</w:t>
      </w:r>
      <w:r w:rsidR="008B52F5">
        <w:rPr>
          <w:rFonts w:ascii="Times New Roman" w:hAnsi="Times New Roman" w:cs="Times New Roman"/>
          <w:sz w:val="24"/>
          <w:szCs w:val="24"/>
        </w:rPr>
        <w:t> </w:t>
      </w:r>
      <w:r w:rsidR="00CB17DD">
        <w:rPr>
          <w:rFonts w:ascii="Times New Roman" w:hAnsi="Times New Roman" w:cs="Times New Roman"/>
          <w:sz w:val="24"/>
          <w:szCs w:val="24"/>
        </w:rPr>
        <w:t>nízkou cenou peněz.</w:t>
      </w:r>
    </w:p>
    <w:p w14:paraId="082DCF67" w14:textId="77777777" w:rsidR="009D3F13" w:rsidRPr="00C6272C" w:rsidRDefault="009D3F13" w:rsidP="009D3F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07A4BB4" w14:textId="4E688712" w:rsidR="009D3F13" w:rsidRPr="00C6272C" w:rsidRDefault="009D3F13" w:rsidP="009D3F13">
      <w:pPr>
        <w:pStyle w:val="Odstavecseseznamem"/>
        <w:keepNext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válečného konfliktu na Ukrajině a s tím </w:t>
      </w:r>
      <w:r w:rsidR="005651C0">
        <w:rPr>
          <w:rFonts w:ascii="Times New Roman" w:hAnsi="Times New Roman" w:cs="Times New Roman"/>
          <w:sz w:val="24"/>
          <w:szCs w:val="24"/>
        </w:rPr>
        <w:t xml:space="preserve">spojené </w:t>
      </w:r>
      <w:r>
        <w:rPr>
          <w:rFonts w:ascii="Times New Roman" w:hAnsi="Times New Roman" w:cs="Times New Roman"/>
          <w:sz w:val="24"/>
          <w:szCs w:val="24"/>
        </w:rPr>
        <w:t>snížení nabídky vybraných materiálů/výrobků (ale i pracovní síly).</w:t>
      </w:r>
    </w:p>
    <w:p w14:paraId="4EB71573" w14:textId="77777777" w:rsidR="008A229C" w:rsidRDefault="008A229C" w:rsidP="009D3F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BECD8B" w14:textId="77777777" w:rsidR="008A229C" w:rsidRDefault="008A229C" w:rsidP="009D3F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03580" w14:textId="369C756A" w:rsidR="006F42AB" w:rsidRPr="00942B0C" w:rsidRDefault="006F42AB" w:rsidP="009D3F1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42B0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</w:t>
      </w:r>
      <w:r w:rsidR="00942B0C" w:rsidRPr="00942B0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opady růstu cen na realizaci staveb v resortu Ministerstva dopravy</w:t>
      </w:r>
      <w:r w:rsidR="00E16E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ČR</w:t>
      </w:r>
    </w:p>
    <w:p w14:paraId="3E712779" w14:textId="2E2EE5A7" w:rsidR="009D3F13" w:rsidRDefault="009D3F13" w:rsidP="009D3F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důsledku výše popsaného nárůstu cen vybraných komodit/materiálů potřebných pro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infrastrukturních staveb se na </w:t>
      </w:r>
      <w:r w:rsidR="00000FE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resortní organizace Ministerstva dopravy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</w:t>
      </w:r>
      <w:r w:rsidR="00000FE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0FE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(tj.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00FE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Ředitelství silnic a</w:t>
      </w:r>
      <w:r w:rsidR="00B42E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00FE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dálnic ČR, Správ</w:t>
      </w:r>
      <w:r w:rsidR="00E5240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00FE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železnic,</w:t>
      </w:r>
      <w:r w:rsidR="00E52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 organizaci,</w:t>
      </w:r>
      <w:r w:rsidR="00000FE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Ředitelství vodních cest) obrátili zhotovitelé dle příslušných smluv o dílo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žádostmi </w:t>
      </w:r>
      <w:r w:rsidR="005651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změny uzavřených smluv spočívající v navýšení ceny o dílo. </w:t>
      </w:r>
    </w:p>
    <w:p w14:paraId="16041ABC" w14:textId="6977AED2" w:rsidR="009D3F13" w:rsidRDefault="00000FE5" w:rsidP="009D3F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ke skutečnosti, že Ministerstvo dopravy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je vědomo, že v určitých odůvodněných případech </w:t>
      </w:r>
      <w:r w:rsidR="009D3F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</w:t>
      </w:r>
      <w:r w:rsidR="009D3F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mohou </w:t>
      </w:r>
      <w:r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být </w:t>
      </w:r>
      <w:r w:rsidR="009D3F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uvedené skutečnosti</w:t>
      </w:r>
      <w:r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příčinou významných cenových výkyvů vybraných komodit na trhu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včetně některých vstupů pro realizaci jednotlivých děl, vyvstala 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pohledu Ministerstva dopravy 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ČR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nutnost sjednocení </w:t>
      </w:r>
      <w:r w:rsidR="00B72251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B72251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uvedených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resortních organizací, jako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>žto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Objednatelů jednotlivých kontraktů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i s ohledem k naplnění principů </w:t>
      </w:r>
      <w:r w:rsidR="00673F54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hospodárn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>osti</w:t>
      </w:r>
      <w:r w:rsidR="00673F54">
        <w:rPr>
          <w:rFonts w:ascii="Times New Roman" w:eastAsia="Times New Roman" w:hAnsi="Times New Roman" w:cs="Times New Roman"/>
          <w:sz w:val="24"/>
          <w:szCs w:val="24"/>
          <w:lang w:eastAsia="cs-CZ"/>
        </w:rPr>
        <w:t>, efektivn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>osti</w:t>
      </w:r>
      <w:r w:rsidR="00673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účeln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>osti</w:t>
      </w:r>
      <w:r w:rsidR="00924D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(tzv. 3E)</w:t>
      </w:r>
      <w:r w:rsidR="00B72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682669B" w14:textId="692BF0B6" w:rsidR="00000FE5" w:rsidRPr="00AB3D26" w:rsidRDefault="00000FE5" w:rsidP="009D3F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Za jednu ze zásadních příčin cenových výkyvů vybraných komodit (především oceli, železa a</w:t>
      </w:r>
      <w:r w:rsidR="00B42E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výrobků z oceli a železa, asfaltových směsí) je přitom třeba považovat i </w:t>
      </w:r>
      <w:r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nedostatek vybraných komodit na relevantním trhu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samo o sobě </w:t>
      </w:r>
      <w:proofErr w:type="gramStart"/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</w:t>
      </w:r>
      <w:proofErr w:type="gramEnd"/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významné riziko pro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realizaci staveb. </w:t>
      </w:r>
    </w:p>
    <w:p w14:paraId="43A706A6" w14:textId="59B8C113" w:rsidR="00000FE5" w:rsidRPr="00673F54" w:rsidRDefault="00000FE5" w:rsidP="00000F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se </w:t>
      </w:r>
      <w:r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snahou minimalizovat dopady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probíhajícího a toho času intenzivního </w:t>
      </w:r>
      <w:r w:rsidR="009D3F13">
        <w:rPr>
          <w:rFonts w:ascii="Times New Roman" w:eastAsia="Times New Roman" w:hAnsi="Times New Roman" w:cs="Times New Roman"/>
          <w:sz w:val="24"/>
          <w:szCs w:val="24"/>
          <w:lang w:eastAsia="cs-CZ"/>
        </w:rPr>
        <w:t>nárůstu cen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realizaci jednotlivých staveb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651C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předej</w:t>
      </w:r>
      <w:r w:rsidR="005651C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5651C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potenciálnímu riziku </w:t>
      </w:r>
      <w:r w:rsidR="005651C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spočívající</w:t>
      </w:r>
      <w:r w:rsidR="005651C0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="005651C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komplikacích a v extrémních případech </w:t>
      </w:r>
      <w:r w:rsidR="005651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5651C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potenciální</w:t>
      </w:r>
      <w:r w:rsidR="005651C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651C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znemožnění realizace některých staveb je Ministerstvo dopravy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resortní organizace, v odůvodněných případech připraveno zajistit možnost další </w:t>
      </w:r>
      <w:r w:rsidRPr="00673F54">
        <w:rPr>
          <w:rFonts w:ascii="Times New Roman" w:eastAsia="Times New Roman" w:hAnsi="Times New Roman" w:cs="Times New Roman"/>
          <w:sz w:val="24"/>
          <w:szCs w:val="24"/>
          <w:lang w:eastAsia="cs-CZ"/>
        </w:rPr>
        <w:t>bezproblémové realizac</w:t>
      </w:r>
      <w:r w:rsidR="00A52508" w:rsidRPr="00673F5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73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staveb prostřednictvím nutných změn v rámci smluvních vztahů. </w:t>
      </w:r>
    </w:p>
    <w:p w14:paraId="79B6ECF0" w14:textId="1402FFCD" w:rsidR="009B340C" w:rsidRDefault="00000FE5" w:rsidP="00000F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Za hospodárné, účelné a efektivní se dá v případě aktuální situace považovat především rychlé, předvídatelné a transparentní stanovení</w:t>
      </w:r>
      <w:r w:rsidR="00673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základních podmínek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4D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694D6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možn</w:t>
      </w:r>
      <w:r w:rsidR="00694D6D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694D6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 w:rsidR="00694D6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smluvních vztahů </w:t>
      </w:r>
      <w:r w:rsidR="00924D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naplňujících rovněž principy 3E,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 nutnost v odůvodněných případech přímo souvisí s</w:t>
      </w:r>
      <w:r w:rsidR="009B340C">
        <w:rPr>
          <w:rFonts w:ascii="Times New Roman" w:eastAsia="Times New Roman" w:hAnsi="Times New Roman" w:cs="Times New Roman"/>
          <w:sz w:val="24"/>
          <w:szCs w:val="24"/>
          <w:lang w:eastAsia="cs-CZ"/>
        </w:rPr>
        <w:t> významným</w:t>
      </w:r>
      <w:r w:rsidR="0070443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340C">
        <w:rPr>
          <w:rFonts w:ascii="Times New Roman" w:eastAsia="Times New Roman" w:hAnsi="Times New Roman" w:cs="Times New Roman"/>
          <w:sz w:val="24"/>
          <w:szCs w:val="24"/>
          <w:lang w:eastAsia="cs-CZ"/>
        </w:rPr>
        <w:t>ná</w:t>
      </w:r>
      <w:r w:rsidR="0070443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růstem cen klíčových komodit</w:t>
      </w:r>
      <w:r w:rsidR="00014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výstavbu inženýrských děl.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9AC9CD5" w14:textId="18AF2B48" w:rsidR="009B340C" w:rsidRDefault="00000FE5" w:rsidP="00B42E3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Pro tento účel je přiměřené stanovit jednotn</w:t>
      </w:r>
      <w:r w:rsidR="008A18C5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18C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8A18C5">
        <w:rPr>
          <w:rFonts w:ascii="Times New Roman" w:eastAsia="Times New Roman" w:hAnsi="Times New Roman" w:cs="Times New Roman"/>
          <w:sz w:val="24"/>
          <w:szCs w:val="24"/>
          <w:lang w:eastAsia="cs-CZ"/>
        </w:rPr>
        <w:t>stup</w:t>
      </w:r>
      <w:r w:rsidR="008A18C5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učinění možných změn smluvních vztahů v souvislosti s výše uvedenou </w:t>
      </w:r>
      <w:r w:rsidR="009B3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nastalou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situací. Možnost aplikace </w:t>
      </w:r>
      <w:r w:rsidR="008A18C5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jednotného postupu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všechny stavby </w:t>
      </w:r>
      <w:r w:rsidR="00AB215F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veřejných zadavatelů 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B215F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železnic,</w:t>
      </w:r>
      <w:r w:rsidR="00B42E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 organizace,</w:t>
      </w:r>
      <w:r w:rsidR="00AB215F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Ředitelství silnic a dálnic ČR a</w:t>
      </w:r>
      <w:r w:rsidR="00B42E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B215F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Ředitelství vodních cest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zajišťuje transparentnost stanovení příslušných změn i</w:t>
      </w:r>
      <w:r w:rsidR="00B42E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podmínek pro jejich učinění. </w:t>
      </w:r>
    </w:p>
    <w:p w14:paraId="6E099C13" w14:textId="7B52182B" w:rsidR="00000FE5" w:rsidRPr="00984928" w:rsidRDefault="00A52508" w:rsidP="00000F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však neznamená, že by v konkrétních případech nebylo nutné </w:t>
      </w:r>
      <w:r w:rsidR="009B340C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ověřit</w:t>
      </w:r>
      <w:r w:rsidR="009B340C" w:rsidRPr="0098492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026E04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neočekávatelný nárůst cen na </w:t>
      </w:r>
      <w:r w:rsidR="00704436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konkrétní </w:t>
      </w:r>
      <w:r w:rsidR="00026E04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dotčené stavby, resp.</w:t>
      </w:r>
      <w:r w:rsidR="00704436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dokládat dopad takových okolností </w:t>
      </w:r>
      <w:r w:rsidR="009B340C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(nárůstu cen) </w:t>
      </w:r>
      <w:r w:rsidR="00704436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04436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změnu smluvních vztahů rozhodných</w:t>
      </w:r>
      <w:r w:rsidR="004372DF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způsobem, který je uveden níže</w:t>
      </w:r>
      <w:r w:rsidR="00704436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26E04" w:rsidRPr="0098492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14:paraId="01B5791F" w14:textId="77777777" w:rsidR="00704436" w:rsidRPr="00984928" w:rsidRDefault="00D26D01" w:rsidP="00000F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8492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Základní východiska</w:t>
      </w:r>
      <w:r w:rsidR="00872B1E" w:rsidRPr="0098492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pro změnu závazku ze smlouvy na veřejnou zakázku</w:t>
      </w:r>
    </w:p>
    <w:p w14:paraId="0B2F03DD" w14:textId="2048A4E3" w:rsidR="00924DB9" w:rsidRDefault="008C61DB" w:rsidP="00000FE5">
      <w:pPr>
        <w:keepNext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928">
        <w:rPr>
          <w:rFonts w:ascii="Times New Roman" w:hAnsi="Times New Roman" w:cs="Times New Roman"/>
          <w:sz w:val="24"/>
          <w:szCs w:val="24"/>
        </w:rPr>
        <w:t>S</w:t>
      </w:r>
      <w:r w:rsidR="00000FE5" w:rsidRPr="00984928">
        <w:rPr>
          <w:rFonts w:ascii="Times New Roman" w:hAnsi="Times New Roman" w:cs="Times New Roman"/>
          <w:sz w:val="24"/>
          <w:szCs w:val="24"/>
        </w:rPr>
        <w:t xml:space="preserve">myslem a účelem této metodiky je zejména </w:t>
      </w:r>
      <w:r w:rsidR="00000FE5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rychlé, efektivní, předvídatelné a transparentní stanovení </w:t>
      </w:r>
      <w:r w:rsidR="00924D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jednotných </w:t>
      </w:r>
      <w:r w:rsidR="008A18C5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</w:t>
      </w:r>
      <w:r w:rsidR="00924D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 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podmínek </w:t>
      </w:r>
      <w:r w:rsidR="00924DB9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zohledňujících principy 3E</w:t>
      </w:r>
      <w:r w:rsidR="008A18C5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možné </w:t>
      </w:r>
      <w:r w:rsidR="00000FE5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 w:rsidR="00B42E37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000FE5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smluvních vztahů, které mohou v</w:t>
      </w:r>
      <w:r w:rsidR="00A143CC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individuálně </w:t>
      </w:r>
      <w:r w:rsidR="00000FE5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odůvodněných případech přímo souviset s</w:t>
      </w:r>
      <w:r w:rsidR="00315E62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 významným nárůstem cen materiálů potřebných k realizaci díla</w:t>
      </w:r>
      <w:r w:rsidR="00000FE5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9F44340" w14:textId="0755D0C9" w:rsidR="00000FE5" w:rsidRPr="00AB3D26" w:rsidRDefault="00000FE5" w:rsidP="00CA5C3A">
      <w:pPr>
        <w:keepNext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tímto účelem došlo na základě uplatněných oznámení 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16EDC"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hotovitelů </w:t>
      </w:r>
      <w:r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 a</w:t>
      </w:r>
      <w:r w:rsidR="008959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provedené analýzy vývoje cen stavebních </w:t>
      </w:r>
      <w:r w:rsidR="00924D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materiálů a </w:t>
      </w:r>
      <w:r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>prací</w:t>
      </w:r>
      <w:r w:rsidR="00924D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84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stanovení položek, </w:t>
      </w:r>
      <w:r w:rsidR="00CA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resp. klíčových komodit, u kterých mohlo v konkrétních případech dojít </w:t>
      </w:r>
      <w:r w:rsidR="00CA5C3A" w:rsidRPr="00CA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mimořádné </w:t>
      </w:r>
      <w:r w:rsidR="00CA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cenové </w:t>
      </w:r>
      <w:r w:rsidR="00CA5C3A" w:rsidRPr="00CA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odchylce od situace, kterou </w:t>
      </w:r>
      <w:r w:rsidR="00CA5C3A" w:rsidRPr="00CA5C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bylo možno na daném trhu rozumně očekávat v době, kdy byla uzavírána smlouva</w:t>
      </w:r>
      <w:r w:rsidR="00CA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CA5C3A">
        <w:rPr>
          <w:rFonts w:ascii="Times New Roman" w:eastAsia="Times New Roman" w:hAnsi="Times New Roman" w:cs="Times New Roman"/>
          <w:sz w:val="24"/>
          <w:szCs w:val="24"/>
          <w:lang w:eastAsia="cs-CZ"/>
        </w:rPr>
        <w:t>akov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případy mohou znamenat podstatnou změnu okolností a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být dány důvody pro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případnou změnu příslušného smluvního závazku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se zákonem č. 134/2016 Sb., o zadávání veřejných zakázek. </w:t>
      </w:r>
    </w:p>
    <w:p w14:paraId="1AC4AF71" w14:textId="023771EF" w:rsidR="00000FE5" w:rsidRPr="00AB3D26" w:rsidRDefault="00000FE5" w:rsidP="00000FE5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této metodiky se jedná o následující 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klíčové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položky, které lze identifikovat jako možné pro aplikaci této metodiky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uvedená aplikace metodiky je možná pouze </w:t>
      </w:r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nakoupený </w:t>
      </w:r>
      <w:r w:rsidR="00B87F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nový </w:t>
      </w:r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78F7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možná</w:t>
      </w:r>
      <w:r w:rsidR="00E478F7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B87F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tzv. </w:t>
      </w:r>
      <w:proofErr w:type="spellStart"/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výzisky</w:t>
      </w:r>
      <w:proofErr w:type="spellEnd"/>
      <w:r w:rsidR="00B87F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, resp. užitý materiál</w:t>
      </w:r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daného projektu nebo pro </w:t>
      </w:r>
      <w:r w:rsidR="00B87F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tzv. </w:t>
      </w:r>
      <w:proofErr w:type="spellStart"/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výzisky</w:t>
      </w:r>
      <w:proofErr w:type="spellEnd"/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7F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(užitý materiál) </w:t>
      </w:r>
      <w:r w:rsidR="00CC7C5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z jiných projektů</w:t>
      </w:r>
      <w:r w:rsidRPr="00AB3D26">
        <w:rPr>
          <w:rFonts w:ascii="Times New Roman" w:hAnsi="Times New Roman" w:cs="Times New Roman"/>
          <w:sz w:val="24"/>
          <w:szCs w:val="24"/>
        </w:rPr>
        <w:t>:</w:t>
      </w:r>
    </w:p>
    <w:p w14:paraId="068B4D95" w14:textId="77777777" w:rsidR="00D26D01" w:rsidRPr="00AB3D26" w:rsidRDefault="00D26D01" w:rsidP="00D26D01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Skupiny materiálů</w:t>
      </w:r>
      <w:r w:rsidR="005D53CA" w:rsidRPr="00AB3D26">
        <w:rPr>
          <w:rFonts w:ascii="Times New Roman" w:hAnsi="Times New Roman" w:cs="Times New Roman"/>
          <w:sz w:val="24"/>
          <w:szCs w:val="24"/>
        </w:rPr>
        <w:t xml:space="preserve"> (položek</w:t>
      </w:r>
      <w:r w:rsidR="00E2297E" w:rsidRPr="00AB3D26">
        <w:rPr>
          <w:rFonts w:ascii="Times New Roman" w:hAnsi="Times New Roman" w:cs="Times New Roman"/>
          <w:sz w:val="24"/>
          <w:szCs w:val="24"/>
        </w:rPr>
        <w:t>)</w:t>
      </w:r>
      <w:r w:rsidR="00B27D7A" w:rsidRPr="00AB3D26">
        <w:rPr>
          <w:rFonts w:ascii="Times New Roman" w:hAnsi="Times New Roman" w:cs="Times New Roman"/>
          <w:sz w:val="24"/>
          <w:szCs w:val="24"/>
        </w:rPr>
        <w:t xml:space="preserve"> - komodity</w:t>
      </w:r>
      <w:r w:rsidRPr="00AB3D26">
        <w:rPr>
          <w:rFonts w:ascii="Times New Roman" w:hAnsi="Times New Roman" w:cs="Times New Roman"/>
          <w:sz w:val="24"/>
          <w:szCs w:val="24"/>
        </w:rPr>
        <w:t>:</w:t>
      </w:r>
    </w:p>
    <w:p w14:paraId="292C0434" w14:textId="77777777" w:rsidR="00433706" w:rsidRPr="00AB3D26" w:rsidRDefault="00993A70" w:rsidP="00E95389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Ocel</w:t>
      </w:r>
      <w:r w:rsidR="006A6A4A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CC7C50" w:rsidRPr="00AB3D26">
        <w:rPr>
          <w:rFonts w:ascii="Times New Roman" w:hAnsi="Times New Roman" w:cs="Times New Roman"/>
          <w:sz w:val="24"/>
          <w:szCs w:val="24"/>
        </w:rPr>
        <w:t>– betonářská výztuž, konstrukční ocel</w:t>
      </w:r>
      <w:r w:rsidR="007F7BD5" w:rsidRPr="00AB3D26">
        <w:rPr>
          <w:rFonts w:ascii="Times New Roman" w:hAnsi="Times New Roman" w:cs="Times New Roman"/>
          <w:sz w:val="24"/>
          <w:szCs w:val="24"/>
        </w:rPr>
        <w:t xml:space="preserve">, svodidla </w:t>
      </w:r>
    </w:p>
    <w:p w14:paraId="18AA05C7" w14:textId="77777777" w:rsidR="001058B7" w:rsidRPr="00AB3D26" w:rsidRDefault="00CC7C50" w:rsidP="00A20047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0" w:line="276" w:lineRule="auto"/>
        <w:ind w:hanging="1472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Ocel – kolejnice a výhybky</w:t>
      </w:r>
      <w:r w:rsidR="001058B7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C5053" w14:textId="77777777" w:rsidR="00D26D01" w:rsidRPr="00AB3D26" w:rsidRDefault="00D26D01" w:rsidP="00D26D01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Asfaltové směsi </w:t>
      </w:r>
    </w:p>
    <w:p w14:paraId="6692605C" w14:textId="77777777" w:rsidR="00D26D01" w:rsidRPr="00AB3D26" w:rsidRDefault="00D26D01" w:rsidP="00D26D01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Betonové směsi</w:t>
      </w:r>
    </w:p>
    <w:p w14:paraId="18878BF5" w14:textId="241A992B" w:rsidR="001058B7" w:rsidRPr="00895975" w:rsidRDefault="004246C1" w:rsidP="00A345D9">
      <w:pPr>
        <w:pStyle w:val="textIBR"/>
        <w:keepNext/>
        <w:numPr>
          <w:ilvl w:val="1"/>
          <w:numId w:val="16"/>
        </w:numPr>
        <w:tabs>
          <w:tab w:val="clear" w:pos="588"/>
          <w:tab w:val="left" w:pos="1418"/>
        </w:tabs>
        <w:spacing w:after="0" w:line="276" w:lineRule="auto"/>
        <w:ind w:left="1418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895975">
        <w:rPr>
          <w:rFonts w:ascii="Times New Roman" w:hAnsi="Times New Roman" w:cs="Times New Roman"/>
          <w:sz w:val="24"/>
          <w:szCs w:val="24"/>
        </w:rPr>
        <w:t>Kamenivo</w:t>
      </w:r>
      <w:r w:rsidR="00CC7C50" w:rsidRPr="00895975">
        <w:rPr>
          <w:rFonts w:ascii="Times New Roman" w:hAnsi="Times New Roman" w:cs="Times New Roman"/>
          <w:sz w:val="24"/>
          <w:szCs w:val="24"/>
        </w:rPr>
        <w:t xml:space="preserve"> drcené a těžené včetně směsí těchto kameniv (např</w:t>
      </w:r>
      <w:r w:rsidR="001500A6" w:rsidRPr="00895975">
        <w:rPr>
          <w:rFonts w:ascii="Times New Roman" w:hAnsi="Times New Roman" w:cs="Times New Roman"/>
          <w:sz w:val="24"/>
          <w:szCs w:val="24"/>
        </w:rPr>
        <w:t xml:space="preserve">. </w:t>
      </w:r>
      <w:r w:rsidR="00CC7C50" w:rsidRPr="00895975">
        <w:rPr>
          <w:rFonts w:ascii="Times New Roman" w:hAnsi="Times New Roman" w:cs="Times New Roman"/>
          <w:sz w:val="24"/>
          <w:szCs w:val="24"/>
        </w:rPr>
        <w:t>směs</w:t>
      </w:r>
      <w:r w:rsidR="001500A6" w:rsidRPr="00895975">
        <w:rPr>
          <w:rFonts w:ascii="Times New Roman" w:hAnsi="Times New Roman" w:cs="Times New Roman"/>
          <w:sz w:val="24"/>
          <w:szCs w:val="24"/>
        </w:rPr>
        <w:t xml:space="preserve"> </w:t>
      </w:r>
      <w:r w:rsidR="00CC7C50" w:rsidRPr="00895975">
        <w:rPr>
          <w:rFonts w:ascii="Times New Roman" w:hAnsi="Times New Roman" w:cs="Times New Roman"/>
          <w:sz w:val="24"/>
          <w:szCs w:val="24"/>
        </w:rPr>
        <w:t>pro</w:t>
      </w:r>
      <w:r w:rsidR="008B52F5">
        <w:rPr>
          <w:rFonts w:ascii="Times New Roman" w:hAnsi="Times New Roman" w:cs="Times New Roman"/>
          <w:sz w:val="24"/>
          <w:szCs w:val="24"/>
        </w:rPr>
        <w:t> </w:t>
      </w:r>
      <w:r w:rsidR="00CC7C50" w:rsidRPr="00895975">
        <w:rPr>
          <w:rFonts w:ascii="Times New Roman" w:hAnsi="Times New Roman" w:cs="Times New Roman"/>
          <w:sz w:val="24"/>
          <w:szCs w:val="24"/>
        </w:rPr>
        <w:t xml:space="preserve">mechanicky zpevněné kamenivo) </w:t>
      </w:r>
    </w:p>
    <w:p w14:paraId="2310E403" w14:textId="77777777" w:rsidR="001500A6" w:rsidRPr="00895975" w:rsidRDefault="006A6A4A" w:rsidP="00A345D9">
      <w:pPr>
        <w:pStyle w:val="textIBR"/>
        <w:keepNext/>
        <w:numPr>
          <w:ilvl w:val="1"/>
          <w:numId w:val="16"/>
        </w:numPr>
        <w:tabs>
          <w:tab w:val="clear" w:pos="588"/>
          <w:tab w:val="left" w:pos="1418"/>
        </w:tabs>
        <w:spacing w:after="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>Hydraulická pojiva</w:t>
      </w:r>
      <w:r w:rsidR="00CC7C50" w:rsidRPr="00895975">
        <w:rPr>
          <w:rFonts w:ascii="Times New Roman" w:hAnsi="Times New Roman" w:cs="Times New Roman"/>
          <w:sz w:val="24"/>
          <w:szCs w:val="24"/>
        </w:rPr>
        <w:t xml:space="preserve"> pro zlepšování zemin</w:t>
      </w:r>
      <w:r w:rsidR="007F7BD5" w:rsidRPr="00895975">
        <w:rPr>
          <w:rFonts w:ascii="Times New Roman" w:hAnsi="Times New Roman" w:cs="Times New Roman"/>
          <w:sz w:val="24"/>
          <w:szCs w:val="24"/>
        </w:rPr>
        <w:t xml:space="preserve"> a podkladních vrstev</w:t>
      </w:r>
      <w:r w:rsidR="00433706" w:rsidRPr="00895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80ECC" w14:textId="77777777" w:rsidR="00B804AA" w:rsidRPr="00895975" w:rsidRDefault="00B804AA" w:rsidP="001500A6">
      <w:pPr>
        <w:pStyle w:val="textIBR"/>
        <w:keepNext/>
        <w:tabs>
          <w:tab w:val="clear" w:pos="588"/>
          <w:tab w:val="left" w:pos="1418"/>
        </w:tabs>
        <w:spacing w:after="0" w:line="276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3753A16D" w14:textId="086C97B2" w:rsidR="00EF64A9" w:rsidRDefault="00EF64A9" w:rsidP="00000FE5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skupiny materiálů (položek) jsou vybrány jako stěžejní komodity pro stavby dopravní a vodní infrastruktury, které představují objemově a finančně nejvýznamnější část stavebních materiálů a současně byly</w:t>
      </w:r>
      <w:r w:rsidR="008C1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nejvíce ovlivněny</w:t>
      </w:r>
      <w:r w:rsidR="008C170F">
        <w:rPr>
          <w:rFonts w:ascii="Times New Roman" w:hAnsi="Times New Roman" w:cs="Times New Roman"/>
          <w:sz w:val="24"/>
          <w:szCs w:val="24"/>
        </w:rPr>
        <w:t xml:space="preserve"> růstem cen v rozhodném období. A zá</w:t>
      </w:r>
      <w:r>
        <w:rPr>
          <w:rFonts w:ascii="Times New Roman" w:hAnsi="Times New Roman" w:cs="Times New Roman"/>
          <w:sz w:val="24"/>
          <w:szCs w:val="24"/>
        </w:rPr>
        <w:t>roveň byly prioritně definovanými položkami dle jednotlivých žádostí, se kterými</w:t>
      </w:r>
      <w:r w:rsidR="0033359D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59D">
        <w:rPr>
          <w:rFonts w:ascii="Times New Roman" w:hAnsi="Times New Roman" w:cs="Times New Roman"/>
          <w:sz w:val="24"/>
          <w:szCs w:val="24"/>
        </w:rPr>
        <w:t xml:space="preserve">zhotovitelé </w:t>
      </w:r>
      <w:r>
        <w:rPr>
          <w:rFonts w:ascii="Times New Roman" w:hAnsi="Times New Roman" w:cs="Times New Roman"/>
          <w:sz w:val="24"/>
          <w:szCs w:val="24"/>
        </w:rPr>
        <w:t xml:space="preserve">obraceli na </w:t>
      </w:r>
      <w:r w:rsidR="008C170F">
        <w:rPr>
          <w:rFonts w:ascii="Times New Roman" w:hAnsi="Times New Roman" w:cs="Times New Roman"/>
          <w:sz w:val="24"/>
          <w:szCs w:val="24"/>
        </w:rPr>
        <w:t xml:space="preserve">resortní </w:t>
      </w:r>
      <w:r>
        <w:rPr>
          <w:rFonts w:ascii="Times New Roman" w:hAnsi="Times New Roman" w:cs="Times New Roman"/>
          <w:sz w:val="24"/>
          <w:szCs w:val="24"/>
        </w:rPr>
        <w:t xml:space="preserve">zadavatele </w:t>
      </w:r>
      <w:r w:rsidR="008C170F">
        <w:rPr>
          <w:rFonts w:ascii="Times New Roman" w:hAnsi="Times New Roman" w:cs="Times New Roman"/>
          <w:sz w:val="24"/>
          <w:szCs w:val="24"/>
        </w:rPr>
        <w:t>ve věci</w:t>
      </w:r>
      <w:r w:rsidRPr="00EF64A9">
        <w:rPr>
          <w:rFonts w:ascii="Times New Roman" w:hAnsi="Times New Roman" w:cs="Times New Roman"/>
          <w:sz w:val="24"/>
          <w:szCs w:val="24"/>
        </w:rPr>
        <w:t xml:space="preserve"> změn uzavřených smluv</w:t>
      </w:r>
      <w:r w:rsidR="008C170F">
        <w:rPr>
          <w:rFonts w:ascii="Times New Roman" w:hAnsi="Times New Roman" w:cs="Times New Roman"/>
          <w:sz w:val="24"/>
          <w:szCs w:val="24"/>
        </w:rPr>
        <w:t>,</w:t>
      </w:r>
      <w:r w:rsidRPr="00EF64A9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8C170F">
        <w:rPr>
          <w:rFonts w:ascii="Times New Roman" w:hAnsi="Times New Roman" w:cs="Times New Roman"/>
          <w:sz w:val="24"/>
          <w:szCs w:val="24"/>
        </w:rPr>
        <w:t>ch</w:t>
      </w:r>
      <w:r w:rsidRPr="00EF64A9">
        <w:rPr>
          <w:rFonts w:ascii="Times New Roman" w:hAnsi="Times New Roman" w:cs="Times New Roman"/>
          <w:sz w:val="24"/>
          <w:szCs w:val="24"/>
        </w:rPr>
        <w:t xml:space="preserve"> v</w:t>
      </w:r>
      <w:r w:rsidR="0033359D">
        <w:rPr>
          <w:rFonts w:ascii="Times New Roman" w:hAnsi="Times New Roman" w:cs="Times New Roman"/>
          <w:sz w:val="24"/>
          <w:szCs w:val="24"/>
        </w:rPr>
        <w:t> </w:t>
      </w:r>
      <w:r w:rsidRPr="00EF64A9">
        <w:rPr>
          <w:rFonts w:ascii="Times New Roman" w:hAnsi="Times New Roman" w:cs="Times New Roman"/>
          <w:sz w:val="24"/>
          <w:szCs w:val="24"/>
        </w:rPr>
        <w:t xml:space="preserve">navýšení ceny </w:t>
      </w:r>
      <w:r w:rsidR="008C170F">
        <w:rPr>
          <w:rFonts w:ascii="Times New Roman" w:hAnsi="Times New Roman" w:cs="Times New Roman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C7B6F" w14:textId="7C1ACE09" w:rsidR="00000FE5" w:rsidRPr="00AB3D26" w:rsidRDefault="008C61DB" w:rsidP="00000FE5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Je 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třeba zdůraznit, že výše uvedené položky byly identifikovány jako položky, u nichž aplikace </w:t>
      </w:r>
      <w:r w:rsidR="00C7249C">
        <w:rPr>
          <w:rFonts w:ascii="Times New Roman" w:hAnsi="Times New Roman" w:cs="Times New Roman"/>
          <w:sz w:val="24"/>
          <w:szCs w:val="24"/>
        </w:rPr>
        <w:t>níže uvedených postupů pro změnu (kompenzaci)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 připadá v úvahu, nikoliv jako položky, u</w:t>
      </w:r>
      <w:r w:rsidR="008B52F5">
        <w:rPr>
          <w:rFonts w:ascii="Times New Roman" w:hAnsi="Times New Roman" w:cs="Times New Roman"/>
          <w:sz w:val="24"/>
          <w:szCs w:val="24"/>
        </w:rPr>
        <w:t> </w:t>
      </w:r>
      <w:r w:rsidR="00000FE5" w:rsidRPr="00AB3D26">
        <w:rPr>
          <w:rFonts w:ascii="Times New Roman" w:hAnsi="Times New Roman" w:cs="Times New Roman"/>
          <w:sz w:val="24"/>
          <w:szCs w:val="24"/>
        </w:rPr>
        <w:t>nichž by měl</w:t>
      </w:r>
      <w:r w:rsidR="00C7249C">
        <w:rPr>
          <w:rFonts w:ascii="Times New Roman" w:hAnsi="Times New Roman" w:cs="Times New Roman"/>
          <w:sz w:val="24"/>
          <w:szCs w:val="24"/>
        </w:rPr>
        <w:t>y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 být t</w:t>
      </w:r>
      <w:r w:rsidR="00C7249C">
        <w:rPr>
          <w:rFonts w:ascii="Times New Roman" w:hAnsi="Times New Roman" w:cs="Times New Roman"/>
          <w:sz w:val="24"/>
          <w:szCs w:val="24"/>
        </w:rPr>
        <w:t>yto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C7249C">
        <w:rPr>
          <w:rFonts w:ascii="Times New Roman" w:hAnsi="Times New Roman" w:cs="Times New Roman"/>
          <w:sz w:val="24"/>
          <w:szCs w:val="24"/>
        </w:rPr>
        <w:t>postupy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 (resp. změna závazku) </w:t>
      </w:r>
      <w:r w:rsidR="0033359D">
        <w:rPr>
          <w:rFonts w:ascii="Times New Roman" w:hAnsi="Times New Roman" w:cs="Times New Roman"/>
          <w:sz w:val="24"/>
          <w:szCs w:val="24"/>
        </w:rPr>
        <w:t xml:space="preserve">bezvýhradně </w:t>
      </w:r>
      <w:r w:rsidR="00000FE5" w:rsidRPr="00AB3D26">
        <w:rPr>
          <w:rFonts w:ascii="Times New Roman" w:hAnsi="Times New Roman" w:cs="Times New Roman"/>
          <w:sz w:val="24"/>
          <w:szCs w:val="24"/>
        </w:rPr>
        <w:t>aplikován</w:t>
      </w:r>
      <w:r w:rsidR="00C7249C">
        <w:rPr>
          <w:rFonts w:ascii="Times New Roman" w:hAnsi="Times New Roman" w:cs="Times New Roman"/>
          <w:sz w:val="24"/>
          <w:szCs w:val="24"/>
        </w:rPr>
        <w:t>y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. </w:t>
      </w:r>
      <w:r w:rsidR="0033086A">
        <w:rPr>
          <w:rFonts w:ascii="Times New Roman" w:hAnsi="Times New Roman" w:cs="Times New Roman"/>
          <w:b/>
          <w:sz w:val="24"/>
          <w:szCs w:val="24"/>
        </w:rPr>
        <w:t>P</w:t>
      </w:r>
      <w:r w:rsidR="0033086A" w:rsidRPr="00AB3D26">
        <w:rPr>
          <w:rFonts w:ascii="Times New Roman" w:hAnsi="Times New Roman" w:cs="Times New Roman"/>
          <w:b/>
          <w:sz w:val="24"/>
          <w:szCs w:val="24"/>
        </w:rPr>
        <w:t xml:space="preserve">ro posouzení důvodnosti </w:t>
      </w:r>
      <w:r w:rsidR="0033086A">
        <w:rPr>
          <w:rFonts w:ascii="Times New Roman" w:hAnsi="Times New Roman" w:cs="Times New Roman"/>
          <w:b/>
          <w:sz w:val="24"/>
          <w:szCs w:val="24"/>
        </w:rPr>
        <w:t>žádosti</w:t>
      </w:r>
      <w:r w:rsidR="0033086A" w:rsidRPr="00AB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59D">
        <w:rPr>
          <w:rFonts w:ascii="Times New Roman" w:hAnsi="Times New Roman" w:cs="Times New Roman"/>
          <w:b/>
          <w:sz w:val="24"/>
          <w:szCs w:val="24"/>
        </w:rPr>
        <w:t>z</w:t>
      </w:r>
      <w:r w:rsidR="0033086A" w:rsidRPr="00AB3D26">
        <w:rPr>
          <w:rFonts w:ascii="Times New Roman" w:hAnsi="Times New Roman" w:cs="Times New Roman"/>
          <w:b/>
          <w:sz w:val="24"/>
          <w:szCs w:val="24"/>
        </w:rPr>
        <w:t>hotovitele</w:t>
      </w:r>
      <w:r w:rsidR="0033086A" w:rsidRPr="00AB3D26" w:rsidDel="0033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6A">
        <w:rPr>
          <w:rFonts w:ascii="Times New Roman" w:hAnsi="Times New Roman" w:cs="Times New Roman"/>
          <w:b/>
          <w:sz w:val="24"/>
          <w:szCs w:val="24"/>
        </w:rPr>
        <w:t>o změnu závazku z veřejné zakázky musí být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6A">
        <w:rPr>
          <w:rFonts w:ascii="Times New Roman" w:hAnsi="Times New Roman" w:cs="Times New Roman"/>
          <w:b/>
          <w:sz w:val="24"/>
          <w:szCs w:val="24"/>
        </w:rPr>
        <w:t>pro</w:t>
      </w:r>
      <w:r w:rsidR="008B52F5">
        <w:rPr>
          <w:rFonts w:ascii="Times New Roman" w:hAnsi="Times New Roman" w:cs="Times New Roman"/>
          <w:b/>
          <w:sz w:val="24"/>
          <w:szCs w:val="24"/>
        </w:rPr>
        <w:t> 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>jak</w:t>
      </w:r>
      <w:r w:rsidR="0033086A">
        <w:rPr>
          <w:rFonts w:ascii="Times New Roman" w:hAnsi="Times New Roman" w:cs="Times New Roman"/>
          <w:b/>
          <w:sz w:val="24"/>
          <w:szCs w:val="24"/>
        </w:rPr>
        <w:t>ou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>koli</w:t>
      </w:r>
      <w:r w:rsidR="0033086A">
        <w:rPr>
          <w:rFonts w:ascii="Times New Roman" w:hAnsi="Times New Roman" w:cs="Times New Roman"/>
          <w:b/>
          <w:sz w:val="24"/>
          <w:szCs w:val="24"/>
        </w:rPr>
        <w:t>v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 xml:space="preserve"> možn</w:t>
      </w:r>
      <w:r w:rsidR="0033086A">
        <w:rPr>
          <w:rFonts w:ascii="Times New Roman" w:hAnsi="Times New Roman" w:cs="Times New Roman"/>
          <w:b/>
          <w:sz w:val="24"/>
          <w:szCs w:val="24"/>
        </w:rPr>
        <w:t>ou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 xml:space="preserve"> změn</w:t>
      </w:r>
      <w:r w:rsidR="0033086A">
        <w:rPr>
          <w:rFonts w:ascii="Times New Roman" w:hAnsi="Times New Roman" w:cs="Times New Roman"/>
          <w:b/>
          <w:sz w:val="24"/>
          <w:szCs w:val="24"/>
        </w:rPr>
        <w:t>u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 xml:space="preserve"> smluvních vztahů týkající se uvedených </w:t>
      </w:r>
      <w:r w:rsidR="0033086A">
        <w:rPr>
          <w:rFonts w:ascii="Times New Roman" w:hAnsi="Times New Roman" w:cs="Times New Roman"/>
          <w:b/>
          <w:sz w:val="24"/>
          <w:szCs w:val="24"/>
        </w:rPr>
        <w:t>komodit/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 xml:space="preserve">položek splněny předpoklady </w:t>
      </w:r>
      <w:r w:rsidR="00E478F7">
        <w:rPr>
          <w:rFonts w:ascii="Times New Roman" w:hAnsi="Times New Roman" w:cs="Times New Roman"/>
          <w:b/>
          <w:sz w:val="24"/>
          <w:szCs w:val="24"/>
        </w:rPr>
        <w:t xml:space="preserve">(postupy) a podmínky </w:t>
      </w:r>
      <w:r w:rsidR="00000FE5" w:rsidRPr="00AB3D26">
        <w:rPr>
          <w:rFonts w:ascii="Times New Roman" w:hAnsi="Times New Roman" w:cs="Times New Roman"/>
          <w:b/>
          <w:sz w:val="24"/>
          <w:szCs w:val="24"/>
        </w:rPr>
        <w:t xml:space="preserve">uvedené </w:t>
      </w:r>
      <w:r w:rsidR="00901911">
        <w:rPr>
          <w:rFonts w:ascii="Times New Roman" w:hAnsi="Times New Roman" w:cs="Times New Roman"/>
          <w:b/>
          <w:sz w:val="24"/>
          <w:szCs w:val="24"/>
        </w:rPr>
        <w:t xml:space="preserve">v této </w:t>
      </w:r>
      <w:r w:rsidR="0082192C">
        <w:rPr>
          <w:rFonts w:ascii="Times New Roman" w:hAnsi="Times New Roman" w:cs="Times New Roman"/>
          <w:b/>
          <w:sz w:val="24"/>
          <w:szCs w:val="24"/>
        </w:rPr>
        <w:t>M</w:t>
      </w:r>
      <w:r w:rsidR="00901911">
        <w:rPr>
          <w:rFonts w:ascii="Times New Roman" w:hAnsi="Times New Roman" w:cs="Times New Roman"/>
          <w:b/>
          <w:sz w:val="24"/>
          <w:szCs w:val="24"/>
        </w:rPr>
        <w:t>etodice</w:t>
      </w:r>
      <w:r w:rsidR="0033086A">
        <w:rPr>
          <w:rFonts w:ascii="Times New Roman" w:hAnsi="Times New Roman" w:cs="Times New Roman"/>
          <w:b/>
          <w:sz w:val="24"/>
          <w:szCs w:val="24"/>
        </w:rPr>
        <w:t>.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 Bez splnění těchto předpokladů </w:t>
      </w:r>
      <w:r w:rsidR="00E478F7">
        <w:rPr>
          <w:rFonts w:ascii="Times New Roman" w:hAnsi="Times New Roman" w:cs="Times New Roman"/>
          <w:sz w:val="24"/>
          <w:szCs w:val="24"/>
        </w:rPr>
        <w:t xml:space="preserve">a podmínek 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není možné </w:t>
      </w:r>
      <w:r w:rsidR="00C7249C">
        <w:rPr>
          <w:rFonts w:ascii="Times New Roman" w:hAnsi="Times New Roman" w:cs="Times New Roman"/>
          <w:sz w:val="24"/>
          <w:szCs w:val="24"/>
        </w:rPr>
        <w:t>připustit</w:t>
      </w:r>
      <w:r w:rsidR="00000FE5" w:rsidRPr="00AB3D26">
        <w:rPr>
          <w:rFonts w:ascii="Times New Roman" w:hAnsi="Times New Roman" w:cs="Times New Roman"/>
          <w:sz w:val="24"/>
          <w:szCs w:val="24"/>
        </w:rPr>
        <w:t xml:space="preserve"> změnu smluvního závazku ohledně předmětných (nebo jakýchkoli jiných) položek.</w:t>
      </w:r>
    </w:p>
    <w:p w14:paraId="7F880432" w14:textId="504C0352" w:rsidR="004372DF" w:rsidRPr="00AB3D26" w:rsidRDefault="00D26D01" w:rsidP="00DD628E">
      <w:pPr>
        <w:spacing w:line="276" w:lineRule="auto"/>
        <w:jc w:val="both"/>
        <w:rPr>
          <w:rStyle w:val="Odkaznakoment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Z hlediska 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>důvodu poskytnutí kompenzace</w:t>
      </w:r>
      <w:r w:rsidRPr="00AB3D26">
        <w:rPr>
          <w:rFonts w:ascii="Times New Roman" w:hAnsi="Times New Roman" w:cs="Times New Roman"/>
          <w:sz w:val="24"/>
          <w:szCs w:val="24"/>
        </w:rPr>
        <w:t xml:space="preserve"> je třeba vycházet z toho, že nárůst cen konkrétních komodit, nezbytných pro realizaci díla, je obecně dle </w:t>
      </w:r>
      <w:bookmarkStart w:id="1" w:name="_Hlk115114876"/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smluvních podmínek pro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výstavbu pozemních a inženýrských staveb projektovaných objednatelem</w:t>
      </w:r>
      <w:bookmarkEnd w:id="1"/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 základě červené knihy FIDIC – obecných podmínek ve znění zvláštních podmínek dostupných na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4" w:history="1">
        <w:r w:rsidR="00DD628E" w:rsidRPr="00AB3D2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http://www.pjpk.cz/obchodni-podminky/</w:t>
        </w:r>
      </w:hyperlink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AB3D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podmínky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C7249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kompenzován poskytnutím valorizace ceny díla</w:t>
      </w:r>
      <w:r w:rsidR="00C407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015FF2F" w14:textId="1594A1B5" w:rsidR="00B36B8C" w:rsidRPr="00AB3D26" w:rsidRDefault="00401A54" w:rsidP="00DD6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Odlišná </w:t>
      </w:r>
      <w:r w:rsidR="00C407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situace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 w:rsidR="00C407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nastává</w:t>
      </w:r>
      <w:r w:rsidR="00333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</w:t>
      </w:r>
      <w:r w:rsidR="00C407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kompenzace ve formě valorizace ceny díla sjednaná není</w:t>
      </w:r>
      <w:r w:rsidR="00993A70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je sjednaná </w:t>
      </w:r>
      <w:r w:rsidR="00F25CCB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odkladem </w:t>
      </w:r>
      <w:r w:rsidR="000422CC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(tj. v prvním roce po základním datu není valorizace kompenzována</w:t>
      </w:r>
      <w:r w:rsidR="004565B9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 určitá kompenzace cenového nárůstu uplatňována až po</w:t>
      </w:r>
      <w:r w:rsidR="008B52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565B9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uplynutí původní 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E16EDC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oby </w:t>
      </w:r>
      <w:r w:rsidR="004565B9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pro dokončení</w:t>
      </w:r>
      <w:r w:rsidR="000422CC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407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E02AC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C407B6"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dochází k excesivnímu růstu cen vstupů stavební výroby, kter</w:t>
      </w:r>
      <w:r w:rsidR="002E02AC"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ý</w:t>
      </w:r>
      <w:r w:rsidR="00C407B6"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obezřetně jednající zhotovitel při předložení nabídky nemohl předpokládat</w:t>
      </w:r>
      <w:r w:rsidR="002E02AC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E02AC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 to, pokud je důvodem takového nárůstu cen skutečnost, která v riziku zhotovitele není, jako je tomu např. za současného vlivu válečného konfliktu na Ukrajině. </w:t>
      </w:r>
      <w:r w:rsidR="00C407B6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E02AC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E02AC" w:rsidRPr="00AB3D26">
        <w:rPr>
          <w:rFonts w:ascii="Times New Roman" w:hAnsi="Times New Roman" w:cs="Times New Roman"/>
          <w:sz w:val="24"/>
          <w:szCs w:val="24"/>
        </w:rPr>
        <w:t xml:space="preserve">takovém případě je na místě toto riziko rozdělit mezi smluvní strany tak, aby nedošlo k ohrožení plnění smlouvy, které by oběma smluvním stranám jednoznačně přineslo významně vyšší náklady. </w:t>
      </w:r>
    </w:p>
    <w:p w14:paraId="74421C81" w14:textId="2D211C99" w:rsidR="00E478F7" w:rsidRDefault="00A33D71" w:rsidP="00000FE5">
      <w:pPr>
        <w:keepNext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5293679"/>
      <w:r>
        <w:rPr>
          <w:rFonts w:ascii="Times New Roman" w:hAnsi="Times New Roman" w:cs="Times New Roman"/>
          <w:sz w:val="24"/>
          <w:szCs w:val="24"/>
        </w:rPr>
        <w:t>E</w:t>
      </w:r>
      <w:r w:rsidR="00694EA4" w:rsidRPr="00AB3D26">
        <w:rPr>
          <w:rFonts w:ascii="Times New Roman" w:hAnsi="Times New Roman" w:cs="Times New Roman"/>
          <w:sz w:val="24"/>
          <w:szCs w:val="24"/>
        </w:rPr>
        <w:t>xcesivní</w:t>
      </w:r>
      <w:r w:rsidR="00F25CCB" w:rsidRPr="00AB3D26">
        <w:rPr>
          <w:rFonts w:ascii="Times New Roman" w:hAnsi="Times New Roman" w:cs="Times New Roman"/>
          <w:sz w:val="24"/>
          <w:szCs w:val="24"/>
        </w:rPr>
        <w:t xml:space="preserve"> a nepředvídatelný</w:t>
      </w:r>
      <w:r w:rsidR="00694EA4" w:rsidRPr="00AB3D26">
        <w:rPr>
          <w:rFonts w:ascii="Times New Roman" w:hAnsi="Times New Roman" w:cs="Times New Roman"/>
          <w:sz w:val="24"/>
          <w:szCs w:val="24"/>
        </w:rPr>
        <w:t xml:space="preserve"> nárůst cen vybraných 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komodit (rozuměj materiálů a </w:t>
      </w:r>
      <w:proofErr w:type="gramStart"/>
      <w:r w:rsidR="00CA77BE" w:rsidRPr="00AB3D26">
        <w:rPr>
          <w:rFonts w:ascii="Times New Roman" w:hAnsi="Times New Roman" w:cs="Times New Roman"/>
          <w:sz w:val="24"/>
          <w:szCs w:val="24"/>
        </w:rPr>
        <w:t>výrobků)</w:t>
      </w:r>
      <w:r w:rsidR="00FD41F1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FD41F1">
        <w:rPr>
          <w:rFonts w:ascii="Times New Roman" w:hAnsi="Times New Roman" w:cs="Times New Roman"/>
          <w:sz w:val="24"/>
          <w:szCs w:val="24"/>
        </w:rPr>
        <w:t xml:space="preserve"> mezi</w:t>
      </w:r>
      <w:r w:rsidR="00694EA4" w:rsidRPr="00AB3D26">
        <w:rPr>
          <w:rFonts w:ascii="Times New Roman" w:hAnsi="Times New Roman" w:cs="Times New Roman"/>
          <w:sz w:val="24"/>
          <w:szCs w:val="24"/>
        </w:rPr>
        <w:t xml:space="preserve"> okolnosti, které zadavatel jednající s náležitou péčí 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obecně </w:t>
      </w:r>
      <w:r w:rsidR="00694EA4" w:rsidRPr="00AB3D26">
        <w:rPr>
          <w:rFonts w:ascii="Times New Roman" w:hAnsi="Times New Roman" w:cs="Times New Roman"/>
          <w:sz w:val="24"/>
          <w:szCs w:val="24"/>
        </w:rPr>
        <w:t xml:space="preserve">nemohl předvídat. </w:t>
      </w:r>
      <w:r w:rsidR="00401A54" w:rsidRPr="00AB3D26">
        <w:rPr>
          <w:rFonts w:ascii="Times New Roman" w:hAnsi="Times New Roman" w:cs="Times New Roman"/>
          <w:sz w:val="24"/>
          <w:szCs w:val="24"/>
        </w:rPr>
        <w:t>N</w:t>
      </w:r>
      <w:r w:rsidR="00694EA4" w:rsidRPr="00AB3D26">
        <w:rPr>
          <w:rFonts w:ascii="Times New Roman" w:hAnsi="Times New Roman" w:cs="Times New Roman"/>
          <w:sz w:val="24"/>
          <w:szCs w:val="24"/>
        </w:rPr>
        <w:t xml:space="preserve">ásledky, které jsou v rámci posuzované změny závazku zkoumány, </w:t>
      </w:r>
      <w:r w:rsidR="00694EA4" w:rsidRPr="00AB3D26">
        <w:rPr>
          <w:rFonts w:ascii="Times New Roman" w:hAnsi="Times New Roman" w:cs="Times New Roman"/>
          <w:b/>
          <w:bCs/>
          <w:sz w:val="24"/>
          <w:szCs w:val="24"/>
        </w:rPr>
        <w:t>lze považovat za</w:t>
      </w:r>
      <w:r w:rsidR="00073B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94EA4" w:rsidRPr="00AB3D26">
        <w:rPr>
          <w:rFonts w:ascii="Times New Roman" w:hAnsi="Times New Roman" w:cs="Times New Roman"/>
          <w:b/>
          <w:bCs/>
          <w:sz w:val="24"/>
          <w:szCs w:val="24"/>
        </w:rPr>
        <w:t>nepředvídatelné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2"/>
    </w:p>
    <w:p w14:paraId="06EB72CA" w14:textId="14F730D5" w:rsidR="00CA77BE" w:rsidRPr="00AB3D26" w:rsidRDefault="00694EA4" w:rsidP="00000FE5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Jednotlivá řešení následků </w:t>
      </w:r>
      <w:r w:rsidR="00CA77BE" w:rsidRPr="00AB3D26">
        <w:rPr>
          <w:rFonts w:ascii="Times New Roman" w:hAnsi="Times New Roman" w:cs="Times New Roman"/>
          <w:sz w:val="24"/>
          <w:szCs w:val="24"/>
        </w:rPr>
        <w:t>růstu cen</w:t>
      </w:r>
      <w:r w:rsidRPr="00AB3D26">
        <w:rPr>
          <w:rFonts w:ascii="Times New Roman" w:hAnsi="Times New Roman" w:cs="Times New Roman"/>
          <w:sz w:val="24"/>
          <w:szCs w:val="24"/>
        </w:rPr>
        <w:t xml:space="preserve"> musí být </w:t>
      </w:r>
      <w:r w:rsidR="00C7249C">
        <w:rPr>
          <w:rFonts w:ascii="Times New Roman" w:hAnsi="Times New Roman" w:cs="Times New Roman"/>
          <w:sz w:val="24"/>
          <w:szCs w:val="24"/>
        </w:rPr>
        <w:t>prováděna</w:t>
      </w:r>
      <w:r w:rsidRPr="00AB3D26">
        <w:rPr>
          <w:rFonts w:ascii="Times New Roman" w:hAnsi="Times New Roman" w:cs="Times New Roman"/>
          <w:sz w:val="24"/>
          <w:szCs w:val="24"/>
        </w:rPr>
        <w:t xml:space="preserve"> vždy v souladu s příslušnými ustanoveními zákona č. 134/2016 Sb., o zadávání veřejných zakázek</w:t>
      </w:r>
      <w:r w:rsidR="000A1845">
        <w:rPr>
          <w:rFonts w:ascii="Times New Roman" w:hAnsi="Times New Roman" w:cs="Times New Roman"/>
          <w:sz w:val="24"/>
          <w:szCs w:val="24"/>
        </w:rPr>
        <w:t xml:space="preserve"> (dále „ZZVZ“)</w:t>
      </w:r>
      <w:r w:rsidRPr="00AB3D26">
        <w:rPr>
          <w:rFonts w:ascii="Times New Roman" w:hAnsi="Times New Roman" w:cs="Times New Roman"/>
          <w:sz w:val="24"/>
          <w:szCs w:val="24"/>
        </w:rPr>
        <w:t>, zejména s ustanovením § 100 a § 222 tohoto zákona.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F5227" w14:textId="245AB396" w:rsidR="00CA77BE" w:rsidRPr="00AB3D26" w:rsidRDefault="00CA77BE" w:rsidP="00000FE5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Z tohoto důvodu</w:t>
      </w:r>
      <w:r w:rsidR="00916B19" w:rsidRPr="00AB3D26">
        <w:rPr>
          <w:rFonts w:ascii="Times New Roman" w:hAnsi="Times New Roman" w:cs="Times New Roman"/>
          <w:sz w:val="24"/>
          <w:szCs w:val="24"/>
        </w:rPr>
        <w:t xml:space="preserve"> je třeba </w:t>
      </w:r>
      <w:r w:rsidR="00C8249B">
        <w:rPr>
          <w:rFonts w:ascii="Times New Roman" w:hAnsi="Times New Roman" w:cs="Times New Roman"/>
          <w:sz w:val="24"/>
          <w:szCs w:val="24"/>
        </w:rPr>
        <w:t xml:space="preserve">v rámci </w:t>
      </w:r>
      <w:r w:rsidR="00803872">
        <w:rPr>
          <w:rFonts w:ascii="Times New Roman" w:hAnsi="Times New Roman" w:cs="Times New Roman"/>
          <w:sz w:val="24"/>
          <w:szCs w:val="24"/>
        </w:rPr>
        <w:t xml:space="preserve">posouzení přípustnosti změny závazku ze smlouvy na </w:t>
      </w:r>
      <w:r w:rsidR="0061687C">
        <w:rPr>
          <w:rFonts w:ascii="Times New Roman" w:hAnsi="Times New Roman" w:cs="Times New Roman"/>
          <w:sz w:val="24"/>
          <w:szCs w:val="24"/>
        </w:rPr>
        <w:t xml:space="preserve">každou konkrétní </w:t>
      </w:r>
      <w:r w:rsidR="00803872">
        <w:rPr>
          <w:rFonts w:ascii="Times New Roman" w:hAnsi="Times New Roman" w:cs="Times New Roman"/>
          <w:sz w:val="24"/>
          <w:szCs w:val="24"/>
        </w:rPr>
        <w:t xml:space="preserve">veřejnou zakázku mj. </w:t>
      </w:r>
      <w:r w:rsidR="00C8249B">
        <w:rPr>
          <w:rFonts w:ascii="Times New Roman" w:hAnsi="Times New Roman" w:cs="Times New Roman"/>
          <w:sz w:val="24"/>
          <w:szCs w:val="24"/>
        </w:rPr>
        <w:t>posoudit</w:t>
      </w:r>
      <w:r w:rsidR="00916B19" w:rsidRPr="00AB3D26">
        <w:rPr>
          <w:rFonts w:ascii="Times New Roman" w:hAnsi="Times New Roman" w:cs="Times New Roman"/>
          <w:sz w:val="24"/>
          <w:szCs w:val="24"/>
        </w:rPr>
        <w:t xml:space="preserve">, </w:t>
      </w:r>
      <w:r w:rsidR="00803872">
        <w:rPr>
          <w:rFonts w:ascii="Times New Roman" w:hAnsi="Times New Roman" w:cs="Times New Roman"/>
          <w:sz w:val="24"/>
          <w:szCs w:val="24"/>
        </w:rPr>
        <w:t>zda</w:t>
      </w:r>
      <w:r w:rsidRPr="00AB3D26">
        <w:rPr>
          <w:rFonts w:ascii="Times New Roman" w:hAnsi="Times New Roman" w:cs="Times New Roman"/>
          <w:sz w:val="24"/>
          <w:szCs w:val="24"/>
        </w:rPr>
        <w:t>:</w:t>
      </w:r>
    </w:p>
    <w:p w14:paraId="281F606F" w14:textId="188E8078" w:rsidR="00CA77BE" w:rsidRPr="00AB3D26" w:rsidRDefault="009E0BD5" w:rsidP="0061687C">
      <w:pPr>
        <w:pStyle w:val="Odstavecseseznamem"/>
        <w:keepNext/>
        <w:numPr>
          <w:ilvl w:val="0"/>
          <w:numId w:val="21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d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ošlo </w:t>
      </w:r>
      <w:r w:rsidR="0061687C">
        <w:rPr>
          <w:rFonts w:ascii="Times New Roman" w:hAnsi="Times New Roman" w:cs="Times New Roman"/>
          <w:sz w:val="24"/>
          <w:szCs w:val="24"/>
        </w:rPr>
        <w:t xml:space="preserve">u výše uvedených materiálových skupin 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v rámci plnění závazku k takovým </w:t>
      </w:r>
      <w:r w:rsidR="0061687C">
        <w:rPr>
          <w:rFonts w:ascii="Times New Roman" w:hAnsi="Times New Roman" w:cs="Times New Roman"/>
          <w:sz w:val="24"/>
          <w:szCs w:val="24"/>
        </w:rPr>
        <w:t xml:space="preserve">mimořádným 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okolnostem, </w:t>
      </w:r>
      <w:r w:rsidR="0061687C">
        <w:rPr>
          <w:rFonts w:ascii="Times New Roman" w:hAnsi="Times New Roman" w:cs="Times New Roman"/>
          <w:sz w:val="24"/>
          <w:szCs w:val="24"/>
        </w:rPr>
        <w:t>resp. k takové mimořádné (cenové) odchylce od situace, kterou bylo možno na daném trhu rozumně očekávat v době podání cenové nabídky, resp. v době uzavření smlouvy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; tedy </w:t>
      </w:r>
      <w:r w:rsidR="0061687C">
        <w:rPr>
          <w:rFonts w:ascii="Times New Roman" w:hAnsi="Times New Roman" w:cs="Times New Roman"/>
          <w:sz w:val="24"/>
          <w:szCs w:val="24"/>
        </w:rPr>
        <w:t xml:space="preserve">že 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došlo </w:t>
      </w:r>
      <w:r w:rsidR="00435872">
        <w:rPr>
          <w:rFonts w:ascii="Times New Roman" w:hAnsi="Times New Roman" w:cs="Times New Roman"/>
          <w:sz w:val="24"/>
          <w:szCs w:val="24"/>
        </w:rPr>
        <w:t xml:space="preserve">na </w:t>
      </w:r>
      <w:r w:rsidR="00901911">
        <w:rPr>
          <w:rFonts w:ascii="Times New Roman" w:hAnsi="Times New Roman" w:cs="Times New Roman"/>
          <w:sz w:val="24"/>
          <w:szCs w:val="24"/>
        </w:rPr>
        <w:t xml:space="preserve">příslušném </w:t>
      </w:r>
      <w:r w:rsidR="00435872">
        <w:rPr>
          <w:rFonts w:ascii="Times New Roman" w:hAnsi="Times New Roman" w:cs="Times New Roman"/>
          <w:sz w:val="24"/>
          <w:szCs w:val="24"/>
        </w:rPr>
        <w:t xml:space="preserve">trhu </w:t>
      </w:r>
      <w:r w:rsidR="00CA77BE" w:rsidRPr="00AB3D26">
        <w:rPr>
          <w:rFonts w:ascii="Times New Roman" w:hAnsi="Times New Roman" w:cs="Times New Roman"/>
          <w:sz w:val="24"/>
          <w:szCs w:val="24"/>
        </w:rPr>
        <w:t>k takové změně situace</w:t>
      </w:r>
      <w:r w:rsidR="005651C0">
        <w:rPr>
          <w:rFonts w:ascii="Times New Roman" w:hAnsi="Times New Roman" w:cs="Times New Roman"/>
          <w:sz w:val="24"/>
          <w:szCs w:val="24"/>
        </w:rPr>
        <w:t>,</w:t>
      </w:r>
      <w:r w:rsidR="00CA77BE" w:rsidRPr="00AB3D26">
        <w:rPr>
          <w:rFonts w:ascii="Times New Roman" w:hAnsi="Times New Roman" w:cs="Times New Roman"/>
          <w:sz w:val="24"/>
          <w:szCs w:val="24"/>
        </w:rPr>
        <w:t xml:space="preserve"> v důsledku níž nemůže zhotovitel konkrétní materiálové skupiny pořídit za cenu,</w:t>
      </w:r>
      <w:r w:rsidR="00A33D71">
        <w:rPr>
          <w:rFonts w:ascii="Times New Roman" w:hAnsi="Times New Roman" w:cs="Times New Roman"/>
          <w:sz w:val="24"/>
          <w:szCs w:val="24"/>
        </w:rPr>
        <w:t xml:space="preserve"> </w:t>
      </w:r>
      <w:r w:rsidR="00F802C6" w:rsidRPr="00AB3D26">
        <w:rPr>
          <w:rFonts w:ascii="Times New Roman" w:hAnsi="Times New Roman" w:cs="Times New Roman"/>
          <w:sz w:val="24"/>
          <w:szCs w:val="24"/>
        </w:rPr>
        <w:t>za</w:t>
      </w:r>
      <w:r w:rsidR="008B52F5">
        <w:rPr>
          <w:rFonts w:ascii="Times New Roman" w:hAnsi="Times New Roman" w:cs="Times New Roman"/>
          <w:sz w:val="24"/>
          <w:szCs w:val="24"/>
        </w:rPr>
        <w:t> </w:t>
      </w:r>
      <w:r w:rsidR="00F802C6" w:rsidRPr="00AB3D26">
        <w:rPr>
          <w:rFonts w:ascii="Times New Roman" w:hAnsi="Times New Roman" w:cs="Times New Roman"/>
          <w:sz w:val="24"/>
          <w:szCs w:val="24"/>
        </w:rPr>
        <w:t>kterou by</w:t>
      </w:r>
      <w:r w:rsidR="00901911">
        <w:rPr>
          <w:rFonts w:ascii="Times New Roman" w:hAnsi="Times New Roman" w:cs="Times New Roman"/>
          <w:sz w:val="24"/>
          <w:szCs w:val="24"/>
        </w:rPr>
        <w:t xml:space="preserve"> jinak</w:t>
      </w:r>
      <w:r w:rsidR="00261F16">
        <w:rPr>
          <w:rFonts w:ascii="Times New Roman" w:hAnsi="Times New Roman" w:cs="Times New Roman"/>
          <w:sz w:val="24"/>
          <w:szCs w:val="24"/>
        </w:rPr>
        <w:t xml:space="preserve"> by</w:t>
      </w:r>
      <w:r w:rsidR="00F802C6" w:rsidRPr="00AB3D26">
        <w:rPr>
          <w:rFonts w:ascii="Times New Roman" w:hAnsi="Times New Roman" w:cs="Times New Roman"/>
          <w:sz w:val="24"/>
          <w:szCs w:val="24"/>
        </w:rPr>
        <w:t xml:space="preserve">l schopen </w:t>
      </w:r>
      <w:r w:rsidR="00261F16">
        <w:rPr>
          <w:rFonts w:ascii="Times New Roman" w:hAnsi="Times New Roman" w:cs="Times New Roman"/>
          <w:sz w:val="24"/>
          <w:szCs w:val="24"/>
        </w:rPr>
        <w:t xml:space="preserve">tyto </w:t>
      </w:r>
      <w:r w:rsidR="00B27D7A" w:rsidRPr="00AB3D26">
        <w:rPr>
          <w:rFonts w:ascii="Times New Roman" w:hAnsi="Times New Roman" w:cs="Times New Roman"/>
          <w:sz w:val="24"/>
          <w:szCs w:val="24"/>
        </w:rPr>
        <w:t>k</w:t>
      </w:r>
      <w:r w:rsidR="00F802C6" w:rsidRPr="00AB3D26">
        <w:rPr>
          <w:rFonts w:ascii="Times New Roman" w:hAnsi="Times New Roman" w:cs="Times New Roman"/>
          <w:sz w:val="24"/>
          <w:szCs w:val="24"/>
        </w:rPr>
        <w:t xml:space="preserve">omodity </w:t>
      </w:r>
      <w:r w:rsidR="006312EE">
        <w:rPr>
          <w:rFonts w:ascii="Times New Roman" w:hAnsi="Times New Roman" w:cs="Times New Roman"/>
          <w:sz w:val="24"/>
          <w:szCs w:val="24"/>
        </w:rPr>
        <w:t xml:space="preserve">pro plnění dané veřejné zakázky </w:t>
      </w:r>
      <w:r w:rsidR="00F802C6" w:rsidRPr="00AB3D26">
        <w:rPr>
          <w:rFonts w:ascii="Times New Roman" w:hAnsi="Times New Roman" w:cs="Times New Roman"/>
          <w:sz w:val="24"/>
          <w:szCs w:val="24"/>
        </w:rPr>
        <w:t>pořídit</w:t>
      </w:r>
      <w:r w:rsidR="00803872">
        <w:rPr>
          <w:rFonts w:ascii="Times New Roman" w:hAnsi="Times New Roman" w:cs="Times New Roman"/>
          <w:sz w:val="24"/>
          <w:szCs w:val="24"/>
        </w:rPr>
        <w:t xml:space="preserve"> a kterou pro účely zpracování nabídky se započítáním svého standardního a</w:t>
      </w:r>
      <w:r w:rsidR="008B52F5">
        <w:rPr>
          <w:rFonts w:ascii="Times New Roman" w:hAnsi="Times New Roman" w:cs="Times New Roman"/>
          <w:sz w:val="24"/>
          <w:szCs w:val="24"/>
        </w:rPr>
        <w:t> </w:t>
      </w:r>
      <w:r w:rsidR="00803872">
        <w:rPr>
          <w:rFonts w:ascii="Times New Roman" w:hAnsi="Times New Roman" w:cs="Times New Roman"/>
          <w:sz w:val="24"/>
          <w:szCs w:val="24"/>
        </w:rPr>
        <w:t>přiměřeného obchodního rizika kalkuloval</w:t>
      </w:r>
      <w:r w:rsidR="006312EE">
        <w:rPr>
          <w:rFonts w:ascii="Times New Roman" w:hAnsi="Times New Roman" w:cs="Times New Roman"/>
          <w:sz w:val="24"/>
          <w:szCs w:val="24"/>
        </w:rPr>
        <w:t xml:space="preserve"> v době podání nabídky, příp. v době uzavření smlouvy. </w:t>
      </w:r>
    </w:p>
    <w:p w14:paraId="56C359FD" w14:textId="2DE334C4" w:rsidR="00EB3B09" w:rsidRPr="000A1845" w:rsidRDefault="009E0BD5" w:rsidP="00BE7256">
      <w:pPr>
        <w:pStyle w:val="Odstavecseseznamem"/>
        <w:numPr>
          <w:ilvl w:val="0"/>
          <w:numId w:val="21"/>
        </w:numPr>
        <w:spacing w:before="4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takové okolnosti nebylo možné v době </w:t>
      </w:r>
      <w:r w:rsidR="00916B19" w:rsidRPr="00AB3D26">
        <w:rPr>
          <w:rFonts w:ascii="Times New Roman" w:hAnsi="Times New Roman" w:cs="Times New Roman"/>
          <w:sz w:val="24"/>
          <w:szCs w:val="24"/>
        </w:rPr>
        <w:t xml:space="preserve">zadání veřejné zakázky </w:t>
      </w:r>
      <w:r w:rsidRPr="00AB3D26">
        <w:rPr>
          <w:rFonts w:ascii="Times New Roman" w:hAnsi="Times New Roman" w:cs="Times New Roman"/>
          <w:sz w:val="24"/>
          <w:szCs w:val="24"/>
        </w:rPr>
        <w:t xml:space="preserve">předvídat; tedy především byla veřejná zakázka </w:t>
      </w:r>
      <w:r w:rsidR="00C810D6">
        <w:rPr>
          <w:rFonts w:ascii="Times New Roman" w:hAnsi="Times New Roman" w:cs="Times New Roman"/>
          <w:sz w:val="24"/>
          <w:szCs w:val="24"/>
        </w:rPr>
        <w:t>zadána</w:t>
      </w:r>
      <w:r w:rsidR="00C810D6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Pr="00AB3D26">
        <w:rPr>
          <w:rFonts w:ascii="Times New Roman" w:hAnsi="Times New Roman" w:cs="Times New Roman"/>
          <w:sz w:val="24"/>
          <w:szCs w:val="24"/>
        </w:rPr>
        <w:t>v době, kdy z</w:t>
      </w:r>
      <w:r w:rsidR="006640E7" w:rsidRPr="00AB3D26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 xml:space="preserve">vývoje cen předmětných komodit nebylo možné rostoucí </w:t>
      </w:r>
      <w:proofErr w:type="gramStart"/>
      <w:r w:rsidRPr="00AB3D26">
        <w:rPr>
          <w:rFonts w:ascii="Times New Roman" w:hAnsi="Times New Roman" w:cs="Times New Roman"/>
          <w:sz w:val="24"/>
          <w:szCs w:val="24"/>
        </w:rPr>
        <w:t xml:space="preserve">trend </w:t>
      </w:r>
      <w:r w:rsidR="00916B19" w:rsidRPr="00AB3D26">
        <w:rPr>
          <w:rFonts w:ascii="Times New Roman" w:hAnsi="Times New Roman" w:cs="Times New Roman"/>
          <w:sz w:val="24"/>
          <w:szCs w:val="24"/>
        </w:rPr>
        <w:t xml:space="preserve">- </w:t>
      </w:r>
      <w:r w:rsidRPr="00AB3D26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AB3D26">
        <w:rPr>
          <w:rFonts w:ascii="Times New Roman" w:hAnsi="Times New Roman" w:cs="Times New Roman"/>
          <w:sz w:val="24"/>
          <w:szCs w:val="24"/>
        </w:rPr>
        <w:t xml:space="preserve"> rámec běžného </w:t>
      </w:r>
      <w:r w:rsidR="00916B19" w:rsidRPr="00AB3D26">
        <w:rPr>
          <w:rFonts w:ascii="Times New Roman" w:hAnsi="Times New Roman" w:cs="Times New Roman"/>
          <w:sz w:val="24"/>
          <w:szCs w:val="24"/>
        </w:rPr>
        <w:t xml:space="preserve">sezónního </w:t>
      </w:r>
      <w:r w:rsidRPr="00AB3D26">
        <w:rPr>
          <w:rFonts w:ascii="Times New Roman" w:hAnsi="Times New Roman" w:cs="Times New Roman"/>
          <w:sz w:val="24"/>
          <w:szCs w:val="24"/>
        </w:rPr>
        <w:t>výkyvu</w:t>
      </w:r>
      <w:r w:rsidR="00916B19" w:rsidRPr="00AB3D26">
        <w:rPr>
          <w:rFonts w:ascii="Times New Roman" w:hAnsi="Times New Roman" w:cs="Times New Roman"/>
          <w:sz w:val="24"/>
          <w:szCs w:val="24"/>
        </w:rPr>
        <w:t xml:space="preserve"> -</w:t>
      </w:r>
      <w:r w:rsidRPr="00AB3D26">
        <w:rPr>
          <w:rFonts w:ascii="Times New Roman" w:hAnsi="Times New Roman" w:cs="Times New Roman"/>
          <w:sz w:val="24"/>
          <w:szCs w:val="24"/>
        </w:rPr>
        <w:t xml:space="preserve"> dovodit; </w:t>
      </w:r>
      <w:r w:rsidR="00916B19" w:rsidRPr="00AB3D26">
        <w:rPr>
          <w:rFonts w:ascii="Times New Roman" w:hAnsi="Times New Roman" w:cs="Times New Roman"/>
          <w:sz w:val="24"/>
          <w:szCs w:val="24"/>
        </w:rPr>
        <w:t>za</w:t>
      </w:r>
      <w:r w:rsidR="00073BAF">
        <w:rPr>
          <w:rFonts w:ascii="Times New Roman" w:hAnsi="Times New Roman" w:cs="Times New Roman"/>
          <w:sz w:val="24"/>
          <w:szCs w:val="24"/>
        </w:rPr>
        <w:t> </w:t>
      </w:r>
      <w:r w:rsidR="00916B19" w:rsidRPr="00AB3D26">
        <w:rPr>
          <w:rFonts w:ascii="Times New Roman" w:hAnsi="Times New Roman" w:cs="Times New Roman"/>
          <w:sz w:val="24"/>
          <w:szCs w:val="24"/>
        </w:rPr>
        <w:t xml:space="preserve">rozhodné datum v tomto smyslu lze </w:t>
      </w:r>
      <w:r w:rsidR="00916B19" w:rsidRPr="00435872">
        <w:rPr>
          <w:rFonts w:ascii="Times New Roman" w:hAnsi="Times New Roman" w:cs="Times New Roman"/>
          <w:sz w:val="24"/>
          <w:szCs w:val="24"/>
        </w:rPr>
        <w:t>považovat datum zahájení válečného konfliktu na Ukrajině</w:t>
      </w:r>
      <w:r w:rsidR="00C8249B">
        <w:rPr>
          <w:rFonts w:ascii="Times New Roman" w:hAnsi="Times New Roman" w:cs="Times New Roman"/>
          <w:sz w:val="24"/>
          <w:szCs w:val="24"/>
        </w:rPr>
        <w:t xml:space="preserve"> a období v době podání cenových nabídek, příp. v období uzavření smlouvy o</w:t>
      </w:r>
      <w:r w:rsidR="00261F16">
        <w:rPr>
          <w:rFonts w:ascii="Times New Roman" w:hAnsi="Times New Roman" w:cs="Times New Roman"/>
          <w:sz w:val="24"/>
          <w:szCs w:val="24"/>
        </w:rPr>
        <w:t> </w:t>
      </w:r>
      <w:r w:rsidR="00C8249B">
        <w:rPr>
          <w:rFonts w:ascii="Times New Roman" w:hAnsi="Times New Roman" w:cs="Times New Roman"/>
          <w:sz w:val="24"/>
          <w:szCs w:val="24"/>
        </w:rPr>
        <w:t>dílo.</w:t>
      </w:r>
    </w:p>
    <w:p w14:paraId="2A7E7F85" w14:textId="66C4D150" w:rsidR="000A1845" w:rsidRPr="00435872" w:rsidRDefault="000A1845" w:rsidP="00BE7256">
      <w:pPr>
        <w:pStyle w:val="Odstavecseseznamem"/>
        <w:numPr>
          <w:ilvl w:val="0"/>
          <w:numId w:val="21"/>
        </w:numPr>
        <w:spacing w:before="4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zda jsou naplněny předpoklady pro změnu závazku dle příslušných ustanovení § 222 ZZVZ.</w:t>
      </w:r>
    </w:p>
    <w:p w14:paraId="1F602CAF" w14:textId="77777777" w:rsidR="00CA42D2" w:rsidRPr="00AB3D26" w:rsidRDefault="00CA42D2" w:rsidP="00AB2090">
      <w:pPr>
        <w:spacing w:before="4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B3D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Způsob stanovení (výpočtu) možné změny závazku </w:t>
      </w:r>
    </w:p>
    <w:p w14:paraId="479EED05" w14:textId="77777777" w:rsidR="00F72AA3" w:rsidRPr="00AB3D26" w:rsidRDefault="00F72AA3" w:rsidP="00F72AA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t>Stanovení časově rozhodného období</w:t>
      </w:r>
    </w:p>
    <w:p w14:paraId="36F7C28B" w14:textId="4C4A3BB2" w:rsidR="00F72AA3" w:rsidRPr="00AB3D26" w:rsidRDefault="006679D9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referenční datum </w:t>
      </w:r>
      <w:r w:rsidR="006312EE">
        <w:rPr>
          <w:rFonts w:ascii="Times New Roman" w:hAnsi="Times New Roman" w:cs="Times New Roman"/>
          <w:sz w:val="24"/>
          <w:szCs w:val="24"/>
        </w:rPr>
        <w:t xml:space="preserve">pro případnou změnu závazku z důvodu mimořádného růstu cen </w:t>
      </w:r>
      <w:r>
        <w:rPr>
          <w:rFonts w:ascii="Times New Roman" w:hAnsi="Times New Roman" w:cs="Times New Roman"/>
          <w:sz w:val="24"/>
          <w:szCs w:val="24"/>
        </w:rPr>
        <w:t>byl určen p</w:t>
      </w:r>
      <w:r w:rsidR="00F72AA3" w:rsidRPr="00AB3D26">
        <w:rPr>
          <w:rFonts w:ascii="Times New Roman" w:hAnsi="Times New Roman" w:cs="Times New Roman"/>
          <w:sz w:val="24"/>
          <w:szCs w:val="24"/>
        </w:rPr>
        <w:t>očátek válečného konfliktu na Ukrajině</w:t>
      </w:r>
      <w:r>
        <w:rPr>
          <w:rFonts w:ascii="Times New Roman" w:hAnsi="Times New Roman" w:cs="Times New Roman"/>
          <w:sz w:val="24"/>
          <w:szCs w:val="24"/>
        </w:rPr>
        <w:t>, tj.</w:t>
      </w:r>
      <w:r w:rsidR="00F72AA3" w:rsidRPr="00AB3D26">
        <w:rPr>
          <w:rFonts w:ascii="Times New Roman" w:hAnsi="Times New Roman" w:cs="Times New Roman"/>
          <w:sz w:val="24"/>
          <w:szCs w:val="24"/>
        </w:rPr>
        <w:t> 24.</w:t>
      </w:r>
      <w:r w:rsidR="006312EE">
        <w:rPr>
          <w:rFonts w:ascii="Times New Roman" w:hAnsi="Times New Roman" w:cs="Times New Roman"/>
          <w:sz w:val="24"/>
          <w:szCs w:val="24"/>
        </w:rPr>
        <w:t xml:space="preserve"> </w:t>
      </w:r>
      <w:r w:rsidR="00F72AA3" w:rsidRPr="00AB3D26">
        <w:rPr>
          <w:rFonts w:ascii="Times New Roman" w:hAnsi="Times New Roman" w:cs="Times New Roman"/>
          <w:sz w:val="24"/>
          <w:szCs w:val="24"/>
        </w:rPr>
        <w:t>02.</w:t>
      </w:r>
      <w:r w:rsidR="006312EE">
        <w:rPr>
          <w:rFonts w:ascii="Times New Roman" w:hAnsi="Times New Roman" w:cs="Times New Roman"/>
          <w:sz w:val="24"/>
          <w:szCs w:val="24"/>
        </w:rPr>
        <w:t xml:space="preserve"> </w:t>
      </w:r>
      <w:r w:rsidR="00F72AA3" w:rsidRPr="00AB3D26">
        <w:rPr>
          <w:rFonts w:ascii="Times New Roman" w:hAnsi="Times New Roman" w:cs="Times New Roman"/>
          <w:sz w:val="24"/>
          <w:szCs w:val="24"/>
        </w:rPr>
        <w:t>2022</w:t>
      </w:r>
      <w:r w:rsidR="00E67E94" w:rsidRPr="00AB3D26">
        <w:rPr>
          <w:rFonts w:ascii="Times New Roman" w:hAnsi="Times New Roman" w:cs="Times New Roman"/>
          <w:sz w:val="24"/>
          <w:szCs w:val="24"/>
        </w:rPr>
        <w:t>.</w:t>
      </w:r>
      <w:r w:rsidR="006312EE">
        <w:rPr>
          <w:rFonts w:ascii="Times New Roman" w:hAnsi="Times New Roman" w:cs="Times New Roman"/>
          <w:sz w:val="24"/>
          <w:szCs w:val="24"/>
        </w:rPr>
        <w:t xml:space="preserve"> </w:t>
      </w:r>
      <w:r w:rsidR="00421904">
        <w:rPr>
          <w:rFonts w:ascii="Times New Roman" w:hAnsi="Times New Roman" w:cs="Times New Roman"/>
          <w:sz w:val="24"/>
          <w:szCs w:val="24"/>
        </w:rPr>
        <w:t>P</w:t>
      </w:r>
      <w:r w:rsidR="006312EE">
        <w:rPr>
          <w:rFonts w:ascii="Times New Roman" w:hAnsi="Times New Roman" w:cs="Times New Roman"/>
          <w:sz w:val="24"/>
          <w:szCs w:val="24"/>
        </w:rPr>
        <w:t>řípadn</w:t>
      </w:r>
      <w:r w:rsidR="00421904">
        <w:rPr>
          <w:rFonts w:ascii="Times New Roman" w:hAnsi="Times New Roman" w:cs="Times New Roman"/>
          <w:sz w:val="24"/>
          <w:szCs w:val="24"/>
        </w:rPr>
        <w:t>ý</w:t>
      </w:r>
      <w:r w:rsidR="006312EE">
        <w:rPr>
          <w:rFonts w:ascii="Times New Roman" w:hAnsi="Times New Roman" w:cs="Times New Roman"/>
          <w:sz w:val="24"/>
          <w:szCs w:val="24"/>
        </w:rPr>
        <w:t xml:space="preserve"> </w:t>
      </w:r>
      <w:r w:rsidR="00421904">
        <w:rPr>
          <w:rFonts w:ascii="Times New Roman" w:hAnsi="Times New Roman" w:cs="Times New Roman"/>
          <w:sz w:val="24"/>
          <w:szCs w:val="24"/>
        </w:rPr>
        <w:t>ná</w:t>
      </w:r>
      <w:r w:rsidR="006312EE">
        <w:rPr>
          <w:rFonts w:ascii="Times New Roman" w:hAnsi="Times New Roman" w:cs="Times New Roman"/>
          <w:sz w:val="24"/>
          <w:szCs w:val="24"/>
        </w:rPr>
        <w:t>růst cen</w:t>
      </w:r>
      <w:r w:rsidR="00421904">
        <w:rPr>
          <w:rFonts w:ascii="Times New Roman" w:hAnsi="Times New Roman" w:cs="Times New Roman"/>
          <w:sz w:val="24"/>
          <w:szCs w:val="24"/>
        </w:rPr>
        <w:t xml:space="preserve"> vybraných materiálů</w:t>
      </w:r>
      <w:r w:rsidR="006312EE">
        <w:rPr>
          <w:rFonts w:ascii="Times New Roman" w:hAnsi="Times New Roman" w:cs="Times New Roman"/>
          <w:sz w:val="24"/>
          <w:szCs w:val="24"/>
        </w:rPr>
        <w:t>, ke kterému došlo od doby zahájení plnění smlouvy do referenčního data,</w:t>
      </w:r>
      <w:r w:rsidR="00421904">
        <w:rPr>
          <w:rFonts w:ascii="Times New Roman" w:hAnsi="Times New Roman" w:cs="Times New Roman"/>
          <w:sz w:val="24"/>
          <w:szCs w:val="24"/>
        </w:rPr>
        <w:t xml:space="preserve"> tj. února 2022,</w:t>
      </w:r>
      <w:r w:rsidR="006312EE">
        <w:rPr>
          <w:rFonts w:ascii="Times New Roman" w:hAnsi="Times New Roman" w:cs="Times New Roman"/>
          <w:sz w:val="24"/>
          <w:szCs w:val="24"/>
        </w:rPr>
        <w:t xml:space="preserve"> </w:t>
      </w:r>
      <w:r w:rsidR="00421904">
        <w:rPr>
          <w:rFonts w:ascii="Times New Roman" w:hAnsi="Times New Roman" w:cs="Times New Roman"/>
          <w:sz w:val="24"/>
          <w:szCs w:val="24"/>
        </w:rPr>
        <w:t>nebude předmětem případné změny závazku</w:t>
      </w:r>
      <w:r w:rsidR="00415508">
        <w:rPr>
          <w:rFonts w:ascii="Times New Roman" w:hAnsi="Times New Roman" w:cs="Times New Roman"/>
          <w:sz w:val="24"/>
          <w:szCs w:val="24"/>
        </w:rPr>
        <w:t>.</w:t>
      </w:r>
    </w:p>
    <w:p w14:paraId="59EF0D49" w14:textId="11BDF5E7" w:rsidR="00F72AA3" w:rsidRPr="00AB3D26" w:rsidRDefault="00F72AA3" w:rsidP="001F03AA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Toto </w:t>
      </w:r>
      <w:r w:rsidR="006312EE">
        <w:rPr>
          <w:rFonts w:ascii="Times New Roman" w:hAnsi="Times New Roman" w:cs="Times New Roman"/>
          <w:sz w:val="24"/>
          <w:szCs w:val="24"/>
        </w:rPr>
        <w:t xml:space="preserve">referenční </w:t>
      </w:r>
      <w:r w:rsidRPr="00AB3D26">
        <w:rPr>
          <w:rFonts w:ascii="Times New Roman" w:hAnsi="Times New Roman" w:cs="Times New Roman"/>
          <w:sz w:val="24"/>
          <w:szCs w:val="24"/>
        </w:rPr>
        <w:t>datum určuje základní cenovou úroveň</w:t>
      </w:r>
      <w:r w:rsidR="00FD41F1">
        <w:rPr>
          <w:rFonts w:ascii="Times New Roman" w:hAnsi="Times New Roman" w:cs="Times New Roman"/>
          <w:sz w:val="24"/>
          <w:szCs w:val="24"/>
        </w:rPr>
        <w:t xml:space="preserve"> (</w:t>
      </w:r>
      <w:r w:rsidRPr="00AB3D26">
        <w:rPr>
          <w:rFonts w:ascii="Times New Roman" w:hAnsi="Times New Roman" w:cs="Times New Roman"/>
          <w:sz w:val="24"/>
          <w:szCs w:val="24"/>
        </w:rPr>
        <w:t>tzv. „</w:t>
      </w:r>
      <w:r w:rsidR="00E16EDC">
        <w:rPr>
          <w:rFonts w:ascii="Times New Roman" w:hAnsi="Times New Roman" w:cs="Times New Roman"/>
          <w:sz w:val="24"/>
          <w:szCs w:val="24"/>
        </w:rPr>
        <w:t>z</w:t>
      </w:r>
      <w:r w:rsidRPr="00AB3D26">
        <w:rPr>
          <w:rFonts w:ascii="Times New Roman" w:hAnsi="Times New Roman" w:cs="Times New Roman"/>
          <w:sz w:val="24"/>
          <w:szCs w:val="24"/>
        </w:rPr>
        <w:t>ákladní cenová úroveň“</w:t>
      </w:r>
      <w:r w:rsidR="00FD41F1">
        <w:rPr>
          <w:rFonts w:ascii="Times New Roman" w:hAnsi="Times New Roman" w:cs="Times New Roman"/>
          <w:sz w:val="24"/>
          <w:szCs w:val="24"/>
        </w:rPr>
        <w:t>)</w:t>
      </w:r>
      <w:r w:rsidRPr="00AB3D26">
        <w:rPr>
          <w:rFonts w:ascii="Times New Roman" w:hAnsi="Times New Roman" w:cs="Times New Roman"/>
          <w:sz w:val="24"/>
          <w:szCs w:val="24"/>
        </w:rPr>
        <w:t xml:space="preserve"> pro stanovení a kvantifikaci dopadů</w:t>
      </w:r>
      <w:r w:rsidR="006679D9">
        <w:rPr>
          <w:rFonts w:ascii="Times New Roman" w:hAnsi="Times New Roman" w:cs="Times New Roman"/>
          <w:sz w:val="24"/>
          <w:szCs w:val="24"/>
        </w:rPr>
        <w:t xml:space="preserve"> významného nárůstu cen materiálů (vybraných komodit)</w:t>
      </w:r>
      <w:r w:rsidRPr="00AB3D26">
        <w:rPr>
          <w:rFonts w:ascii="Times New Roman" w:hAnsi="Times New Roman" w:cs="Times New Roman"/>
          <w:sz w:val="24"/>
          <w:szCs w:val="24"/>
        </w:rPr>
        <w:t>, ke kterému bude následný stav porovnáván.</w:t>
      </w:r>
    </w:p>
    <w:p w14:paraId="42DD8B9A" w14:textId="3F8F69C6" w:rsidR="00F72AA3" w:rsidRPr="00AB3D26" w:rsidRDefault="00FC4F22" w:rsidP="00FC4F22">
      <w:pPr>
        <w:pStyle w:val="textIBR"/>
        <w:tabs>
          <w:tab w:val="clear" w:pos="588"/>
          <w:tab w:val="left" w:pos="1418"/>
        </w:tabs>
        <w:spacing w:after="12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lastRenderedPageBreak/>
        <w:t>Růst cen vybraných komodit, ke kterému došlo zejména v souvislosti s obnovením stavební výroby po</w:t>
      </w:r>
      <w:r w:rsidR="00073BAF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ukončení restriktivních opatření v souvislosti s pandemií COVID-19, se sice významnou měrou podíl</w:t>
      </w:r>
      <w:r w:rsidR="004372DF" w:rsidRPr="00AB3D26">
        <w:rPr>
          <w:rFonts w:ascii="Times New Roman" w:hAnsi="Times New Roman" w:cs="Times New Roman"/>
          <w:sz w:val="24"/>
          <w:szCs w:val="24"/>
        </w:rPr>
        <w:t>el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4372DF" w:rsidRPr="00AB3D26">
        <w:rPr>
          <w:rFonts w:ascii="Times New Roman" w:hAnsi="Times New Roman" w:cs="Times New Roman"/>
          <w:sz w:val="24"/>
          <w:szCs w:val="24"/>
        </w:rPr>
        <w:t xml:space="preserve">na </w:t>
      </w:r>
      <w:r w:rsidR="00AB215F" w:rsidRPr="00AB3D26">
        <w:rPr>
          <w:rFonts w:ascii="Times New Roman" w:hAnsi="Times New Roman" w:cs="Times New Roman"/>
          <w:sz w:val="24"/>
          <w:szCs w:val="24"/>
        </w:rPr>
        <w:t>cenové úrovni</w:t>
      </w:r>
      <w:r w:rsidR="004372DF" w:rsidRPr="00AB3D26">
        <w:rPr>
          <w:rFonts w:ascii="Times New Roman" w:hAnsi="Times New Roman" w:cs="Times New Roman"/>
          <w:sz w:val="24"/>
          <w:szCs w:val="24"/>
        </w:rPr>
        <w:t xml:space="preserve"> před zahájením konfliktu na Ukrajině</w:t>
      </w:r>
      <w:r w:rsidRPr="00AB3D26">
        <w:rPr>
          <w:rFonts w:ascii="Times New Roman" w:hAnsi="Times New Roman" w:cs="Times New Roman"/>
          <w:sz w:val="24"/>
          <w:szCs w:val="24"/>
        </w:rPr>
        <w:t xml:space="preserve">, ale sám o sobě </w:t>
      </w:r>
      <w:r w:rsidR="00AB215F" w:rsidRPr="00AB3D26">
        <w:rPr>
          <w:rFonts w:ascii="Times New Roman" w:hAnsi="Times New Roman" w:cs="Times New Roman"/>
          <w:sz w:val="24"/>
          <w:szCs w:val="24"/>
        </w:rPr>
        <w:t xml:space="preserve">ještě nedosáhl </w:t>
      </w:r>
      <w:r w:rsidR="000B6E6B" w:rsidRPr="00AB3D26">
        <w:rPr>
          <w:rFonts w:ascii="Times New Roman" w:hAnsi="Times New Roman" w:cs="Times New Roman"/>
          <w:sz w:val="24"/>
          <w:szCs w:val="24"/>
        </w:rPr>
        <w:t>takového významu</w:t>
      </w:r>
      <w:r w:rsidRPr="00AB3D26">
        <w:rPr>
          <w:rFonts w:ascii="Times New Roman" w:hAnsi="Times New Roman" w:cs="Times New Roman"/>
          <w:sz w:val="24"/>
          <w:szCs w:val="24"/>
        </w:rPr>
        <w:t>, kter</w:t>
      </w:r>
      <w:r w:rsidR="000B6E6B" w:rsidRPr="00AB3D26">
        <w:rPr>
          <w:rFonts w:ascii="Times New Roman" w:hAnsi="Times New Roman" w:cs="Times New Roman"/>
          <w:sz w:val="24"/>
          <w:szCs w:val="24"/>
        </w:rPr>
        <w:t>ý</w:t>
      </w:r>
      <w:r w:rsidRPr="00AB3D26">
        <w:rPr>
          <w:rFonts w:ascii="Times New Roman" w:hAnsi="Times New Roman" w:cs="Times New Roman"/>
          <w:sz w:val="24"/>
          <w:szCs w:val="24"/>
        </w:rPr>
        <w:t xml:space="preserve"> by </w:t>
      </w:r>
      <w:r w:rsidR="006C0664" w:rsidRPr="00AB3D26">
        <w:rPr>
          <w:rFonts w:ascii="Times New Roman" w:hAnsi="Times New Roman" w:cs="Times New Roman"/>
          <w:sz w:val="24"/>
          <w:szCs w:val="24"/>
        </w:rPr>
        <w:t>zdůvodňoval</w:t>
      </w:r>
      <w:r w:rsidR="0052428D" w:rsidRPr="00AB3D26">
        <w:rPr>
          <w:rFonts w:ascii="Times New Roman" w:hAnsi="Times New Roman" w:cs="Times New Roman"/>
          <w:sz w:val="24"/>
          <w:szCs w:val="24"/>
        </w:rPr>
        <w:t xml:space="preserve"> změn</w:t>
      </w:r>
      <w:r w:rsidR="006C0664" w:rsidRPr="00AB3D26">
        <w:rPr>
          <w:rFonts w:ascii="Times New Roman" w:hAnsi="Times New Roman" w:cs="Times New Roman"/>
          <w:sz w:val="24"/>
          <w:szCs w:val="24"/>
        </w:rPr>
        <w:t>u</w:t>
      </w:r>
      <w:r w:rsidR="0052428D" w:rsidRPr="00AB3D26">
        <w:rPr>
          <w:rFonts w:ascii="Times New Roman" w:hAnsi="Times New Roman" w:cs="Times New Roman"/>
          <w:sz w:val="24"/>
          <w:szCs w:val="24"/>
        </w:rPr>
        <w:t xml:space="preserve"> uzavřených závazků ze strany jednotlivých zadavatelů. Teprve </w:t>
      </w:r>
      <w:r w:rsidR="004372DF" w:rsidRPr="00AB3D26">
        <w:rPr>
          <w:rFonts w:ascii="Times New Roman" w:hAnsi="Times New Roman" w:cs="Times New Roman"/>
          <w:sz w:val="24"/>
          <w:szCs w:val="24"/>
        </w:rPr>
        <w:t>následným působením dalšího faktoru – konfliktu na Ukrajině</w:t>
      </w:r>
      <w:r w:rsidR="0052428D" w:rsidRPr="00AB3D26">
        <w:rPr>
          <w:rFonts w:ascii="Times New Roman" w:hAnsi="Times New Roman" w:cs="Times New Roman"/>
          <w:sz w:val="24"/>
          <w:szCs w:val="24"/>
        </w:rPr>
        <w:t xml:space="preserve">, </w:t>
      </w:r>
      <w:r w:rsidR="006C0664" w:rsidRPr="00AB3D26">
        <w:rPr>
          <w:rFonts w:ascii="Times New Roman" w:hAnsi="Times New Roman" w:cs="Times New Roman"/>
          <w:sz w:val="24"/>
          <w:szCs w:val="24"/>
        </w:rPr>
        <w:t xml:space="preserve">došlo k situaci, kterou již lze považovat za relevantní z hlediska takového postupu zadavatele. 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F72AA3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163DE" w14:textId="77777777" w:rsidR="00F72AA3" w:rsidRPr="00AB3D26" w:rsidRDefault="00F72AA3" w:rsidP="00505B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t>Identifikace rozhodujících materiálových skupin, které jsou</w:t>
      </w:r>
      <w:r w:rsidR="006679D9">
        <w:rPr>
          <w:rFonts w:ascii="Times New Roman" w:hAnsi="Times New Roman" w:cs="Times New Roman"/>
          <w:b/>
          <w:bCs/>
          <w:sz w:val="24"/>
          <w:szCs w:val="24"/>
        </w:rPr>
        <w:t xml:space="preserve"> výše uvedenými skutečnostmi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ovlivněny v rozhodující míře</w:t>
      </w:r>
    </w:p>
    <w:p w14:paraId="0FA11C16" w14:textId="7BD99603" w:rsidR="00F72AA3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Předmětem zkoumání budou pouze předem určené skupiny materiálů</w:t>
      </w:r>
      <w:r w:rsidR="00DC30A1" w:rsidRPr="00AB3D26">
        <w:rPr>
          <w:rFonts w:ascii="Times New Roman" w:hAnsi="Times New Roman" w:cs="Times New Roman"/>
          <w:sz w:val="24"/>
          <w:szCs w:val="24"/>
        </w:rPr>
        <w:t xml:space="preserve"> a výrobků</w:t>
      </w:r>
      <w:r w:rsidRPr="00AB3D26">
        <w:rPr>
          <w:rFonts w:ascii="Times New Roman" w:hAnsi="Times New Roman" w:cs="Times New Roman"/>
          <w:sz w:val="24"/>
          <w:szCs w:val="24"/>
        </w:rPr>
        <w:t>, u</w:t>
      </w:r>
      <w:r w:rsidR="00073BAF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kterých je možné pracovat s důvodným předpokladem, že jejich tržní cena</w:t>
      </w:r>
      <w:r w:rsidR="006679D9">
        <w:rPr>
          <w:rFonts w:ascii="Times New Roman" w:hAnsi="Times New Roman" w:cs="Times New Roman"/>
          <w:sz w:val="24"/>
          <w:szCs w:val="24"/>
        </w:rPr>
        <w:t xml:space="preserve"> je významně</w:t>
      </w:r>
      <w:r w:rsidRPr="00AB3D26">
        <w:rPr>
          <w:rFonts w:ascii="Times New Roman" w:hAnsi="Times New Roman" w:cs="Times New Roman"/>
          <w:sz w:val="24"/>
          <w:szCs w:val="24"/>
        </w:rPr>
        <w:t xml:space="preserve"> ovlivněna </w:t>
      </w:r>
      <w:r w:rsidR="00421904">
        <w:rPr>
          <w:rFonts w:ascii="Times New Roman" w:hAnsi="Times New Roman" w:cs="Times New Roman"/>
          <w:sz w:val="24"/>
          <w:szCs w:val="24"/>
        </w:rPr>
        <w:t>mimořádnou cenovou odchylkou od situace, kterou bylo možno na daném trhu rozumně očekávat v době podání cenové nabídky, resp. v době uzavření smlouvy.</w:t>
      </w:r>
    </w:p>
    <w:p w14:paraId="19D76E50" w14:textId="401ECCDC" w:rsidR="00924FCF" w:rsidRPr="008727D5" w:rsidRDefault="00924FCF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8727D5">
        <w:rPr>
          <w:rFonts w:ascii="Times New Roman" w:hAnsi="Times New Roman" w:cs="Times New Roman"/>
          <w:sz w:val="24"/>
          <w:szCs w:val="24"/>
        </w:rPr>
        <w:t xml:space="preserve">Jiné dopady než ty, které </w:t>
      </w:r>
      <w:r w:rsidR="00083851">
        <w:rPr>
          <w:rFonts w:ascii="Times New Roman" w:hAnsi="Times New Roman" w:cs="Times New Roman"/>
          <w:sz w:val="24"/>
          <w:szCs w:val="24"/>
        </w:rPr>
        <w:t>jsou vymezeny určenou skupinou materiálů a výrobků</w:t>
      </w:r>
      <w:r w:rsidRPr="008727D5">
        <w:rPr>
          <w:rFonts w:ascii="Times New Roman" w:hAnsi="Times New Roman" w:cs="Times New Roman"/>
          <w:sz w:val="24"/>
          <w:szCs w:val="24"/>
        </w:rPr>
        <w:t>, nebudou předmětem platby podle této metodiky</w:t>
      </w:r>
      <w:r w:rsidR="00083851">
        <w:rPr>
          <w:rFonts w:ascii="Times New Roman" w:hAnsi="Times New Roman" w:cs="Times New Roman"/>
          <w:sz w:val="24"/>
          <w:szCs w:val="24"/>
        </w:rPr>
        <w:t>.</w:t>
      </w:r>
      <w:r w:rsidRPr="008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31B65" w14:textId="77777777" w:rsidR="00E519B0" w:rsidRPr="00AB3D26" w:rsidRDefault="00E519B0" w:rsidP="00D12524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sz w:val="24"/>
          <w:szCs w:val="24"/>
        </w:rPr>
      </w:pPr>
    </w:p>
    <w:p w14:paraId="315EE0E3" w14:textId="77777777" w:rsidR="00F72AA3" w:rsidRPr="00AB3D26" w:rsidRDefault="00F72AA3" w:rsidP="00DC30A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t>Určení statistických zdrojů</w:t>
      </w:r>
    </w:p>
    <w:p w14:paraId="1FE62D39" w14:textId="4D6A48DC" w:rsidR="00216FD5" w:rsidRPr="00AB3D26" w:rsidRDefault="00F72AA3" w:rsidP="00216FD5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Pro určené skupiny materiálů bude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vývoj jejich cen porovnáván oproti stanovenému statistickému zdroji</w:t>
      </w:r>
      <w:r w:rsidR="00924FCF">
        <w:rPr>
          <w:rFonts w:ascii="Times New Roman" w:hAnsi="Times New Roman" w:cs="Times New Roman"/>
          <w:sz w:val="24"/>
          <w:szCs w:val="24"/>
        </w:rPr>
        <w:t xml:space="preserve"> (b</w:t>
      </w:r>
      <w:r w:rsidR="00421904">
        <w:rPr>
          <w:rFonts w:ascii="Times New Roman" w:hAnsi="Times New Roman" w:cs="Times New Roman"/>
          <w:sz w:val="24"/>
          <w:szCs w:val="24"/>
        </w:rPr>
        <w:t>líže o stanoveném statistickém zdroji viz níže</w:t>
      </w:r>
      <w:r w:rsidR="00924FCF">
        <w:rPr>
          <w:rFonts w:ascii="Times New Roman" w:hAnsi="Times New Roman" w:cs="Times New Roman"/>
          <w:sz w:val="24"/>
          <w:szCs w:val="24"/>
        </w:rPr>
        <w:t>)</w:t>
      </w:r>
      <w:r w:rsidR="004219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1A57E" w14:textId="39A69127" w:rsidR="00216FD5" w:rsidRPr="00AB3D26" w:rsidRDefault="00216FD5" w:rsidP="00216FD5">
      <w:pPr>
        <w:pStyle w:val="textIBR"/>
        <w:tabs>
          <w:tab w:val="left" w:pos="851"/>
        </w:tabs>
        <w:spacing w:after="12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Statistické zdroje je možné považovat za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nejvhodnější objektivní zdroj informací pro stanovení cenové úrovně </w:t>
      </w:r>
      <w:r w:rsidR="00F112A5">
        <w:rPr>
          <w:rFonts w:ascii="Times New Roman" w:hAnsi="Times New Roman" w:cs="Times New Roman"/>
          <w:b/>
          <w:bCs w:val="0"/>
          <w:sz w:val="24"/>
          <w:szCs w:val="24"/>
        </w:rPr>
        <w:t>v daném čase</w:t>
      </w:r>
      <w:r w:rsidRPr="00AB3D26">
        <w:rPr>
          <w:rFonts w:ascii="Times New Roman" w:hAnsi="Times New Roman" w:cs="Times New Roman"/>
          <w:sz w:val="24"/>
          <w:szCs w:val="24"/>
        </w:rPr>
        <w:t xml:space="preserve">. Ze své podstaty </w:t>
      </w:r>
      <w:r w:rsidR="00F112A5">
        <w:rPr>
          <w:rFonts w:ascii="Times New Roman" w:hAnsi="Times New Roman" w:cs="Times New Roman"/>
          <w:sz w:val="24"/>
          <w:szCs w:val="24"/>
        </w:rPr>
        <w:t xml:space="preserve">užívají </w:t>
      </w:r>
      <w:r w:rsidRPr="00AB3D26">
        <w:rPr>
          <w:rFonts w:ascii="Times New Roman" w:hAnsi="Times New Roman" w:cs="Times New Roman"/>
          <w:sz w:val="24"/>
          <w:szCs w:val="24"/>
        </w:rPr>
        <w:t>jednotnou metodiku stanovení konkrétních</w:t>
      </w:r>
      <w:r w:rsidR="00340B5F">
        <w:rPr>
          <w:rFonts w:ascii="Times New Roman" w:hAnsi="Times New Roman" w:cs="Times New Roman"/>
          <w:sz w:val="24"/>
          <w:szCs w:val="24"/>
        </w:rPr>
        <w:t xml:space="preserve"> </w:t>
      </w:r>
      <w:r w:rsidR="00F112A5">
        <w:rPr>
          <w:rFonts w:ascii="Times New Roman" w:hAnsi="Times New Roman" w:cs="Times New Roman"/>
          <w:sz w:val="24"/>
          <w:szCs w:val="24"/>
        </w:rPr>
        <w:t>údajů</w:t>
      </w:r>
      <w:r w:rsidRPr="00AB3D26">
        <w:rPr>
          <w:rFonts w:ascii="Times New Roman" w:hAnsi="Times New Roman" w:cs="Times New Roman"/>
          <w:sz w:val="24"/>
          <w:szCs w:val="24"/>
        </w:rPr>
        <w:t>, kter</w:t>
      </w:r>
      <w:r w:rsidR="00340B5F">
        <w:rPr>
          <w:rFonts w:ascii="Times New Roman" w:hAnsi="Times New Roman" w:cs="Times New Roman"/>
          <w:sz w:val="24"/>
          <w:szCs w:val="24"/>
        </w:rPr>
        <w:t>á</w:t>
      </w:r>
      <w:r w:rsidRPr="00AB3D26">
        <w:rPr>
          <w:rFonts w:ascii="Times New Roman" w:hAnsi="Times New Roman" w:cs="Times New Roman"/>
          <w:sz w:val="24"/>
          <w:szCs w:val="24"/>
        </w:rPr>
        <w:t xml:space="preserve"> umožnuje stanovit míru změny ceny materiálů v požadovaném členění</w:t>
      </w:r>
      <w:r w:rsidRPr="00984928">
        <w:rPr>
          <w:rFonts w:ascii="Times New Roman" w:hAnsi="Times New Roman" w:cs="Times New Roman"/>
          <w:sz w:val="24"/>
          <w:szCs w:val="24"/>
        </w:rPr>
        <w:t xml:space="preserve">. Stanovení ceny v místě a čase obvyklé, která by měla přímou vazbu na individuální cenovou nabídku </w:t>
      </w:r>
      <w:r w:rsidR="007A0B55">
        <w:rPr>
          <w:rFonts w:ascii="Times New Roman" w:hAnsi="Times New Roman" w:cs="Times New Roman"/>
          <w:sz w:val="24"/>
          <w:szCs w:val="24"/>
        </w:rPr>
        <w:t>z</w:t>
      </w:r>
      <w:r w:rsidRPr="00984928">
        <w:rPr>
          <w:rFonts w:ascii="Times New Roman" w:hAnsi="Times New Roman" w:cs="Times New Roman"/>
          <w:sz w:val="24"/>
          <w:szCs w:val="24"/>
        </w:rPr>
        <w:t>hotovitele, a tedy Smlouvu o</w:t>
      </w:r>
      <w:r w:rsidR="00C47A8F">
        <w:rPr>
          <w:rFonts w:ascii="Times New Roman" w:hAnsi="Times New Roman" w:cs="Times New Roman"/>
          <w:sz w:val="24"/>
          <w:szCs w:val="24"/>
        </w:rPr>
        <w:t> </w:t>
      </w:r>
      <w:r w:rsidR="007A0B55">
        <w:rPr>
          <w:rFonts w:ascii="Times New Roman" w:hAnsi="Times New Roman" w:cs="Times New Roman"/>
          <w:sz w:val="24"/>
          <w:szCs w:val="24"/>
        </w:rPr>
        <w:t>d</w:t>
      </w:r>
      <w:r w:rsidRPr="00984928">
        <w:rPr>
          <w:rFonts w:ascii="Times New Roman" w:hAnsi="Times New Roman" w:cs="Times New Roman"/>
          <w:sz w:val="24"/>
          <w:szCs w:val="24"/>
        </w:rPr>
        <w:t>ílo, nese naproti tomu značná rizika a míru nepřesnosti</w:t>
      </w:r>
      <w:r w:rsidR="00340B5F">
        <w:rPr>
          <w:rFonts w:ascii="Times New Roman" w:hAnsi="Times New Roman" w:cs="Times New Roman"/>
          <w:sz w:val="24"/>
          <w:szCs w:val="24"/>
        </w:rPr>
        <w:t xml:space="preserve"> (viz dále)</w:t>
      </w:r>
      <w:r w:rsidRPr="00984928">
        <w:rPr>
          <w:rFonts w:ascii="Times New Roman" w:hAnsi="Times New Roman" w:cs="Times New Roman"/>
          <w:sz w:val="24"/>
          <w:szCs w:val="24"/>
        </w:rPr>
        <w:t>.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6BF0C" w14:textId="00F4DB5F" w:rsidR="00216FD5" w:rsidRPr="00AB3D26" w:rsidRDefault="00216FD5" w:rsidP="00216FD5">
      <w:pPr>
        <w:pStyle w:val="textIBR"/>
        <w:tabs>
          <w:tab w:val="left" w:pos="851"/>
        </w:tabs>
        <w:spacing w:after="12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Základním východiskem je skutečnost, že nabídkov</w:t>
      </w:r>
      <w:r w:rsidR="00340B5F">
        <w:rPr>
          <w:rFonts w:ascii="Times New Roman" w:hAnsi="Times New Roman" w:cs="Times New Roman"/>
          <w:sz w:val="24"/>
          <w:szCs w:val="24"/>
        </w:rPr>
        <w:t>ou</w:t>
      </w:r>
      <w:r w:rsidRPr="00AB3D26">
        <w:rPr>
          <w:rFonts w:ascii="Times New Roman" w:hAnsi="Times New Roman" w:cs="Times New Roman"/>
          <w:sz w:val="24"/>
          <w:szCs w:val="24"/>
        </w:rPr>
        <w:t xml:space="preserve"> cen</w:t>
      </w:r>
      <w:r w:rsidR="00340B5F">
        <w:rPr>
          <w:rFonts w:ascii="Times New Roman" w:hAnsi="Times New Roman" w:cs="Times New Roman"/>
          <w:sz w:val="24"/>
          <w:szCs w:val="24"/>
        </w:rPr>
        <w:t>u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657C6D">
        <w:rPr>
          <w:rFonts w:ascii="Times New Roman" w:hAnsi="Times New Roman" w:cs="Times New Roman"/>
          <w:sz w:val="24"/>
          <w:szCs w:val="24"/>
        </w:rPr>
        <w:t xml:space="preserve">u </w:t>
      </w:r>
      <w:r w:rsidRPr="00AB3D26">
        <w:rPr>
          <w:rFonts w:ascii="Times New Roman" w:hAnsi="Times New Roman" w:cs="Times New Roman"/>
          <w:sz w:val="24"/>
          <w:szCs w:val="24"/>
        </w:rPr>
        <w:t xml:space="preserve">konkrétních zakázek není </w:t>
      </w:r>
      <w:r w:rsidR="00340B5F">
        <w:rPr>
          <w:rFonts w:ascii="Times New Roman" w:hAnsi="Times New Roman" w:cs="Times New Roman"/>
          <w:sz w:val="24"/>
          <w:szCs w:val="24"/>
        </w:rPr>
        <w:t xml:space="preserve">možné považovat za </w:t>
      </w:r>
      <w:r w:rsidRPr="00AB3D26">
        <w:rPr>
          <w:rFonts w:ascii="Times New Roman" w:hAnsi="Times New Roman" w:cs="Times New Roman"/>
          <w:sz w:val="24"/>
          <w:szCs w:val="24"/>
        </w:rPr>
        <w:t>cen</w:t>
      </w:r>
      <w:r w:rsidR="00340B5F">
        <w:rPr>
          <w:rFonts w:ascii="Times New Roman" w:hAnsi="Times New Roman" w:cs="Times New Roman"/>
          <w:sz w:val="24"/>
          <w:szCs w:val="24"/>
        </w:rPr>
        <w:t>u</w:t>
      </w:r>
      <w:r w:rsidRPr="00AB3D26">
        <w:rPr>
          <w:rFonts w:ascii="Times New Roman" w:hAnsi="Times New Roman" w:cs="Times New Roman"/>
          <w:sz w:val="24"/>
          <w:szCs w:val="24"/>
        </w:rPr>
        <w:t xml:space="preserve"> obvyklou k</w:t>
      </w:r>
      <w:r w:rsidR="00340B5F">
        <w:rPr>
          <w:rFonts w:ascii="Times New Roman" w:hAnsi="Times New Roman" w:cs="Times New Roman"/>
          <w:sz w:val="24"/>
          <w:szCs w:val="24"/>
        </w:rPr>
        <w:t xml:space="preserve"> referenčnímu </w:t>
      </w:r>
      <w:r w:rsidRPr="00AB3D26">
        <w:rPr>
          <w:rFonts w:ascii="Times New Roman" w:hAnsi="Times New Roman" w:cs="Times New Roman"/>
          <w:sz w:val="24"/>
          <w:szCs w:val="24"/>
        </w:rPr>
        <w:t>datu 24.2.2022. Tzv. Základní cenov</w:t>
      </w:r>
      <w:r w:rsidR="00C47A8F">
        <w:rPr>
          <w:rFonts w:ascii="Times New Roman" w:hAnsi="Times New Roman" w:cs="Times New Roman"/>
          <w:sz w:val="24"/>
          <w:szCs w:val="24"/>
        </w:rPr>
        <w:t>ou</w:t>
      </w:r>
      <w:r w:rsidRPr="00AB3D26">
        <w:rPr>
          <w:rFonts w:ascii="Times New Roman" w:hAnsi="Times New Roman" w:cs="Times New Roman"/>
          <w:sz w:val="24"/>
          <w:szCs w:val="24"/>
        </w:rPr>
        <w:t xml:space="preserve"> úroveň, která je vstupním cenovým údajem této Metodiky, není možné ze </w:t>
      </w:r>
      <w:r w:rsidR="003A5D37">
        <w:rPr>
          <w:rFonts w:ascii="Times New Roman" w:hAnsi="Times New Roman" w:cs="Times New Roman"/>
          <w:sz w:val="24"/>
          <w:szCs w:val="24"/>
        </w:rPr>
        <w:t>s</w:t>
      </w:r>
      <w:r w:rsidR="003A5D37" w:rsidRPr="00AB3D26">
        <w:rPr>
          <w:rFonts w:ascii="Times New Roman" w:hAnsi="Times New Roman" w:cs="Times New Roman"/>
          <w:sz w:val="24"/>
          <w:szCs w:val="24"/>
        </w:rPr>
        <w:t xml:space="preserve">mluvní </w:t>
      </w:r>
      <w:r w:rsidRPr="00AB3D26">
        <w:rPr>
          <w:rFonts w:ascii="Times New Roman" w:hAnsi="Times New Roman" w:cs="Times New Roman"/>
          <w:sz w:val="24"/>
          <w:szCs w:val="24"/>
        </w:rPr>
        <w:t xml:space="preserve">ceny stanovit. Důvodem je </w:t>
      </w:r>
      <w:proofErr w:type="gramStart"/>
      <w:r w:rsidRPr="00AB3D26">
        <w:rPr>
          <w:rFonts w:ascii="Times New Roman" w:hAnsi="Times New Roman" w:cs="Times New Roman"/>
          <w:sz w:val="24"/>
          <w:szCs w:val="24"/>
        </w:rPr>
        <w:t>rozdílné  datum</w:t>
      </w:r>
      <w:proofErr w:type="gramEnd"/>
      <w:r w:rsidRPr="00AB3D26">
        <w:rPr>
          <w:rFonts w:ascii="Times New Roman" w:hAnsi="Times New Roman" w:cs="Times New Roman"/>
          <w:sz w:val="24"/>
          <w:szCs w:val="24"/>
        </w:rPr>
        <w:t xml:space="preserve"> podání nabídky, které může být v případě řešených zakázek i s odchylkou v řádu let od</w:t>
      </w:r>
      <w:r w:rsidR="00C47A8F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 xml:space="preserve">24.2.2022, a také skutečnost, kdy </w:t>
      </w:r>
      <w:r w:rsidR="003A5D37">
        <w:rPr>
          <w:rFonts w:ascii="Times New Roman" w:hAnsi="Times New Roman" w:cs="Times New Roman"/>
          <w:sz w:val="24"/>
          <w:szCs w:val="24"/>
        </w:rPr>
        <w:t>s</w:t>
      </w:r>
      <w:r w:rsidR="003A5D37" w:rsidRPr="00AB3D26">
        <w:rPr>
          <w:rFonts w:ascii="Times New Roman" w:hAnsi="Times New Roman" w:cs="Times New Roman"/>
          <w:sz w:val="24"/>
          <w:szCs w:val="24"/>
        </w:rPr>
        <w:t xml:space="preserve">mluvní </w:t>
      </w:r>
      <w:r w:rsidRPr="00AB3D26">
        <w:rPr>
          <w:rFonts w:ascii="Times New Roman" w:hAnsi="Times New Roman" w:cs="Times New Roman"/>
          <w:sz w:val="24"/>
          <w:szCs w:val="24"/>
        </w:rPr>
        <w:t xml:space="preserve">cena neodpovídá definici </w:t>
      </w:r>
      <w:r w:rsidR="0026672D">
        <w:rPr>
          <w:rFonts w:ascii="Times New Roman" w:hAnsi="Times New Roman" w:cs="Times New Roman"/>
          <w:sz w:val="24"/>
          <w:szCs w:val="24"/>
        </w:rPr>
        <w:t>o</w:t>
      </w:r>
      <w:r w:rsidRPr="00AB3D26">
        <w:rPr>
          <w:rFonts w:ascii="Times New Roman" w:hAnsi="Times New Roman" w:cs="Times New Roman"/>
          <w:sz w:val="24"/>
          <w:szCs w:val="24"/>
        </w:rPr>
        <w:t>bvyklé ceny</w:t>
      </w:r>
      <w:r w:rsidR="0026672D" w:rsidRPr="008727D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8727D5">
        <w:rPr>
          <w:rFonts w:ascii="Times New Roman" w:hAnsi="Times New Roman" w:cs="Times New Roman"/>
          <w:sz w:val="24"/>
          <w:szCs w:val="24"/>
        </w:rPr>
        <w:t>,</w:t>
      </w:r>
      <w:r w:rsidRPr="00AB3D26">
        <w:rPr>
          <w:rFonts w:ascii="Times New Roman" w:hAnsi="Times New Roman" w:cs="Times New Roman"/>
          <w:sz w:val="24"/>
          <w:szCs w:val="24"/>
        </w:rPr>
        <w:t xml:space="preserve"> neboť se jedná výhradně o </w:t>
      </w:r>
      <w:r w:rsidR="00D12524">
        <w:rPr>
          <w:rFonts w:ascii="Times New Roman" w:hAnsi="Times New Roman" w:cs="Times New Roman"/>
          <w:sz w:val="24"/>
          <w:szCs w:val="24"/>
        </w:rPr>
        <w:t>jeden</w:t>
      </w:r>
      <w:r w:rsidRPr="00AB3D26">
        <w:rPr>
          <w:rFonts w:ascii="Times New Roman" w:hAnsi="Times New Roman" w:cs="Times New Roman"/>
          <w:sz w:val="24"/>
          <w:szCs w:val="24"/>
        </w:rPr>
        <w:t xml:space="preserve"> prvek, a ne jejich množinu.</w:t>
      </w:r>
    </w:p>
    <w:p w14:paraId="50175956" w14:textId="24679128" w:rsidR="00216FD5" w:rsidRPr="00AB3D26" w:rsidRDefault="00216FD5" w:rsidP="00216FD5">
      <w:pPr>
        <w:pStyle w:val="textIBR"/>
        <w:tabs>
          <w:tab w:val="left" w:pos="851"/>
        </w:tabs>
        <w:spacing w:after="12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lastRenderedPageBreak/>
        <w:t>S ohledem na požadavek obecn</w:t>
      </w:r>
      <w:r w:rsidR="00C47A8F">
        <w:rPr>
          <w:rFonts w:ascii="Times New Roman" w:hAnsi="Times New Roman" w:cs="Times New Roman"/>
          <w:sz w:val="24"/>
          <w:szCs w:val="24"/>
        </w:rPr>
        <w:t>é</w:t>
      </w:r>
      <w:r w:rsidRPr="00AB3D26">
        <w:rPr>
          <w:rFonts w:ascii="Times New Roman" w:hAnsi="Times New Roman" w:cs="Times New Roman"/>
          <w:sz w:val="24"/>
          <w:szCs w:val="24"/>
        </w:rPr>
        <w:t xml:space="preserve"> a univerzální platnost</w:t>
      </w:r>
      <w:r w:rsidR="00C47A8F">
        <w:rPr>
          <w:rFonts w:ascii="Times New Roman" w:hAnsi="Times New Roman" w:cs="Times New Roman"/>
          <w:sz w:val="24"/>
          <w:szCs w:val="24"/>
        </w:rPr>
        <w:t>i</w:t>
      </w:r>
      <w:r w:rsidRPr="00AB3D26">
        <w:rPr>
          <w:rFonts w:ascii="Times New Roman" w:hAnsi="Times New Roman" w:cs="Times New Roman"/>
          <w:sz w:val="24"/>
          <w:szCs w:val="24"/>
        </w:rPr>
        <w:t xml:space="preserve"> této Metodiky je nezbytné toto statistické vyhodnocení nastavit v obecné rovině. Takový přístup odpovídá i principům OTSKP, jako cenové soustavě, která </w:t>
      </w:r>
      <w:proofErr w:type="gramStart"/>
      <w:r w:rsidRPr="00AB3D26">
        <w:rPr>
          <w:rFonts w:ascii="Times New Roman" w:hAnsi="Times New Roman" w:cs="Times New Roman"/>
          <w:sz w:val="24"/>
          <w:szCs w:val="24"/>
        </w:rPr>
        <w:t>slouží</w:t>
      </w:r>
      <w:proofErr w:type="gramEnd"/>
      <w:r w:rsidRPr="00AB3D26">
        <w:rPr>
          <w:rFonts w:ascii="Times New Roman" w:hAnsi="Times New Roman" w:cs="Times New Roman"/>
          <w:sz w:val="24"/>
          <w:szCs w:val="24"/>
        </w:rPr>
        <w:t xml:space="preserve"> pro zpracování soupisu prací stavebních zakázek </w:t>
      </w:r>
      <w:r w:rsidR="00E52407">
        <w:rPr>
          <w:rFonts w:ascii="Times New Roman" w:hAnsi="Times New Roman" w:cs="Times New Roman"/>
          <w:sz w:val="24"/>
          <w:szCs w:val="24"/>
        </w:rPr>
        <w:t>výše uvedených resortních zadavatelů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</w:p>
    <w:p w14:paraId="2ACB1993" w14:textId="77777777" w:rsidR="00216FD5" w:rsidRPr="00AB3D26" w:rsidRDefault="00216FD5" w:rsidP="00216FD5">
      <w:pPr>
        <w:pStyle w:val="textIBR"/>
        <w:tabs>
          <w:tab w:val="left" w:pos="851"/>
        </w:tabs>
        <w:spacing w:after="12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Jednotková cena shodných položek se v rámci České republiky </w:t>
      </w:r>
      <w:proofErr w:type="gramStart"/>
      <w:r w:rsidRPr="00AB3D26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Pr="00AB3D26">
        <w:rPr>
          <w:rFonts w:ascii="Times New Roman" w:hAnsi="Times New Roman" w:cs="Times New Roman"/>
          <w:sz w:val="24"/>
          <w:szCs w:val="24"/>
        </w:rPr>
        <w:t xml:space="preserve"> u různých zakázek i ke shodnému datu, neboť v sobě zahrnuje místní specifika jednotlivých projektů a</w:t>
      </w:r>
      <w:r w:rsidR="00E52407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zejména obchodní hledisko konkrétních uchazečů, které může mimo jiné obsahovat skladovou dostupnost materiálových vstupů, stávající kontrakty se subdodavateli a</w:t>
      </w:r>
      <w:r w:rsidR="00E52407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 xml:space="preserve">jiné parametry, které nabídkovou cenu určují. Zohlednění těchto faktorů ovšem není objektivně možné pro individuální stanovení cenové úrovně s měsíční frekvencí, jak tato Metodika požaduje. </w:t>
      </w:r>
    </w:p>
    <w:p w14:paraId="4CA0F45E" w14:textId="77777777" w:rsidR="00216FD5" w:rsidRPr="00AB3D26" w:rsidRDefault="00216FD5" w:rsidP="00216FD5">
      <w:pPr>
        <w:pStyle w:val="textIBR"/>
        <w:tabs>
          <w:tab w:val="clear" w:pos="588"/>
          <w:tab w:val="left" w:pos="851"/>
        </w:tabs>
        <w:spacing w:after="12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Použití univerzálních statistických zdrojů odpovídá obecné definici ceny obvyklé a je možné jej považovat za jediný relevantní způsob, jak určit požadovanou míru změny.</w:t>
      </w:r>
    </w:p>
    <w:p w14:paraId="55CB9D6D" w14:textId="3C564D90" w:rsidR="00433706" w:rsidRPr="00AB3D26" w:rsidRDefault="00DC30A1" w:rsidP="00433706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Prioritně byl jako </w:t>
      </w:r>
      <w:r w:rsidRPr="0090324D">
        <w:rPr>
          <w:rFonts w:ascii="Times New Roman" w:hAnsi="Times New Roman" w:cs="Times New Roman"/>
          <w:bCs w:val="0"/>
          <w:sz w:val="24"/>
          <w:szCs w:val="24"/>
        </w:rPr>
        <w:t>statistický zdroj určen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 ÚRS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1F03AA" w:rsidRPr="00AB3D26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1F03AA" w:rsidRPr="00AB3D2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https://www.cs-urs.cz/sledovani-vyvoje-cen-stavebnich-materialu/</w:t>
        </w:r>
      </w:hyperlink>
      <w:r w:rsidR="001F03AA" w:rsidRPr="00AB3D26">
        <w:rPr>
          <w:rStyle w:val="Hypertextovodkaz"/>
          <w:rFonts w:ascii="Times New Roman" w:hAnsi="Times New Roman" w:cs="Times New Roman"/>
          <w:sz w:val="24"/>
          <w:szCs w:val="24"/>
        </w:rPr>
        <w:t>).</w:t>
      </w:r>
      <w:r w:rsidRPr="00AB3D26">
        <w:t xml:space="preserve"> </w:t>
      </w:r>
    </w:p>
    <w:p w14:paraId="7F635249" w14:textId="343867B3" w:rsidR="00F72AA3" w:rsidRPr="00AB3D26" w:rsidRDefault="00DC30A1" w:rsidP="001F03AA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Ústav racionalizace ve stavebnictví, jehož nástupnickou organizací je ÚRS CZ a.s.</w:t>
      </w:r>
      <w:r w:rsidR="0090324D">
        <w:rPr>
          <w:rFonts w:ascii="Times New Roman" w:hAnsi="Times New Roman" w:cs="Times New Roman"/>
          <w:sz w:val="24"/>
          <w:szCs w:val="24"/>
        </w:rPr>
        <w:t>,</w:t>
      </w:r>
      <w:r w:rsidRPr="00AB3D26">
        <w:rPr>
          <w:rFonts w:ascii="Times New Roman" w:hAnsi="Times New Roman" w:cs="Times New Roman"/>
          <w:sz w:val="24"/>
          <w:szCs w:val="24"/>
        </w:rPr>
        <w:t xml:space="preserve"> historicky zajišťoval zásady pro tvorbu cen stavebních prací dle vyhlášky o</w:t>
      </w:r>
      <w:r w:rsidR="0090324D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 xml:space="preserve">cenách. Cenová soustava ÚRS se významně využívá při sestavování soupisu prací veřejných zakázek, zejm. na dodávky stavebních objektů. Cenová soustava </w:t>
      </w:r>
      <w:r w:rsidR="00865CD1" w:rsidRPr="00AB3D26">
        <w:rPr>
          <w:rFonts w:ascii="Times New Roman" w:hAnsi="Times New Roman" w:cs="Times New Roman"/>
          <w:sz w:val="24"/>
          <w:szCs w:val="24"/>
        </w:rPr>
        <w:t xml:space="preserve">ÚRS ve smyslu ustanovení vyhlášky č. 169/2016 Sb. splňuje náležitosti pro její použití při sestavování soupisů prací v rámci zadávací dokumentace veřejných zakázek. Společnost ÚRS CZ a.s. aktualizuje cenovou bázi dvakrát ročně, disponuje však i aktuálními </w:t>
      </w:r>
      <w:r w:rsidR="00001B36" w:rsidRPr="00AB3D26">
        <w:rPr>
          <w:rFonts w:ascii="Times New Roman" w:hAnsi="Times New Roman" w:cs="Times New Roman"/>
          <w:sz w:val="24"/>
          <w:szCs w:val="24"/>
        </w:rPr>
        <w:t>informacemi o cenách materiálů a sleduje vývoj cen vybraných druhů materiálů.</w:t>
      </w:r>
      <w:r w:rsidR="00865CD1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A5BF" w14:textId="72EF1265" w:rsidR="00F72AA3" w:rsidRPr="00AB3D26" w:rsidRDefault="00F72AA3" w:rsidP="001F03AA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Pro určené skupiny materiálů spol</w:t>
      </w:r>
      <w:r w:rsidR="0082192C">
        <w:rPr>
          <w:rFonts w:ascii="Times New Roman" w:hAnsi="Times New Roman" w:cs="Times New Roman"/>
          <w:sz w:val="24"/>
          <w:szCs w:val="24"/>
        </w:rPr>
        <w:t>ečnost</w:t>
      </w:r>
      <w:r w:rsidRPr="00AB3D26">
        <w:rPr>
          <w:rFonts w:ascii="Times New Roman" w:hAnsi="Times New Roman" w:cs="Times New Roman"/>
          <w:sz w:val="24"/>
          <w:szCs w:val="24"/>
        </w:rPr>
        <w:t xml:space="preserve"> ÚRS CZ, a.s. dodá</w:t>
      </w:r>
      <w:r w:rsidR="004B2C68" w:rsidRPr="00AB3D26">
        <w:rPr>
          <w:rFonts w:ascii="Times New Roman" w:hAnsi="Times New Roman" w:cs="Times New Roman"/>
          <w:sz w:val="24"/>
          <w:szCs w:val="24"/>
        </w:rPr>
        <w:t>vá jednotlivým zadavatelům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90324D" w:rsidRPr="00026894">
        <w:rPr>
          <w:rFonts w:ascii="Times New Roman" w:hAnsi="Times New Roman" w:cs="Times New Roman"/>
          <w:b/>
          <w:bCs w:val="0"/>
          <w:sz w:val="24"/>
          <w:szCs w:val="24"/>
        </w:rPr>
        <w:t>na základě resortní objednávky služeb</w:t>
      </w:r>
      <w:r w:rsidR="0090324D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Pr="00AB3D26">
        <w:rPr>
          <w:rFonts w:ascii="Times New Roman" w:hAnsi="Times New Roman" w:cs="Times New Roman"/>
          <w:sz w:val="24"/>
          <w:szCs w:val="24"/>
        </w:rPr>
        <w:t xml:space="preserve">ve stanoveném rozsahu </w:t>
      </w:r>
      <w:r w:rsidRPr="00026894">
        <w:rPr>
          <w:rFonts w:ascii="Times New Roman" w:hAnsi="Times New Roman" w:cs="Times New Roman"/>
          <w:b/>
          <w:bCs w:val="0"/>
          <w:sz w:val="24"/>
          <w:szCs w:val="24"/>
        </w:rPr>
        <w:t>statistická data s měsíční frekvencí</w:t>
      </w:r>
      <w:r w:rsidR="00001B36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, </w:t>
      </w:r>
      <w:r w:rsidR="00DA536A" w:rsidRPr="00AB3D26">
        <w:rPr>
          <w:rFonts w:ascii="Times New Roman" w:hAnsi="Times New Roman" w:cs="Times New Roman"/>
          <w:sz w:val="24"/>
          <w:szCs w:val="24"/>
        </w:rPr>
        <w:t>a</w:t>
      </w:r>
      <w:r w:rsidR="0090324D">
        <w:rPr>
          <w:rFonts w:ascii="Times New Roman" w:hAnsi="Times New Roman" w:cs="Times New Roman"/>
          <w:sz w:val="24"/>
          <w:szCs w:val="24"/>
        </w:rPr>
        <w:t> </w:t>
      </w:r>
      <w:r w:rsidR="00DA536A" w:rsidRPr="00AB3D26">
        <w:rPr>
          <w:rFonts w:ascii="Times New Roman" w:hAnsi="Times New Roman" w:cs="Times New Roman"/>
          <w:sz w:val="24"/>
          <w:szCs w:val="24"/>
        </w:rPr>
        <w:t>to ve formátu částky nárůstu ceny i</w:t>
      </w:r>
      <w:r w:rsidR="0082192C">
        <w:rPr>
          <w:rFonts w:ascii="Times New Roman" w:hAnsi="Times New Roman" w:cs="Times New Roman"/>
          <w:sz w:val="24"/>
          <w:szCs w:val="24"/>
        </w:rPr>
        <w:t> </w:t>
      </w:r>
      <w:r w:rsidR="00DA536A" w:rsidRPr="00AB3D26">
        <w:rPr>
          <w:rFonts w:ascii="Times New Roman" w:hAnsi="Times New Roman" w:cs="Times New Roman"/>
          <w:sz w:val="24"/>
          <w:szCs w:val="24"/>
        </w:rPr>
        <w:t>procentního růstu</w:t>
      </w:r>
      <w:r w:rsidR="0090324D">
        <w:rPr>
          <w:rFonts w:ascii="Times New Roman" w:hAnsi="Times New Roman" w:cs="Times New Roman"/>
          <w:sz w:val="24"/>
          <w:szCs w:val="24"/>
        </w:rPr>
        <w:t>.</w:t>
      </w:r>
    </w:p>
    <w:p w14:paraId="03DB412B" w14:textId="58A19AC3" w:rsidR="00EB3B09" w:rsidRPr="00AB3D26" w:rsidRDefault="00F72AA3" w:rsidP="004372DF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Údaje </w:t>
      </w:r>
      <w:r w:rsidRPr="0090324D">
        <w:rPr>
          <w:rFonts w:ascii="Times New Roman" w:hAnsi="Times New Roman" w:cs="Times New Roman"/>
          <w:b/>
          <w:sz w:val="24"/>
          <w:szCs w:val="24"/>
        </w:rPr>
        <w:t>Českého statistického úřadu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90324D">
        <w:rPr>
          <w:rFonts w:ascii="Times New Roman" w:hAnsi="Times New Roman" w:cs="Times New Roman"/>
          <w:sz w:val="24"/>
          <w:szCs w:val="24"/>
        </w:rPr>
        <w:t xml:space="preserve">(ČSÚ) </w:t>
      </w:r>
      <w:r w:rsidRPr="00AB3D26">
        <w:rPr>
          <w:rFonts w:ascii="Times New Roman" w:hAnsi="Times New Roman" w:cs="Times New Roman"/>
          <w:sz w:val="24"/>
          <w:szCs w:val="24"/>
        </w:rPr>
        <w:t>jsou publikovány s časovým zpožděním</w:t>
      </w:r>
      <w:r w:rsidR="0090324D">
        <w:rPr>
          <w:rFonts w:ascii="Times New Roman" w:hAnsi="Times New Roman" w:cs="Times New Roman"/>
          <w:sz w:val="24"/>
          <w:szCs w:val="24"/>
        </w:rPr>
        <w:t xml:space="preserve"> a</w:t>
      </w:r>
      <w:r w:rsidRPr="00AB3D26">
        <w:rPr>
          <w:rFonts w:ascii="Times New Roman" w:hAnsi="Times New Roman" w:cs="Times New Roman"/>
          <w:sz w:val="24"/>
          <w:szCs w:val="24"/>
        </w:rPr>
        <w:t xml:space="preserve"> mají významnou setrvačnost, která neumožňuje stanovení dopadů s odpovídající reakční dobou. </w:t>
      </w:r>
      <w:r w:rsidR="004B2C68" w:rsidRPr="00AB3D26">
        <w:rPr>
          <w:rFonts w:ascii="Times New Roman" w:hAnsi="Times New Roman" w:cs="Times New Roman"/>
          <w:sz w:val="24"/>
          <w:szCs w:val="24"/>
        </w:rPr>
        <w:t>Přesto jsou údaje Českého statistického úřadu využívány jednotlivými zadavateli jako ověřovací k referenčním údajům ÚRS.</w:t>
      </w:r>
    </w:p>
    <w:p w14:paraId="0D5FCB9E" w14:textId="77777777" w:rsidR="00F72AA3" w:rsidRPr="00AB3D26" w:rsidRDefault="00F72AA3" w:rsidP="00001B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Stanovení základní ceny za měrnou jednotku k Základnímu datu 24.02.2022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C969F3" w:rsidRPr="00AB3D26">
        <w:rPr>
          <w:rFonts w:ascii="Times New Roman" w:hAnsi="Times New Roman" w:cs="Times New Roman"/>
          <w:sz w:val="24"/>
          <w:szCs w:val="24"/>
        </w:rPr>
        <w:t>–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C969F3" w:rsidRPr="00AB3D2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969F3" w:rsidRPr="00AB3D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>2022/02</w:t>
      </w:r>
    </w:p>
    <w:p w14:paraId="2F131A55" w14:textId="77777777" w:rsidR="00EB3B09" w:rsidRPr="00AB3D26" w:rsidRDefault="00F72AA3" w:rsidP="004372DF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Pro určené skupiny materiálů bude </w:t>
      </w:r>
      <w:r w:rsidR="003E7A6E" w:rsidRPr="00AB3D26">
        <w:rPr>
          <w:rFonts w:ascii="Times New Roman" w:hAnsi="Times New Roman" w:cs="Times New Roman"/>
          <w:sz w:val="24"/>
          <w:szCs w:val="24"/>
        </w:rPr>
        <w:t xml:space="preserve">ÚRS CZ, a.s. </w:t>
      </w:r>
      <w:r w:rsidRPr="00AB3D26">
        <w:rPr>
          <w:rFonts w:ascii="Times New Roman" w:hAnsi="Times New Roman" w:cs="Times New Roman"/>
          <w:sz w:val="24"/>
          <w:szCs w:val="24"/>
        </w:rPr>
        <w:t xml:space="preserve">stanovena jejich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základní cena v cenové úrovni k datu 24.02.2022</w:t>
      </w:r>
      <w:r w:rsidRPr="00AB3D26">
        <w:rPr>
          <w:rFonts w:ascii="Times New Roman" w:hAnsi="Times New Roman" w:cs="Times New Roman"/>
          <w:sz w:val="24"/>
          <w:szCs w:val="24"/>
        </w:rPr>
        <w:t>,</w:t>
      </w:r>
      <w:r w:rsidR="000B6E6B" w:rsidRPr="00AB3D26">
        <w:rPr>
          <w:rFonts w:ascii="Times New Roman" w:hAnsi="Times New Roman" w:cs="Times New Roman"/>
          <w:sz w:val="24"/>
          <w:szCs w:val="24"/>
        </w:rPr>
        <w:t xml:space="preserve"> resp. únoru 2022,</w:t>
      </w:r>
      <w:r w:rsidRPr="00AB3D26">
        <w:rPr>
          <w:rFonts w:ascii="Times New Roman" w:hAnsi="Times New Roman" w:cs="Times New Roman"/>
          <w:sz w:val="24"/>
          <w:szCs w:val="24"/>
        </w:rPr>
        <w:t xml:space="preserve"> ke které se bude následný vývoj cen porovnávat.</w:t>
      </w:r>
      <w:r w:rsidR="00C70350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5EF9F" w14:textId="77777777" w:rsidR="00F72AA3" w:rsidRPr="00AB3D26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Cena nebude stanovena ve formátu 100 %, ale bude obsahovat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konkrétní cenu daného materiálu za měrnou jednotku</w:t>
      </w:r>
      <w:r w:rsidRPr="00AB3D26">
        <w:rPr>
          <w:rFonts w:ascii="Times New Roman" w:hAnsi="Times New Roman" w:cs="Times New Roman"/>
          <w:sz w:val="24"/>
          <w:szCs w:val="24"/>
        </w:rPr>
        <w:t>,</w:t>
      </w:r>
      <w:r w:rsidR="001F03AA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Pr="00AB3D26">
        <w:rPr>
          <w:rFonts w:ascii="Times New Roman" w:hAnsi="Times New Roman" w:cs="Times New Roman"/>
          <w:sz w:val="24"/>
          <w:szCs w:val="24"/>
        </w:rPr>
        <w:t xml:space="preserve">např. cena oceli za 1 </w:t>
      </w:r>
      <w:r w:rsidR="001F03AA" w:rsidRPr="00AB3D26">
        <w:rPr>
          <w:rFonts w:ascii="Times New Roman" w:hAnsi="Times New Roman" w:cs="Times New Roman"/>
          <w:sz w:val="24"/>
          <w:szCs w:val="24"/>
        </w:rPr>
        <w:t>tunu</w:t>
      </w:r>
      <w:r w:rsidRPr="00AB3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657D7" w14:textId="77777777" w:rsidR="00694545" w:rsidRPr="00AB3D26" w:rsidRDefault="00694545" w:rsidP="006945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B3D26">
        <w:rPr>
          <w:rFonts w:ascii="Times New Roman" w:hAnsi="Times New Roman" w:cs="Times New Roman"/>
          <w:b/>
          <w:sz w:val="24"/>
          <w:szCs w:val="24"/>
        </w:rPr>
        <w:t xml:space="preserve">Stanovení </w:t>
      </w:r>
      <w:r w:rsidR="00993A70" w:rsidRPr="00AB3D26">
        <w:rPr>
          <w:rFonts w:ascii="Times New Roman" w:hAnsi="Times New Roman" w:cs="Times New Roman"/>
          <w:b/>
          <w:sz w:val="24"/>
          <w:szCs w:val="24"/>
        </w:rPr>
        <w:t>indexu předvídatelnosti</w:t>
      </w:r>
    </w:p>
    <w:p w14:paraId="0404ABF9" w14:textId="77777777" w:rsidR="00993A70" w:rsidRPr="00AB3D26" w:rsidRDefault="00993A70" w:rsidP="00993A70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Použití indexu předvídatelnosti má za cíl snížení kompenzace o hodnotu, která odpovídá </w:t>
      </w:r>
      <w:r w:rsidR="003E7A6E" w:rsidRPr="00AB3D26">
        <w:rPr>
          <w:rFonts w:ascii="Times New Roman" w:hAnsi="Times New Roman" w:cs="Times New Roman"/>
          <w:sz w:val="24"/>
          <w:szCs w:val="24"/>
        </w:rPr>
        <w:t xml:space="preserve">běžnému </w:t>
      </w:r>
      <w:r w:rsidRPr="00AB3D26">
        <w:rPr>
          <w:rFonts w:ascii="Times New Roman" w:hAnsi="Times New Roman" w:cs="Times New Roman"/>
          <w:sz w:val="24"/>
          <w:szCs w:val="24"/>
        </w:rPr>
        <w:t>nárůstu cen, které mohl zhotovitel při podání nabídky předpokládat.</w:t>
      </w:r>
    </w:p>
    <w:p w14:paraId="42463344" w14:textId="77777777" w:rsidR="00993A70" w:rsidRPr="00984928" w:rsidRDefault="00993A70" w:rsidP="00993A70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b/>
          <w:bCs w:val="0"/>
          <w:sz w:val="24"/>
          <w:szCs w:val="24"/>
        </w:rPr>
      </w:pPr>
      <w:r w:rsidRPr="00984928">
        <w:rPr>
          <w:rFonts w:ascii="Times New Roman" w:hAnsi="Times New Roman" w:cs="Times New Roman"/>
          <w:b/>
          <w:bCs w:val="0"/>
          <w:sz w:val="24"/>
          <w:szCs w:val="24"/>
        </w:rPr>
        <w:t>Výpočet indexu předvídatelnosti</w:t>
      </w:r>
    </w:p>
    <w:p w14:paraId="1A29A04E" w14:textId="77777777" w:rsidR="00993A70" w:rsidRPr="00AB3D26" w:rsidRDefault="00993A70" w:rsidP="00993A70">
      <w:pPr>
        <w:pStyle w:val="textIBR"/>
        <w:numPr>
          <w:ilvl w:val="1"/>
          <w:numId w:val="23"/>
        </w:numPr>
        <w:tabs>
          <w:tab w:val="clear" w:pos="588"/>
          <w:tab w:val="left" w:pos="851"/>
        </w:tabs>
        <w:spacing w:after="120" w:line="276" w:lineRule="auto"/>
      </w:pPr>
      <w:r w:rsidRPr="00AB3D26">
        <w:rPr>
          <w:rFonts w:ascii="Times New Roman" w:hAnsi="Times New Roman" w:cs="Times New Roman"/>
          <w:sz w:val="24"/>
          <w:szCs w:val="24"/>
        </w:rPr>
        <w:t>Jako cenový index bude v rámci klasifikace CZ-CC (kód produktu „011041-XY“, přičemž „XY“ označuje rok časové řady) využíván:</w:t>
      </w:r>
    </w:p>
    <w:p w14:paraId="49F799B1" w14:textId="77777777" w:rsidR="00993A70" w:rsidRPr="00AB3D26" w:rsidRDefault="00993A70" w:rsidP="00AC2F21">
      <w:pPr>
        <w:pStyle w:val="textIBR"/>
        <w:numPr>
          <w:ilvl w:val="2"/>
          <w:numId w:val="23"/>
        </w:numPr>
        <w:tabs>
          <w:tab w:val="clear" w:pos="588"/>
          <w:tab w:val="left" w:pos="85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index pro kód „CC-CZ“ = „2 - Inženýrská díla“ (označení řádku)</w:t>
      </w:r>
    </w:p>
    <w:p w14:paraId="3ACFEE79" w14:textId="77777777" w:rsidR="00993A70" w:rsidRPr="00AB3D26" w:rsidRDefault="00993A70" w:rsidP="00AC2F21">
      <w:pPr>
        <w:pStyle w:val="textIBR"/>
        <w:numPr>
          <w:ilvl w:val="2"/>
          <w:numId w:val="23"/>
        </w:numPr>
        <w:tabs>
          <w:tab w:val="clear" w:pos="588"/>
          <w:tab w:val="left" w:pos="85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index pro „</w:t>
      </w:r>
      <w:r w:rsidR="003E7A6E" w:rsidRPr="00AB3D26">
        <w:rPr>
          <w:rFonts w:ascii="Times New Roman" w:hAnsi="Times New Roman" w:cs="Times New Roman"/>
          <w:sz w:val="24"/>
          <w:szCs w:val="24"/>
        </w:rPr>
        <w:t>stejné období předchozího roku</w:t>
      </w:r>
      <w:r w:rsidRPr="00AB3D26">
        <w:rPr>
          <w:rFonts w:ascii="Times New Roman" w:hAnsi="Times New Roman" w:cs="Times New Roman"/>
          <w:sz w:val="24"/>
          <w:szCs w:val="24"/>
        </w:rPr>
        <w:t xml:space="preserve"> = 100“, hodnoty „čtvrtletí“ „1.“, „2.“, „3.“ a „4.“ (označení sloupce)</w:t>
      </w:r>
    </w:p>
    <w:p w14:paraId="55FC6342" w14:textId="77777777" w:rsidR="00993A70" w:rsidRPr="00AB3D26" w:rsidRDefault="00993A70" w:rsidP="00AC2F21">
      <w:pPr>
        <w:pStyle w:val="textIBR"/>
        <w:tabs>
          <w:tab w:val="clear" w:pos="588"/>
          <w:tab w:val="left" w:pos="851"/>
        </w:tabs>
        <w:spacing w:after="120" w:line="276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(dále jen „Cenový index“)</w:t>
      </w:r>
    </w:p>
    <w:p w14:paraId="4E78C9DF" w14:textId="02B82402" w:rsidR="00F44281" w:rsidRPr="00AB3D26" w:rsidRDefault="00F44281" w:rsidP="00F44281">
      <w:pPr>
        <w:pStyle w:val="textIBR"/>
        <w:numPr>
          <w:ilvl w:val="1"/>
          <w:numId w:val="25"/>
        </w:numPr>
        <w:tabs>
          <w:tab w:val="clear" w:pos="588"/>
          <w:tab w:val="left" w:pos="85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Index předvídatelnosti bude vypočítán jako dvanáctá odmocnina z aritmetického průměru cenového indexu za čtvrtletí, které připadá na základní datum a</w:t>
      </w:r>
      <w:r w:rsidR="00026894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7</w:t>
      </w:r>
      <w:r w:rsidR="00026894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předcházejících čtvrtletí.</w:t>
      </w:r>
    </w:p>
    <w:p w14:paraId="0AE54343" w14:textId="77777777" w:rsidR="00C634AA" w:rsidRPr="00AB3D26" w:rsidRDefault="00C634AA" w:rsidP="00993A70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bookmarkStart w:id="3" w:name="_Hlk112844798"/>
      <w:r w:rsidRPr="00AB3D26">
        <w:rPr>
          <w:rFonts w:ascii="Times New Roman" w:hAnsi="Times New Roman" w:cs="Times New Roman"/>
          <w:i/>
          <w:iCs/>
          <w:noProof/>
          <w:sz w:val="32"/>
          <w:szCs w:val="32"/>
        </w:rPr>
        <w:tab/>
      </w:r>
      <w:r w:rsidRPr="00AB3D26">
        <w:rPr>
          <w:rFonts w:ascii="Times New Roman" w:hAnsi="Times New Roman" w:cs="Times New Roman"/>
          <w:i/>
          <w:iCs/>
          <w:noProof/>
          <w:sz w:val="32"/>
          <w:szCs w:val="32"/>
        </w:rPr>
        <w:tab/>
      </w:r>
      <w:r w:rsidR="00F44281" w:rsidRPr="00AB3D26">
        <w:rPr>
          <w:rFonts w:ascii="Times New Roman" w:hAnsi="Times New Roman" w:cs="Times New Roman"/>
          <w:i/>
          <w:iCs/>
          <w:noProof/>
          <w:sz w:val="32"/>
          <w:szCs w:val="32"/>
        </w:rPr>
        <w:t>I</w:t>
      </w:r>
      <w:r w:rsidR="00F44281" w:rsidRPr="00AB3D26">
        <w:rPr>
          <w:rFonts w:ascii="Times New Roman" w:hAnsi="Times New Roman" w:cs="Times New Roman"/>
          <w:i/>
          <w:iCs/>
          <w:noProof/>
          <w:sz w:val="32"/>
          <w:szCs w:val="32"/>
          <w:vertAlign w:val="subscript"/>
        </w:rPr>
        <w:t>p</w:t>
      </w:r>
      <w:r w:rsidR="00F44281" w:rsidRPr="00AB3D26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="00F44281" w:rsidRPr="00AB3D26">
        <w:rPr>
          <w:rFonts w:ascii="Times New Roman" w:hAnsi="Times New Roman" w:cs="Times New Roman"/>
          <w:noProof/>
          <w:sz w:val="32"/>
          <w:szCs w:val="32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12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32"/>
                            <w:szCs w:val="32"/>
                          </w:rPr>
                          <m:t>n-7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32"/>
                            <w:szCs w:val="32"/>
                          </w:rPr>
                          <m:t>Cenový index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8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100</m:t>
                </m:r>
              </m:den>
            </m:f>
          </m:e>
        </m:rad>
      </m:oMath>
      <w:bookmarkEnd w:id="3"/>
      <w:r w:rsidR="002E56D0" w:rsidRPr="00AB3D26">
        <w:rPr>
          <w:rFonts w:ascii="Times New Roman" w:hAnsi="Times New Roman" w:cs="Times New Roman"/>
          <w:sz w:val="24"/>
          <w:szCs w:val="24"/>
        </w:rPr>
        <w:tab/>
      </w:r>
      <w:r w:rsidR="002E56D0" w:rsidRPr="00AB3D26">
        <w:rPr>
          <w:rFonts w:ascii="Times New Roman" w:hAnsi="Times New Roman" w:cs="Times New Roman"/>
          <w:sz w:val="24"/>
          <w:szCs w:val="24"/>
        </w:rPr>
        <w:tab/>
      </w:r>
      <w:bookmarkStart w:id="4" w:name="_Hlk112844918"/>
    </w:p>
    <w:p w14:paraId="18520D40" w14:textId="4F435190" w:rsidR="00993A70" w:rsidRPr="00AB3D26" w:rsidRDefault="00C634AA" w:rsidP="00993A70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ab/>
      </w:r>
      <w:r w:rsidRPr="00AB3D26">
        <w:rPr>
          <w:rFonts w:ascii="Times New Roman" w:hAnsi="Times New Roman" w:cs="Times New Roman"/>
          <w:sz w:val="24"/>
          <w:szCs w:val="24"/>
        </w:rPr>
        <w:tab/>
      </w:r>
      <w:r w:rsidR="00026894">
        <w:rPr>
          <w:rFonts w:ascii="Times New Roman" w:hAnsi="Times New Roman" w:cs="Times New Roman"/>
          <w:sz w:val="24"/>
          <w:szCs w:val="24"/>
        </w:rPr>
        <w:t>k</w:t>
      </w:r>
      <w:r w:rsidR="00026894" w:rsidRPr="00AB3D26">
        <w:rPr>
          <w:rFonts w:ascii="Times New Roman" w:hAnsi="Times New Roman" w:cs="Times New Roman"/>
          <w:sz w:val="24"/>
          <w:szCs w:val="24"/>
        </w:rPr>
        <w:t>de</w:t>
      </w:r>
      <w:r w:rsidR="00026894">
        <w:rPr>
          <w:rFonts w:ascii="Times New Roman" w:hAnsi="Times New Roman" w:cs="Times New Roman"/>
          <w:sz w:val="24"/>
          <w:szCs w:val="24"/>
        </w:rPr>
        <w:t>:</w:t>
      </w:r>
      <w:r w:rsidR="00993A70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314A9" w14:textId="77777777" w:rsidR="00993A70" w:rsidRPr="00AB3D26" w:rsidRDefault="00AC2F21" w:rsidP="00993A70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ab/>
      </w:r>
      <w:r w:rsidRPr="00AB3D26">
        <w:rPr>
          <w:rFonts w:ascii="Times New Roman" w:hAnsi="Times New Roman" w:cs="Times New Roman"/>
          <w:sz w:val="24"/>
          <w:szCs w:val="24"/>
        </w:rPr>
        <w:tab/>
      </w:r>
      <w:r w:rsidR="00993A70" w:rsidRPr="00AB3D2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93A70" w:rsidRPr="00AB3D26">
        <w:rPr>
          <w:rFonts w:ascii="Times New Roman" w:hAnsi="Times New Roman" w:cs="Times New Roman"/>
          <w:sz w:val="24"/>
          <w:szCs w:val="24"/>
        </w:rPr>
        <w:t>I</w:t>
      </w:r>
      <w:r w:rsidR="00993A70" w:rsidRPr="00AB3D26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993A70" w:rsidRPr="00AB3D26">
        <w:rPr>
          <w:rFonts w:ascii="Times New Roman" w:hAnsi="Times New Roman" w:cs="Times New Roman"/>
          <w:sz w:val="24"/>
          <w:szCs w:val="24"/>
        </w:rPr>
        <w:t>“ je index předvídatelnosti</w:t>
      </w:r>
    </w:p>
    <w:bookmarkEnd w:id="4"/>
    <w:p w14:paraId="22CC6B04" w14:textId="77777777" w:rsidR="00993A70" w:rsidRPr="00AB3D26" w:rsidRDefault="00993A70" w:rsidP="00AC2F21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b/>
          <w:bCs w:val="0"/>
          <w:sz w:val="24"/>
          <w:szCs w:val="24"/>
        </w:rPr>
      </w:pP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Využití indexu předvídatelnosti</w:t>
      </w:r>
    </w:p>
    <w:p w14:paraId="17324735" w14:textId="49481BC9" w:rsidR="00993A70" w:rsidRPr="00AB3D26" w:rsidRDefault="00993A70" w:rsidP="00AC2F21">
      <w:pPr>
        <w:pStyle w:val="textIBR"/>
        <w:numPr>
          <w:ilvl w:val="1"/>
          <w:numId w:val="23"/>
        </w:numPr>
        <w:tabs>
          <w:tab w:val="clear" w:pos="588"/>
          <w:tab w:val="left" w:pos="85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Základní cena příslušné komodity bude za každý měsíc, který následuje po</w:t>
      </w:r>
      <w:r w:rsidR="00026894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únoru 2022 vynásobena indexem</w:t>
      </w:r>
      <w:r w:rsidR="0086339F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CF1891" w:rsidRPr="00AB3D26">
        <w:rPr>
          <w:rFonts w:ascii="Times New Roman" w:hAnsi="Times New Roman" w:cs="Times New Roman"/>
          <w:sz w:val="24"/>
          <w:szCs w:val="24"/>
        </w:rPr>
        <w:t xml:space="preserve">předvídatelnosti </w:t>
      </w:r>
      <w:r w:rsidR="0086339F" w:rsidRPr="00AB3D26">
        <w:rPr>
          <w:rFonts w:ascii="Times New Roman" w:hAnsi="Times New Roman" w:cs="Times New Roman"/>
          <w:sz w:val="24"/>
          <w:szCs w:val="24"/>
        </w:rPr>
        <w:t xml:space="preserve">zaokrouhleným na </w:t>
      </w:r>
      <w:r w:rsidR="00245367" w:rsidRPr="00AB3D26">
        <w:rPr>
          <w:rFonts w:ascii="Times New Roman" w:hAnsi="Times New Roman" w:cs="Times New Roman"/>
          <w:sz w:val="24"/>
          <w:szCs w:val="24"/>
        </w:rPr>
        <w:t>čtyři</w:t>
      </w:r>
      <w:r w:rsidR="0086339F" w:rsidRPr="00AB3D26">
        <w:rPr>
          <w:rFonts w:ascii="Times New Roman" w:hAnsi="Times New Roman" w:cs="Times New Roman"/>
          <w:sz w:val="24"/>
          <w:szCs w:val="24"/>
        </w:rPr>
        <w:t xml:space="preserve"> desetinná místa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</w:p>
    <w:p w14:paraId="7EE26C0E" w14:textId="77777777" w:rsidR="00993A70" w:rsidRPr="00AB3D26" w:rsidRDefault="00AC2F21" w:rsidP="00993A70">
      <w:pPr>
        <w:tabs>
          <w:tab w:val="left" w:pos="891"/>
        </w:tabs>
        <w:rPr>
          <w:rFonts w:ascii="Times New Roman" w:eastAsiaTheme="minorEastAsia" w:hAnsi="Times New Roman" w:cs="Times New Roman"/>
          <w:sz w:val="36"/>
          <w:szCs w:val="36"/>
        </w:rPr>
      </w:pPr>
      <w:r w:rsidRPr="00AB3D26">
        <w:rPr>
          <w:rFonts w:ascii="Times New Roman" w:eastAsia="Times New Roman" w:hAnsi="Times New Roman" w:cs="Times New Roman"/>
          <w:sz w:val="36"/>
          <w:szCs w:val="36"/>
        </w:rPr>
        <w:tab/>
      </w:r>
      <w:r w:rsidRPr="00AB3D26">
        <w:rPr>
          <w:rFonts w:ascii="Times New Roman" w:eastAsia="Times New Roman" w:hAnsi="Times New Roman" w:cs="Times New Roman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Cz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m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 xml:space="preserve">=Cz 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p</m:t>
                </m:r>
              </m:sub>
            </m:sSub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m</m:t>
            </m:r>
          </m:sup>
        </m:sSup>
      </m:oMath>
    </w:p>
    <w:p w14:paraId="4F5850F1" w14:textId="44122102" w:rsidR="00993A70" w:rsidRPr="00AB3D26" w:rsidRDefault="00AC2F21" w:rsidP="00993A70">
      <w:pPr>
        <w:tabs>
          <w:tab w:val="left" w:pos="891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B3D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B3D26">
        <w:rPr>
          <w:rFonts w:ascii="Times New Roman" w:eastAsiaTheme="minorEastAsia" w:hAnsi="Times New Roman" w:cs="Times New Roman"/>
          <w:sz w:val="24"/>
          <w:szCs w:val="24"/>
        </w:rPr>
        <w:tab/>
      </w:r>
      <w:r w:rsidR="00026894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026894" w:rsidRPr="00AB3D26">
        <w:rPr>
          <w:rFonts w:ascii="Times New Roman" w:eastAsiaTheme="minorEastAsia" w:hAnsi="Times New Roman" w:cs="Times New Roman"/>
          <w:sz w:val="24"/>
          <w:szCs w:val="24"/>
        </w:rPr>
        <w:t>de</w:t>
      </w:r>
      <w:r w:rsidR="0002689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A261122" w14:textId="77777777" w:rsidR="00993A70" w:rsidRPr="00AB3D26" w:rsidRDefault="00AC2F21" w:rsidP="00993A70">
      <w:pPr>
        <w:tabs>
          <w:tab w:val="left" w:pos="891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B3D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B3D26">
        <w:rPr>
          <w:rFonts w:ascii="Times New Roman" w:eastAsiaTheme="minorEastAsia" w:hAnsi="Times New Roman" w:cs="Times New Roman"/>
          <w:sz w:val="24"/>
          <w:szCs w:val="24"/>
        </w:rPr>
        <w:tab/>
      </w:r>
      <w:r w:rsidR="00993A70" w:rsidRPr="00AB3D26">
        <w:rPr>
          <w:rFonts w:ascii="Times New Roman" w:eastAsiaTheme="minorEastAsia" w:hAnsi="Times New Roman" w:cs="Times New Roman"/>
          <w:sz w:val="24"/>
          <w:szCs w:val="24"/>
        </w:rPr>
        <w:t>„</w:t>
      </w:r>
      <w:proofErr w:type="spellStart"/>
      <w:r w:rsidR="00993A70" w:rsidRPr="00AB3D26">
        <w:rPr>
          <w:rFonts w:ascii="Times New Roman" w:eastAsiaTheme="minorEastAsia" w:hAnsi="Times New Roman" w:cs="Times New Roman"/>
          <w:sz w:val="24"/>
          <w:szCs w:val="24"/>
        </w:rPr>
        <w:t>Cz</w:t>
      </w:r>
      <w:r w:rsidR="00993A70" w:rsidRPr="00AB3D2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</w:t>
      </w:r>
      <w:proofErr w:type="spellEnd"/>
      <w:r w:rsidR="00993A70" w:rsidRPr="00AB3D26">
        <w:rPr>
          <w:rFonts w:ascii="Times New Roman" w:eastAsiaTheme="minorEastAsia" w:hAnsi="Times New Roman" w:cs="Times New Roman"/>
          <w:sz w:val="24"/>
          <w:szCs w:val="24"/>
        </w:rPr>
        <w:t>“ je základní cena navýšená o index předvídatelnosti pro příslušný měsíc</w:t>
      </w:r>
    </w:p>
    <w:p w14:paraId="716C082F" w14:textId="77777777" w:rsidR="00993A70" w:rsidRPr="00AB3D26" w:rsidRDefault="00AC2F21" w:rsidP="00993A70">
      <w:pPr>
        <w:tabs>
          <w:tab w:val="left" w:pos="891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B3D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B3D26">
        <w:rPr>
          <w:rFonts w:ascii="Times New Roman" w:eastAsiaTheme="minorEastAsia" w:hAnsi="Times New Roman" w:cs="Times New Roman"/>
          <w:sz w:val="24"/>
          <w:szCs w:val="24"/>
        </w:rPr>
        <w:tab/>
      </w:r>
      <w:r w:rsidR="00993A70" w:rsidRPr="00AB3D26">
        <w:rPr>
          <w:rFonts w:ascii="Times New Roman" w:eastAsiaTheme="minorEastAsia" w:hAnsi="Times New Roman" w:cs="Times New Roman"/>
          <w:sz w:val="24"/>
          <w:szCs w:val="24"/>
        </w:rPr>
        <w:t>„</w:t>
      </w:r>
      <w:proofErr w:type="spellStart"/>
      <w:r w:rsidR="00993A70" w:rsidRPr="00AB3D26">
        <w:rPr>
          <w:rFonts w:ascii="Times New Roman" w:eastAsiaTheme="minorEastAsia" w:hAnsi="Times New Roman" w:cs="Times New Roman"/>
          <w:sz w:val="24"/>
          <w:szCs w:val="24"/>
        </w:rPr>
        <w:t>Cz</w:t>
      </w:r>
      <w:proofErr w:type="spellEnd"/>
      <w:r w:rsidR="00993A70" w:rsidRPr="00AB3D26">
        <w:rPr>
          <w:rFonts w:ascii="Times New Roman" w:eastAsiaTheme="minorEastAsia" w:hAnsi="Times New Roman" w:cs="Times New Roman"/>
          <w:sz w:val="24"/>
          <w:szCs w:val="24"/>
        </w:rPr>
        <w:t>“ je základní cena příslušného materiálu za únor 2022</w:t>
      </w:r>
    </w:p>
    <w:p w14:paraId="5882F42D" w14:textId="77777777" w:rsidR="00993A70" w:rsidRPr="00AB3D26" w:rsidRDefault="00993A70" w:rsidP="00AC2F21">
      <w:pPr>
        <w:tabs>
          <w:tab w:val="left" w:pos="891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eastAsiaTheme="minorEastAsia" w:hAnsi="Times New Roman" w:cs="Times New Roman"/>
          <w:sz w:val="24"/>
          <w:szCs w:val="24"/>
        </w:rPr>
        <w:lastRenderedPageBreak/>
        <w:t>„m“ je počet měsíců mezi příslušným měsícem a únorem 2022 (za březen 2022 se rovná 1, za duben 2022 se rovná 2 a tak dále)</w:t>
      </w:r>
    </w:p>
    <w:p w14:paraId="32DE3AFD" w14:textId="77777777" w:rsidR="00F72AA3" w:rsidRPr="00AB3D26" w:rsidRDefault="00F72AA3" w:rsidP="00A31A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Určení </w:t>
      </w:r>
      <w:r w:rsidRPr="00AB3D26">
        <w:rPr>
          <w:rFonts w:ascii="Times New Roman" w:hAnsi="Times New Roman" w:cs="Times New Roman"/>
          <w:b/>
          <w:sz w:val="24"/>
          <w:szCs w:val="24"/>
        </w:rPr>
        <w:t>rozhodného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období</w:t>
      </w:r>
    </w:p>
    <w:p w14:paraId="1289D12F" w14:textId="77777777" w:rsidR="004B2C68" w:rsidRPr="00AB3D26" w:rsidRDefault="00F72AA3" w:rsidP="00043B08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Vývoj cen materiálů bude sledován s měsíční frekvencí a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za jednotlivé měsíce bude stanovena míra změny ceny materiálových skupin</w:t>
      </w:r>
      <w:r w:rsidRPr="00AB3D26">
        <w:rPr>
          <w:rFonts w:ascii="Times New Roman" w:hAnsi="Times New Roman" w:cs="Times New Roman"/>
          <w:sz w:val="24"/>
          <w:szCs w:val="24"/>
        </w:rPr>
        <w:t xml:space="preserve"> ve vztahu </w:t>
      </w:r>
      <w:r w:rsidR="00AC2F21" w:rsidRPr="00AB3D26">
        <w:rPr>
          <w:rFonts w:ascii="Times New Roman" w:hAnsi="Times New Roman" w:cs="Times New Roman"/>
          <w:sz w:val="24"/>
          <w:szCs w:val="24"/>
        </w:rPr>
        <w:t xml:space="preserve">k </w:t>
      </w:r>
      <w:r w:rsidRPr="00AB3D26">
        <w:rPr>
          <w:rFonts w:ascii="Times New Roman" w:hAnsi="Times New Roman" w:cs="Times New Roman"/>
          <w:sz w:val="24"/>
          <w:szCs w:val="24"/>
        </w:rPr>
        <w:t>„Základní cenové úrovni“</w:t>
      </w:r>
      <w:r w:rsidR="00124B07" w:rsidRPr="00AB3D26">
        <w:rPr>
          <w:rFonts w:ascii="Times New Roman" w:hAnsi="Times New Roman" w:cs="Times New Roman"/>
          <w:sz w:val="24"/>
          <w:szCs w:val="24"/>
        </w:rPr>
        <w:t xml:space="preserve"> upravené o </w:t>
      </w:r>
      <w:r w:rsidR="00AC2F21" w:rsidRPr="00AB3D26">
        <w:rPr>
          <w:rFonts w:ascii="Times New Roman" w:hAnsi="Times New Roman" w:cs="Times New Roman"/>
          <w:sz w:val="24"/>
          <w:szCs w:val="24"/>
        </w:rPr>
        <w:t>index předvídatelnosti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</w:p>
    <w:p w14:paraId="4C2AA04F" w14:textId="77777777" w:rsidR="00F72AA3" w:rsidRPr="00AB3D26" w:rsidRDefault="00F72AA3" w:rsidP="00A31A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Určení míry </w:t>
      </w:r>
      <w:r w:rsidRPr="00AB3D26">
        <w:rPr>
          <w:rFonts w:ascii="Times New Roman" w:hAnsi="Times New Roman" w:cs="Times New Roman"/>
          <w:b/>
          <w:sz w:val="24"/>
          <w:szCs w:val="24"/>
        </w:rPr>
        <w:t>změny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– CM1∆20</w:t>
      </w:r>
      <w:r w:rsidR="00062A34" w:rsidRPr="00AB3D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5508" w:rsidRPr="00AB3D2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>/x</w:t>
      </w:r>
      <w:r w:rsidR="00433706"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54E54C" w14:textId="06892F42" w:rsidR="00F72AA3" w:rsidRPr="00AB3D26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Míra změny bude určena jako </w:t>
      </w:r>
      <w:bookmarkStart w:id="5" w:name="_Hlk115359545"/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rozdíl </w:t>
      </w:r>
      <w:bookmarkStart w:id="6" w:name="_Hlk104484421"/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aktuální cenové úrovně k danému měsíci</w:t>
      </w:r>
      <w:bookmarkEnd w:id="6"/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 a</w:t>
      </w:r>
      <w:r w:rsidR="00026894">
        <w:rPr>
          <w:rFonts w:ascii="Times New Roman" w:hAnsi="Times New Roman" w:cs="Times New Roman"/>
          <w:b/>
          <w:bCs w:val="0"/>
          <w:sz w:val="24"/>
          <w:szCs w:val="24"/>
        </w:rPr>
        <w:t> 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ceny stanovené k datu </w:t>
      </w:r>
      <w:r w:rsidR="00026894">
        <w:rPr>
          <w:rFonts w:ascii="Times New Roman" w:hAnsi="Times New Roman" w:cs="Times New Roman"/>
          <w:b/>
          <w:bCs w:val="0"/>
          <w:sz w:val="24"/>
          <w:szCs w:val="24"/>
        </w:rPr>
        <w:t>z</w:t>
      </w:r>
      <w:r w:rsidR="00026894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ákladní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cenové úrovně za měrnou jednotku</w:t>
      </w:r>
      <w:r w:rsidR="00E258C2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CF1891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navýšené o </w:t>
      </w:r>
      <w:r w:rsidR="00E96F58" w:rsidRPr="00AB3D26">
        <w:rPr>
          <w:rFonts w:ascii="Times New Roman" w:hAnsi="Times New Roman" w:cs="Times New Roman"/>
          <w:b/>
          <w:bCs w:val="0"/>
          <w:sz w:val="24"/>
          <w:szCs w:val="24"/>
        </w:rPr>
        <w:t>index předvídatelnosti</w:t>
      </w:r>
      <w:r w:rsidR="00E258C2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bookmarkEnd w:id="5"/>
      <w:r w:rsidR="00E258C2" w:rsidRPr="00AB3D26">
        <w:rPr>
          <w:rFonts w:ascii="Times New Roman" w:hAnsi="Times New Roman" w:cs="Times New Roman"/>
          <w:b/>
          <w:bCs w:val="0"/>
          <w:sz w:val="24"/>
          <w:szCs w:val="24"/>
        </w:rPr>
        <w:t>pro daný měsíc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</w:p>
    <w:p w14:paraId="45ED4BFB" w14:textId="77777777" w:rsidR="00AD283B" w:rsidRPr="00AB3D26" w:rsidRDefault="00AD283B" w:rsidP="000D3DC4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bCs w:val="0"/>
          <w:sz w:val="24"/>
          <w:szCs w:val="24"/>
        </w:rPr>
      </w:pPr>
      <w:r w:rsidRPr="00AB3D26">
        <w:rPr>
          <w:rFonts w:ascii="Times New Roman" w:hAnsi="Times New Roman" w:cs="Times New Roman"/>
          <w:bCs w:val="0"/>
          <w:sz w:val="24"/>
          <w:szCs w:val="24"/>
        </w:rPr>
        <w:t>CM</w:t>
      </w:r>
      <w:r w:rsidR="000D3DC4" w:rsidRPr="00AB3D26">
        <w:rPr>
          <w:rFonts w:ascii="Times New Roman" w:hAnsi="Times New Roman" w:cs="Times New Roman"/>
          <w:bCs w:val="0"/>
          <w:sz w:val="24"/>
          <w:szCs w:val="24"/>
        </w:rPr>
        <w:t>1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∆202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y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/x = CM</w:t>
      </w:r>
      <w:r w:rsidR="000D3DC4" w:rsidRPr="00AB3D26">
        <w:rPr>
          <w:rFonts w:ascii="Times New Roman" w:hAnsi="Times New Roman" w:cs="Times New Roman"/>
          <w:bCs w:val="0"/>
          <w:sz w:val="24"/>
          <w:szCs w:val="24"/>
        </w:rPr>
        <w:t>1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 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202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y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 xml:space="preserve">/x </w:t>
      </w:r>
      <w:r w:rsidR="007C16D2" w:rsidRPr="00AB3D26">
        <w:rPr>
          <w:rFonts w:ascii="Times New Roman" w:hAnsi="Times New Roman" w:cs="Times New Roman"/>
          <w:bCs w:val="0"/>
          <w:sz w:val="24"/>
          <w:szCs w:val="24"/>
        </w:rPr>
        <w:t>–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 xml:space="preserve"> Cz</w:t>
      </w:r>
      <w:r w:rsidR="008F7154" w:rsidRPr="00AB3D26">
        <w:rPr>
          <w:rFonts w:ascii="Times New Roman" w:hAnsi="Times New Roman" w:cs="Times New Roman"/>
          <w:bCs w:val="0"/>
          <w:sz w:val="24"/>
          <w:szCs w:val="24"/>
          <w:vertAlign w:val="subscript"/>
        </w:rPr>
        <w:t>m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M</w:t>
      </w:r>
      <w:r w:rsidR="000D3DC4" w:rsidRPr="00AB3D26">
        <w:rPr>
          <w:rFonts w:ascii="Times New Roman" w:hAnsi="Times New Roman" w:cs="Times New Roman"/>
          <w:bCs w:val="0"/>
          <w:sz w:val="24"/>
          <w:szCs w:val="24"/>
        </w:rPr>
        <w:t>1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 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202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y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/x</w:t>
      </w:r>
    </w:p>
    <w:p w14:paraId="3B88BEF1" w14:textId="77777777" w:rsidR="0044698E" w:rsidRPr="00AB3D26" w:rsidRDefault="0044698E" w:rsidP="0044698E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bCs w:val="0"/>
          <w:sz w:val="24"/>
          <w:szCs w:val="24"/>
        </w:rPr>
      </w:pPr>
      <w:r w:rsidRPr="00AB3D26">
        <w:rPr>
          <w:rFonts w:ascii="Times New Roman" w:hAnsi="Times New Roman" w:cs="Times New Roman"/>
          <w:bCs w:val="0"/>
          <w:sz w:val="24"/>
          <w:szCs w:val="24"/>
        </w:rPr>
        <w:t>„CM</w:t>
      </w:r>
      <w:r w:rsidR="000D3DC4" w:rsidRPr="00AB3D26">
        <w:rPr>
          <w:rFonts w:ascii="Times New Roman" w:hAnsi="Times New Roman" w:cs="Times New Roman"/>
          <w:bCs w:val="0"/>
          <w:sz w:val="24"/>
          <w:szCs w:val="24"/>
        </w:rPr>
        <w:t>1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 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202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y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 xml:space="preserve">/x“ je cena příslušné komodity stanovená spol. ÚRS CZ ze statistických údajů pro </w:t>
      </w:r>
      <w:r w:rsidR="002032A5" w:rsidRPr="00AB3D26">
        <w:rPr>
          <w:rFonts w:ascii="Times New Roman" w:hAnsi="Times New Roman" w:cs="Times New Roman"/>
          <w:bCs w:val="0"/>
          <w:sz w:val="24"/>
          <w:szCs w:val="24"/>
        </w:rPr>
        <w:t>daný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 xml:space="preserve"> měsíc</w:t>
      </w:r>
    </w:p>
    <w:p w14:paraId="0811E677" w14:textId="77777777" w:rsidR="0044698E" w:rsidRPr="00AB3D26" w:rsidRDefault="0044698E" w:rsidP="0044698E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bCs w:val="0"/>
          <w:sz w:val="24"/>
          <w:szCs w:val="24"/>
        </w:rPr>
      </w:pPr>
      <w:r w:rsidRPr="00AB3D26">
        <w:rPr>
          <w:rFonts w:ascii="Times New Roman" w:hAnsi="Times New Roman" w:cs="Times New Roman"/>
          <w:bCs w:val="0"/>
          <w:sz w:val="24"/>
          <w:szCs w:val="24"/>
        </w:rPr>
        <w:tab/>
        <w:t>„Cz</w:t>
      </w:r>
      <w:r w:rsidR="008F7154" w:rsidRPr="00AB3D26">
        <w:rPr>
          <w:rFonts w:ascii="Times New Roman" w:hAnsi="Times New Roman" w:cs="Times New Roman"/>
          <w:bCs w:val="0"/>
          <w:sz w:val="24"/>
          <w:szCs w:val="24"/>
          <w:vertAlign w:val="subscript"/>
        </w:rPr>
        <w:t>m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M</w:t>
      </w:r>
      <w:r w:rsidR="000D3DC4" w:rsidRPr="00AB3D26">
        <w:rPr>
          <w:rFonts w:ascii="Times New Roman" w:hAnsi="Times New Roman" w:cs="Times New Roman"/>
          <w:bCs w:val="0"/>
          <w:sz w:val="24"/>
          <w:szCs w:val="24"/>
        </w:rPr>
        <w:t>1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 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>202</w:t>
      </w:r>
      <w:r w:rsidR="00B75508" w:rsidRPr="00AB3D26">
        <w:rPr>
          <w:rFonts w:ascii="Times New Roman" w:hAnsi="Times New Roman" w:cs="Times New Roman"/>
          <w:bCs w:val="0"/>
          <w:sz w:val="24"/>
          <w:szCs w:val="24"/>
        </w:rPr>
        <w:t>y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 xml:space="preserve">/x“ je základní cena příslušné komodity stanovená spol. ÚRS CZ navýšená o index předvídatelnosti pro </w:t>
      </w:r>
      <w:r w:rsidR="002032A5" w:rsidRPr="00AB3D26">
        <w:rPr>
          <w:rFonts w:ascii="Times New Roman" w:hAnsi="Times New Roman" w:cs="Times New Roman"/>
          <w:bCs w:val="0"/>
          <w:sz w:val="24"/>
          <w:szCs w:val="24"/>
        </w:rPr>
        <w:t>daný</w:t>
      </w:r>
      <w:r w:rsidRPr="00AB3D26">
        <w:rPr>
          <w:rFonts w:ascii="Times New Roman" w:hAnsi="Times New Roman" w:cs="Times New Roman"/>
          <w:bCs w:val="0"/>
          <w:sz w:val="24"/>
          <w:szCs w:val="24"/>
        </w:rPr>
        <w:t xml:space="preserve"> měsíc</w:t>
      </w:r>
    </w:p>
    <w:p w14:paraId="31C31E93" w14:textId="77777777" w:rsidR="007471C3" w:rsidRPr="00AB3D26" w:rsidRDefault="007471C3" w:rsidP="007471C3">
      <w:pPr>
        <w:pStyle w:val="textIBR"/>
        <w:spacing w:after="120" w:line="276" w:lineRule="auto"/>
        <w:ind w:left="850"/>
        <w:rPr>
          <w:rFonts w:ascii="Times New Roman" w:hAnsi="Times New Roman" w:cs="Times New Roman"/>
          <w:bCs w:val="0"/>
          <w:sz w:val="24"/>
          <w:szCs w:val="24"/>
        </w:rPr>
      </w:pPr>
      <w:r w:rsidRPr="00AB3D26">
        <w:rPr>
          <w:rFonts w:ascii="Times New Roman" w:hAnsi="Times New Roman" w:cs="Times New Roman"/>
          <w:bCs w:val="0"/>
          <w:sz w:val="24"/>
          <w:szCs w:val="24"/>
        </w:rPr>
        <w:t xml:space="preserve">„y“ se rovná </w:t>
      </w:r>
      <w:proofErr w:type="gramStart"/>
      <w:r w:rsidRPr="00AB3D26">
        <w:rPr>
          <w:rFonts w:ascii="Times New Roman" w:hAnsi="Times New Roman" w:cs="Times New Roman"/>
          <w:bCs w:val="0"/>
          <w:sz w:val="24"/>
          <w:szCs w:val="24"/>
        </w:rPr>
        <w:t>2,3,.</w:t>
      </w:r>
      <w:proofErr w:type="gramEnd"/>
      <w:r w:rsidRPr="00AB3D26">
        <w:rPr>
          <w:rFonts w:ascii="Times New Roman" w:hAnsi="Times New Roman" w:cs="Times New Roman"/>
          <w:bCs w:val="0"/>
          <w:sz w:val="24"/>
          <w:szCs w:val="24"/>
        </w:rPr>
        <w:t>… a znamená roky 2022, 2023, … atd</w:t>
      </w:r>
    </w:p>
    <w:p w14:paraId="2578C1D9" w14:textId="77777777" w:rsidR="007471C3" w:rsidRPr="00AB3D26" w:rsidRDefault="007471C3" w:rsidP="007471C3">
      <w:pPr>
        <w:pStyle w:val="textIBR"/>
        <w:spacing w:after="120" w:line="276" w:lineRule="auto"/>
        <w:ind w:left="850"/>
        <w:rPr>
          <w:rFonts w:ascii="Times New Roman" w:hAnsi="Times New Roman" w:cs="Times New Roman"/>
          <w:bCs w:val="0"/>
          <w:sz w:val="24"/>
          <w:szCs w:val="24"/>
        </w:rPr>
      </w:pPr>
      <w:r w:rsidRPr="00AB3D26">
        <w:rPr>
          <w:rFonts w:ascii="Times New Roman" w:hAnsi="Times New Roman" w:cs="Times New Roman"/>
          <w:bCs w:val="0"/>
          <w:sz w:val="24"/>
          <w:szCs w:val="24"/>
        </w:rPr>
        <w:t>„x“ se rovná 1,</w:t>
      </w:r>
      <w:proofErr w:type="gramStart"/>
      <w:r w:rsidRPr="00AB3D26">
        <w:rPr>
          <w:rFonts w:ascii="Times New Roman" w:hAnsi="Times New Roman" w:cs="Times New Roman"/>
          <w:bCs w:val="0"/>
          <w:sz w:val="24"/>
          <w:szCs w:val="24"/>
        </w:rPr>
        <w:t>2,3,…</w:t>
      </w:r>
      <w:proofErr w:type="gramEnd"/>
      <w:r w:rsidRPr="00AB3D26">
        <w:rPr>
          <w:rFonts w:ascii="Times New Roman" w:hAnsi="Times New Roman" w:cs="Times New Roman"/>
          <w:bCs w:val="0"/>
          <w:sz w:val="24"/>
          <w:szCs w:val="24"/>
        </w:rPr>
        <w:t>,12 a znamená kalendářní měsíc</w:t>
      </w:r>
    </w:p>
    <w:p w14:paraId="24B17082" w14:textId="419014DC" w:rsidR="00F72AA3" w:rsidRPr="00AB3D26" w:rsidRDefault="00026894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3D26">
        <w:rPr>
          <w:rFonts w:ascii="Times New Roman" w:hAnsi="Times New Roman" w:cs="Times New Roman"/>
          <w:sz w:val="24"/>
          <w:szCs w:val="24"/>
        </w:rPr>
        <w:t>ř</w:t>
      </w:r>
      <w:r w:rsidR="00F72AA3" w:rsidRPr="00AB3D26">
        <w:rPr>
          <w:rFonts w:ascii="Times New Roman" w:hAnsi="Times New Roman" w:cs="Times New Roman"/>
          <w:sz w:val="24"/>
          <w:szCs w:val="24"/>
        </w:rPr>
        <w:t>.: cena asfaltových směsí za 03/2022:</w:t>
      </w:r>
      <w:r w:rsidR="00F72AA3" w:rsidRPr="00AB3D26">
        <w:rPr>
          <w:rFonts w:ascii="Times New Roman" w:hAnsi="Times New Roman" w:cs="Times New Roman"/>
          <w:sz w:val="24"/>
          <w:szCs w:val="24"/>
        </w:rPr>
        <w:tab/>
        <w:t xml:space="preserve">CMasf∆2022/3 = </w:t>
      </w:r>
      <w:proofErr w:type="spellStart"/>
      <w:r w:rsidR="00F72AA3" w:rsidRPr="00AB3D26">
        <w:rPr>
          <w:rFonts w:ascii="Times New Roman" w:hAnsi="Times New Roman" w:cs="Times New Roman"/>
          <w:sz w:val="24"/>
          <w:szCs w:val="24"/>
        </w:rPr>
        <w:t>CMasf</w:t>
      </w:r>
      <w:proofErr w:type="spellEnd"/>
      <w:r w:rsidR="00F72AA3" w:rsidRPr="00AB3D26">
        <w:rPr>
          <w:rFonts w:ascii="Times New Roman" w:hAnsi="Times New Roman" w:cs="Times New Roman"/>
          <w:sz w:val="24"/>
          <w:szCs w:val="24"/>
        </w:rPr>
        <w:t xml:space="preserve"> 2022/03 </w:t>
      </w:r>
      <w:r w:rsidR="00E258C2" w:rsidRPr="00AB3D26">
        <w:rPr>
          <w:rFonts w:ascii="Times New Roman" w:hAnsi="Times New Roman" w:cs="Times New Roman"/>
          <w:sz w:val="24"/>
          <w:szCs w:val="24"/>
        </w:rPr>
        <w:t>–</w:t>
      </w:r>
      <w:r w:rsidR="00F72AA3" w:rsidRPr="00AB3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448" w:rsidRPr="00AB3D26">
        <w:rPr>
          <w:rFonts w:ascii="Times New Roman" w:hAnsi="Times New Roman" w:cs="Times New Roman"/>
          <w:sz w:val="24"/>
          <w:szCs w:val="24"/>
        </w:rPr>
        <w:t>Cz</w:t>
      </w:r>
      <w:r w:rsidR="00AC3448" w:rsidRPr="00AB3D2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AC3448" w:rsidRPr="00AB3D26">
        <w:rPr>
          <w:rFonts w:ascii="Times New Roman" w:hAnsi="Times New Roman" w:cs="Times New Roman"/>
          <w:sz w:val="24"/>
          <w:szCs w:val="24"/>
        </w:rPr>
        <w:t>Masf</w:t>
      </w:r>
      <w:proofErr w:type="spellEnd"/>
      <w:r w:rsidR="00AC3448" w:rsidRPr="00AB3D26">
        <w:rPr>
          <w:rFonts w:ascii="Times New Roman" w:hAnsi="Times New Roman" w:cs="Times New Roman"/>
          <w:sz w:val="24"/>
          <w:szCs w:val="24"/>
        </w:rPr>
        <w:t xml:space="preserve"> 2022/03</w:t>
      </w:r>
    </w:p>
    <w:p w14:paraId="4635FA6D" w14:textId="77777777" w:rsidR="002B1C72" w:rsidRPr="00AB3D26" w:rsidRDefault="00617E2E" w:rsidP="00617E2E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B3D26">
        <w:rPr>
          <w:rFonts w:ascii="Times New Roman" w:hAnsi="Times New Roman" w:cs="Times New Roman"/>
          <w:sz w:val="24"/>
          <w:szCs w:val="24"/>
        </w:rPr>
        <w:t>CMasf</w:t>
      </w:r>
      <w:proofErr w:type="spellEnd"/>
      <w:r w:rsidRPr="00AB3D26">
        <w:rPr>
          <w:rFonts w:ascii="Times New Roman" w:hAnsi="Times New Roman" w:cs="Times New Roman"/>
          <w:sz w:val="24"/>
          <w:szCs w:val="24"/>
        </w:rPr>
        <w:t xml:space="preserve"> 2022/03“ je cena </w:t>
      </w:r>
      <w:r w:rsidR="002B1C72" w:rsidRPr="00AB3D26">
        <w:rPr>
          <w:rFonts w:ascii="Times New Roman" w:hAnsi="Times New Roman" w:cs="Times New Roman"/>
          <w:sz w:val="24"/>
          <w:szCs w:val="24"/>
        </w:rPr>
        <w:t>asfaltových směsí stanovená spol. ÚRS CZ ze statistických údajů za 03/2022</w:t>
      </w:r>
    </w:p>
    <w:p w14:paraId="1FD50137" w14:textId="4F7D1B15" w:rsidR="00617E2E" w:rsidRPr="00AB3D26" w:rsidRDefault="00BE3CE7" w:rsidP="00BE3CE7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AB3D26">
        <w:rPr>
          <w:rFonts w:ascii="Times New Roman" w:hAnsi="Times New Roman" w:cs="Times New Roman"/>
          <w:sz w:val="24"/>
          <w:szCs w:val="24"/>
        </w:rPr>
        <w:t>C</w:t>
      </w:r>
      <w:r w:rsidR="00AC3448" w:rsidRPr="00AB3D26">
        <w:rPr>
          <w:rFonts w:ascii="Times New Roman" w:hAnsi="Times New Roman" w:cs="Times New Roman"/>
          <w:sz w:val="24"/>
          <w:szCs w:val="24"/>
        </w:rPr>
        <w:t>z</w:t>
      </w:r>
      <w:r w:rsidR="00AC3448" w:rsidRPr="00AB3D2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B3D26">
        <w:rPr>
          <w:rFonts w:ascii="Times New Roman" w:hAnsi="Times New Roman" w:cs="Times New Roman"/>
          <w:sz w:val="24"/>
          <w:szCs w:val="24"/>
        </w:rPr>
        <w:t>Masf</w:t>
      </w:r>
      <w:proofErr w:type="spellEnd"/>
      <w:r w:rsidRPr="00AB3D26">
        <w:rPr>
          <w:rFonts w:ascii="Times New Roman" w:hAnsi="Times New Roman" w:cs="Times New Roman"/>
          <w:sz w:val="24"/>
          <w:szCs w:val="24"/>
        </w:rPr>
        <w:t xml:space="preserve"> 2022/0</w:t>
      </w:r>
      <w:r w:rsidR="00B75508" w:rsidRPr="00AB3D26">
        <w:rPr>
          <w:rFonts w:ascii="Times New Roman" w:hAnsi="Times New Roman" w:cs="Times New Roman"/>
          <w:sz w:val="24"/>
          <w:szCs w:val="24"/>
        </w:rPr>
        <w:t>3</w:t>
      </w:r>
      <w:r w:rsidRPr="00AB3D26">
        <w:rPr>
          <w:rFonts w:ascii="Times New Roman" w:hAnsi="Times New Roman" w:cs="Times New Roman"/>
          <w:sz w:val="24"/>
          <w:szCs w:val="24"/>
        </w:rPr>
        <w:t>“ je</w:t>
      </w:r>
      <w:r w:rsidR="00AC3448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C969F3" w:rsidRPr="00AB3D26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AB3D26">
        <w:rPr>
          <w:rFonts w:ascii="Times New Roman" w:hAnsi="Times New Roman" w:cs="Times New Roman"/>
          <w:sz w:val="24"/>
          <w:szCs w:val="24"/>
        </w:rPr>
        <w:t>cena asfaltových směsí stanovená spol. ÚRS CZ ze</w:t>
      </w:r>
      <w:r w:rsidR="00026894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statistických údajů za 2022</w:t>
      </w:r>
      <w:r w:rsidR="007471C3" w:rsidRPr="00AB3D26">
        <w:rPr>
          <w:rFonts w:ascii="Times New Roman" w:hAnsi="Times New Roman" w:cs="Times New Roman"/>
          <w:sz w:val="24"/>
          <w:szCs w:val="24"/>
        </w:rPr>
        <w:t>/02</w:t>
      </w:r>
      <w:r w:rsidR="00AC3448" w:rsidRPr="00AB3D26">
        <w:rPr>
          <w:rFonts w:ascii="Times New Roman" w:hAnsi="Times New Roman" w:cs="Times New Roman"/>
          <w:sz w:val="24"/>
          <w:szCs w:val="24"/>
        </w:rPr>
        <w:t xml:space="preserve"> navýšená o index předvídatelnosti</w:t>
      </w:r>
    </w:p>
    <w:p w14:paraId="499C57BF" w14:textId="77777777" w:rsidR="00F72AA3" w:rsidRPr="00AB3D26" w:rsidRDefault="00F72AA3" w:rsidP="00A31A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Vazba na Smlouvu o Dílo</w:t>
      </w:r>
    </w:p>
    <w:p w14:paraId="0DDF2025" w14:textId="0D84C255" w:rsidR="00F72AA3" w:rsidRPr="00AB3D26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Určeným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materiálovým skupinám budou přiřazeny</w:t>
      </w:r>
      <w:r w:rsidR="00E96F58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BB2D14" w:rsidRPr="00AB3D26">
        <w:rPr>
          <w:rFonts w:ascii="Times New Roman" w:hAnsi="Times New Roman" w:cs="Times New Roman"/>
          <w:b/>
          <w:bCs w:val="0"/>
          <w:sz w:val="24"/>
          <w:szCs w:val="24"/>
        </w:rPr>
        <w:t>metodikou</w:t>
      </w:r>
      <w:r w:rsidR="00BB2D14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E96F58" w:rsidRPr="00AB3D26">
        <w:rPr>
          <w:rFonts w:ascii="Times New Roman" w:hAnsi="Times New Roman" w:cs="Times New Roman"/>
          <w:b/>
          <w:bCs w:val="0"/>
          <w:sz w:val="24"/>
          <w:szCs w:val="24"/>
        </w:rPr>
        <w:t>vybrané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 položky OTSKP</w:t>
      </w:r>
      <w:r w:rsidRPr="00AB3D26">
        <w:rPr>
          <w:rFonts w:ascii="Times New Roman" w:hAnsi="Times New Roman" w:cs="Times New Roman"/>
          <w:sz w:val="24"/>
          <w:szCs w:val="24"/>
        </w:rPr>
        <w:t xml:space="preserve"> smluvního rozpočtu, které dané materiály obsahují.</w:t>
      </w:r>
      <w:r w:rsidR="00B05C4C" w:rsidRPr="00AB3D26">
        <w:rPr>
          <w:rFonts w:ascii="Times New Roman" w:hAnsi="Times New Roman" w:cs="Times New Roman"/>
          <w:sz w:val="24"/>
          <w:szCs w:val="24"/>
        </w:rPr>
        <w:t xml:space="preserve"> Případně </w:t>
      </w:r>
      <w:r w:rsidR="00E67E94" w:rsidRPr="00AB3D26">
        <w:rPr>
          <w:rFonts w:ascii="Times New Roman" w:hAnsi="Times New Roman" w:cs="Times New Roman"/>
          <w:sz w:val="24"/>
          <w:szCs w:val="24"/>
        </w:rPr>
        <w:t xml:space="preserve">položky jiné cenové soustavy (např. CS </w:t>
      </w:r>
      <w:r w:rsidR="00B05C4C" w:rsidRPr="00AB3D26">
        <w:rPr>
          <w:rFonts w:ascii="Times New Roman" w:hAnsi="Times New Roman" w:cs="Times New Roman"/>
          <w:sz w:val="24"/>
          <w:szCs w:val="24"/>
        </w:rPr>
        <w:t>URS</w:t>
      </w:r>
      <w:r w:rsidR="00E67E94" w:rsidRPr="00AB3D26">
        <w:rPr>
          <w:rFonts w:ascii="Times New Roman" w:hAnsi="Times New Roman" w:cs="Times New Roman"/>
          <w:sz w:val="24"/>
          <w:szCs w:val="24"/>
        </w:rPr>
        <w:t>)</w:t>
      </w:r>
      <w:r w:rsidR="00B05C4C" w:rsidRPr="00AB3D26">
        <w:rPr>
          <w:rFonts w:ascii="Times New Roman" w:hAnsi="Times New Roman" w:cs="Times New Roman"/>
          <w:sz w:val="24"/>
          <w:szCs w:val="24"/>
        </w:rPr>
        <w:t xml:space="preserve"> v případech, kdy se </w:t>
      </w:r>
      <w:r w:rsidR="00E67E94" w:rsidRPr="00AB3D26">
        <w:rPr>
          <w:rFonts w:ascii="Times New Roman" w:hAnsi="Times New Roman" w:cs="Times New Roman"/>
          <w:sz w:val="24"/>
          <w:szCs w:val="24"/>
        </w:rPr>
        <w:t>cenová soustava OTSKP pro</w:t>
      </w:r>
      <w:r w:rsidR="00026894">
        <w:rPr>
          <w:rFonts w:ascii="Times New Roman" w:hAnsi="Times New Roman" w:cs="Times New Roman"/>
          <w:sz w:val="24"/>
          <w:szCs w:val="24"/>
        </w:rPr>
        <w:t> </w:t>
      </w:r>
      <w:r w:rsidR="00E67E94" w:rsidRPr="00AB3D26">
        <w:rPr>
          <w:rFonts w:ascii="Times New Roman" w:hAnsi="Times New Roman" w:cs="Times New Roman"/>
          <w:sz w:val="24"/>
          <w:szCs w:val="24"/>
        </w:rPr>
        <w:t>kontrakt nepoužila.</w:t>
      </w:r>
      <w:r w:rsidR="00CB1483" w:rsidRPr="00AB3D26">
        <w:rPr>
          <w:rFonts w:ascii="Times New Roman" w:hAnsi="Times New Roman" w:cs="Times New Roman"/>
          <w:sz w:val="24"/>
          <w:szCs w:val="24"/>
        </w:rPr>
        <w:t xml:space="preserve"> Položky jsou vybrané na základě míry zastoupení </w:t>
      </w:r>
      <w:r w:rsidR="0000102E" w:rsidRPr="00AB3D26">
        <w:rPr>
          <w:rFonts w:ascii="Times New Roman" w:hAnsi="Times New Roman" w:cs="Times New Roman"/>
          <w:sz w:val="24"/>
          <w:szCs w:val="24"/>
        </w:rPr>
        <w:t xml:space="preserve">skupin materiálů v těchto položkách, dále na základě toho, že reprezentují většinový podíl nákladů staveb a zároveň jsou jednotlivé materiálové skupiny </w:t>
      </w:r>
      <w:r w:rsidR="0096224B">
        <w:rPr>
          <w:rFonts w:ascii="Times New Roman" w:hAnsi="Times New Roman" w:cs="Times New Roman"/>
          <w:sz w:val="24"/>
          <w:szCs w:val="24"/>
        </w:rPr>
        <w:t>u</w:t>
      </w:r>
      <w:r w:rsidR="0000102E" w:rsidRPr="00AB3D26">
        <w:rPr>
          <w:rFonts w:ascii="Times New Roman" w:hAnsi="Times New Roman" w:cs="Times New Roman"/>
          <w:sz w:val="24"/>
          <w:szCs w:val="24"/>
        </w:rPr>
        <w:t> těchto položek prokazatelně kvantifikovatelné.</w:t>
      </w:r>
    </w:p>
    <w:p w14:paraId="43E0D22E" w14:textId="1A823ECF" w:rsidR="00F72AA3" w:rsidRPr="00AB3D26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Seznam položek bude stanoven jejich přesným výčtem s uvedením případného přepočtového vzorce</w:t>
      </w:r>
      <w:r w:rsidR="005A621E">
        <w:rPr>
          <w:rFonts w:ascii="Times New Roman" w:hAnsi="Times New Roman" w:cs="Times New Roman"/>
          <w:sz w:val="24"/>
          <w:szCs w:val="24"/>
        </w:rPr>
        <w:t xml:space="preserve"> a </w:t>
      </w:r>
      <w:r w:rsidRPr="00AB3D26">
        <w:rPr>
          <w:rFonts w:ascii="Times New Roman" w:hAnsi="Times New Roman" w:cs="Times New Roman"/>
          <w:sz w:val="24"/>
          <w:szCs w:val="24"/>
        </w:rPr>
        <w:t>koeficient</w:t>
      </w:r>
      <w:r w:rsidR="00026894">
        <w:rPr>
          <w:rFonts w:ascii="Times New Roman" w:hAnsi="Times New Roman" w:cs="Times New Roman"/>
          <w:sz w:val="24"/>
          <w:szCs w:val="24"/>
        </w:rPr>
        <w:t>u</w:t>
      </w:r>
      <w:r w:rsidRPr="00AB3D26">
        <w:rPr>
          <w:rFonts w:ascii="Times New Roman" w:hAnsi="Times New Roman" w:cs="Times New Roman"/>
          <w:sz w:val="24"/>
          <w:szCs w:val="24"/>
        </w:rPr>
        <w:t xml:space="preserve"> přepočtu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zohledňujícího míru zastoupení materiálu v položce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  <w:r w:rsidR="00E96F58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C0508" w14:textId="629F0040" w:rsidR="002B1C72" w:rsidRPr="00AB3D26" w:rsidRDefault="0078699F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U položek</w:t>
      </w:r>
      <w:r w:rsidR="00B27D7A" w:rsidRPr="00AB3D26">
        <w:rPr>
          <w:rFonts w:ascii="Times New Roman" w:hAnsi="Times New Roman" w:cs="Times New Roman"/>
          <w:sz w:val="24"/>
          <w:szCs w:val="24"/>
        </w:rPr>
        <w:t xml:space="preserve"> (např. R-položek)</w:t>
      </w:r>
      <w:r w:rsidRPr="00AB3D26">
        <w:rPr>
          <w:rFonts w:ascii="Times New Roman" w:hAnsi="Times New Roman" w:cs="Times New Roman"/>
          <w:sz w:val="24"/>
          <w:szCs w:val="24"/>
        </w:rPr>
        <w:t>, které jsou součástí smlouvy o dílo s příslušným zhotovitelem, ale nejsou specificky uvedeny v cenové soustavě OTSKP</w:t>
      </w:r>
      <w:r w:rsidR="00B27D7A" w:rsidRPr="00AB3D26">
        <w:rPr>
          <w:rFonts w:ascii="Times New Roman" w:hAnsi="Times New Roman" w:cs="Times New Roman"/>
          <w:sz w:val="24"/>
          <w:szCs w:val="24"/>
        </w:rPr>
        <w:t xml:space="preserve"> - nebo v jiné cenové soustavě (např. CS URS) v případech, kdy se cenová soustava OTSKP </w:t>
      </w:r>
      <w:r w:rsidR="00B27D7A" w:rsidRPr="00AB3D26">
        <w:rPr>
          <w:rFonts w:ascii="Times New Roman" w:hAnsi="Times New Roman" w:cs="Times New Roman"/>
          <w:sz w:val="24"/>
          <w:szCs w:val="24"/>
        </w:rPr>
        <w:lastRenderedPageBreak/>
        <w:t>pro</w:t>
      </w:r>
      <w:r w:rsidR="005A621E">
        <w:rPr>
          <w:rFonts w:ascii="Times New Roman" w:hAnsi="Times New Roman" w:cs="Times New Roman"/>
          <w:sz w:val="24"/>
          <w:szCs w:val="24"/>
        </w:rPr>
        <w:t> </w:t>
      </w:r>
      <w:r w:rsidR="00B27D7A" w:rsidRPr="00AB3D26">
        <w:rPr>
          <w:rFonts w:ascii="Times New Roman" w:hAnsi="Times New Roman" w:cs="Times New Roman"/>
          <w:sz w:val="24"/>
          <w:szCs w:val="24"/>
        </w:rPr>
        <w:t>kontrakt nepoužila</w:t>
      </w:r>
      <w:r w:rsidR="005A621E">
        <w:rPr>
          <w:rFonts w:ascii="Times New Roman" w:hAnsi="Times New Roman" w:cs="Times New Roman"/>
          <w:sz w:val="24"/>
          <w:szCs w:val="24"/>
        </w:rPr>
        <w:t>,</w:t>
      </w:r>
      <w:r w:rsidRPr="00AB3D26">
        <w:rPr>
          <w:rFonts w:ascii="Times New Roman" w:hAnsi="Times New Roman" w:cs="Times New Roman"/>
          <w:sz w:val="24"/>
          <w:szCs w:val="24"/>
        </w:rPr>
        <w:t xml:space="preserve"> se bude o zařazení mezi kompenzované položky rozhodovat na základě stejného principu jako u položek cenové soustavy </w:t>
      </w:r>
      <w:proofErr w:type="spellStart"/>
      <w:r w:rsidRPr="00AB3D26">
        <w:rPr>
          <w:rFonts w:ascii="Times New Roman" w:hAnsi="Times New Roman" w:cs="Times New Roman"/>
          <w:sz w:val="24"/>
          <w:szCs w:val="24"/>
        </w:rPr>
        <w:t>OTSKP</w:t>
      </w:r>
      <w:r w:rsidR="005A621E">
        <w:rPr>
          <w:rFonts w:ascii="Times New Roman" w:hAnsi="Times New Roman" w:cs="Times New Roman"/>
          <w:sz w:val="24"/>
          <w:szCs w:val="24"/>
        </w:rPr>
        <w:t>,</w:t>
      </w:r>
      <w:r w:rsidR="00B27D7A" w:rsidRPr="00AB3D26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="00B27D7A" w:rsidRPr="00AB3D26">
        <w:rPr>
          <w:rFonts w:ascii="Times New Roman" w:hAnsi="Times New Roman" w:cs="Times New Roman"/>
          <w:sz w:val="24"/>
          <w:szCs w:val="24"/>
        </w:rPr>
        <w:t xml:space="preserve">. jiné </w:t>
      </w:r>
      <w:r w:rsidR="00537691" w:rsidRPr="00AB3D26">
        <w:rPr>
          <w:rFonts w:ascii="Times New Roman" w:hAnsi="Times New Roman" w:cs="Times New Roman"/>
          <w:sz w:val="24"/>
          <w:szCs w:val="24"/>
        </w:rPr>
        <w:t xml:space="preserve">cenové </w:t>
      </w:r>
      <w:r w:rsidR="00B27D7A" w:rsidRPr="00AB3D26">
        <w:rPr>
          <w:rFonts w:ascii="Times New Roman" w:hAnsi="Times New Roman" w:cs="Times New Roman"/>
          <w:sz w:val="24"/>
          <w:szCs w:val="24"/>
        </w:rPr>
        <w:t>soustavy</w:t>
      </w:r>
      <w:r w:rsidRPr="00AB3D26">
        <w:rPr>
          <w:rFonts w:ascii="Times New Roman" w:hAnsi="Times New Roman" w:cs="Times New Roman"/>
          <w:sz w:val="24"/>
          <w:szCs w:val="24"/>
        </w:rPr>
        <w:t xml:space="preserve">, tj. na základě míry zastoupení skupin materiálů v těchto položkách, dále na základě toho, že reprezentují většinový podíl nákladů staveb a zároveň jsou jednotlivé materiálové skupiny </w:t>
      </w:r>
      <w:r w:rsidR="005A621E">
        <w:rPr>
          <w:rFonts w:ascii="Times New Roman" w:hAnsi="Times New Roman" w:cs="Times New Roman"/>
          <w:sz w:val="24"/>
          <w:szCs w:val="24"/>
        </w:rPr>
        <w:t>u</w:t>
      </w:r>
      <w:r w:rsidRPr="00AB3D26">
        <w:rPr>
          <w:rFonts w:ascii="Times New Roman" w:hAnsi="Times New Roman" w:cs="Times New Roman"/>
          <w:sz w:val="24"/>
          <w:szCs w:val="24"/>
        </w:rPr>
        <w:t xml:space="preserve"> těchto položek prokazatelně kvantifikovatelné. Návrh na zařazení položky, včetně specifikace míry zastoupení materiálu v položce, předkládá </w:t>
      </w:r>
      <w:r w:rsidR="005A621E">
        <w:rPr>
          <w:rFonts w:ascii="Times New Roman" w:hAnsi="Times New Roman" w:cs="Times New Roman"/>
          <w:sz w:val="24"/>
          <w:szCs w:val="24"/>
        </w:rPr>
        <w:t>z</w:t>
      </w:r>
      <w:r w:rsidR="005A621E" w:rsidRPr="00AB3D26">
        <w:rPr>
          <w:rFonts w:ascii="Times New Roman" w:hAnsi="Times New Roman" w:cs="Times New Roman"/>
          <w:sz w:val="24"/>
          <w:szCs w:val="24"/>
        </w:rPr>
        <w:t xml:space="preserve">hotovitel </w:t>
      </w:r>
      <w:r w:rsidRPr="00AB3D26">
        <w:rPr>
          <w:rFonts w:ascii="Times New Roman" w:hAnsi="Times New Roman" w:cs="Times New Roman"/>
          <w:sz w:val="24"/>
          <w:szCs w:val="24"/>
        </w:rPr>
        <w:t xml:space="preserve">k potvrzení technickému dozoru stavby a následně </w:t>
      </w:r>
      <w:r w:rsidR="005A621E">
        <w:rPr>
          <w:rFonts w:ascii="Times New Roman" w:hAnsi="Times New Roman" w:cs="Times New Roman"/>
          <w:sz w:val="24"/>
          <w:szCs w:val="24"/>
        </w:rPr>
        <w:t>z</w:t>
      </w:r>
      <w:r w:rsidR="005A621E" w:rsidRPr="00AB3D26">
        <w:rPr>
          <w:rFonts w:ascii="Times New Roman" w:hAnsi="Times New Roman" w:cs="Times New Roman"/>
          <w:sz w:val="24"/>
          <w:szCs w:val="24"/>
        </w:rPr>
        <w:t xml:space="preserve">adavateli </w:t>
      </w:r>
      <w:r w:rsidRPr="00AB3D26">
        <w:rPr>
          <w:rFonts w:ascii="Times New Roman" w:hAnsi="Times New Roman" w:cs="Times New Roman"/>
          <w:sz w:val="24"/>
          <w:szCs w:val="24"/>
        </w:rPr>
        <w:t>ke schválení.</w:t>
      </w:r>
    </w:p>
    <w:p w14:paraId="5389C0F9" w14:textId="08D98F10" w:rsidR="00F72AA3" w:rsidRPr="00AB3D26" w:rsidRDefault="005A621E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3D26">
        <w:rPr>
          <w:rFonts w:ascii="Times New Roman" w:hAnsi="Times New Roman" w:cs="Times New Roman"/>
          <w:sz w:val="24"/>
          <w:szCs w:val="24"/>
        </w:rPr>
        <w:t>ř</w:t>
      </w:r>
      <w:r w:rsidR="00F72AA3" w:rsidRPr="00AB3D26">
        <w:rPr>
          <w:rFonts w:ascii="Times New Roman" w:hAnsi="Times New Roman" w:cs="Times New Roman"/>
          <w:sz w:val="24"/>
          <w:szCs w:val="24"/>
        </w:rPr>
        <w:t>. za 03/2022:</w:t>
      </w:r>
    </w:p>
    <w:p w14:paraId="66BCEBB8" w14:textId="77777777" w:rsidR="00BE3CE7" w:rsidRPr="00AB3D26" w:rsidRDefault="00F72AA3" w:rsidP="00BE3CE7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574A01 -   ASFALTOVÝ BETON PRO OBRUSNÉ VRSTVY ACO 8, měrná </w:t>
      </w:r>
      <w:proofErr w:type="gramStart"/>
      <w:r w:rsidRPr="00AB3D26">
        <w:rPr>
          <w:rFonts w:ascii="Times New Roman" w:hAnsi="Times New Roman" w:cs="Times New Roman"/>
          <w:sz w:val="24"/>
          <w:szCs w:val="24"/>
        </w:rPr>
        <w:t>jednotka - M3</w:t>
      </w:r>
      <w:proofErr w:type="gramEnd"/>
    </w:p>
    <w:p w14:paraId="78ABD4D2" w14:textId="77777777" w:rsidR="007C16D2" w:rsidRPr="00AB3D26" w:rsidRDefault="007C16D2" w:rsidP="00BE3CE7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B3D26">
        <w:rPr>
          <w:rFonts w:ascii="Times New Roman" w:hAnsi="Times New Roman" w:cs="Times New Roman"/>
          <w:sz w:val="24"/>
          <w:szCs w:val="24"/>
        </w:rPr>
        <w:t>CMasf</w:t>
      </w:r>
      <w:proofErr w:type="spellEnd"/>
      <w:r w:rsidRPr="00AB3D26">
        <w:rPr>
          <w:rFonts w:ascii="Times New Roman" w:hAnsi="Times New Roman" w:cs="Times New Roman"/>
          <w:sz w:val="24"/>
          <w:szCs w:val="24"/>
        </w:rPr>
        <w:t xml:space="preserve"> 2022/03 = 1930 Kč/t</w:t>
      </w:r>
    </w:p>
    <w:p w14:paraId="73107A77" w14:textId="77777777" w:rsidR="00AC3448" w:rsidRPr="00AB3D26" w:rsidRDefault="00AC3448" w:rsidP="00BE3CE7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B3D26">
        <w:rPr>
          <w:rFonts w:ascii="Times New Roman" w:hAnsi="Times New Roman" w:cs="Times New Roman"/>
          <w:sz w:val="24"/>
          <w:szCs w:val="24"/>
        </w:rPr>
        <w:t>CzMasf</w:t>
      </w:r>
      <w:proofErr w:type="spellEnd"/>
      <w:r w:rsidRPr="00AB3D26">
        <w:rPr>
          <w:rFonts w:ascii="Times New Roman" w:hAnsi="Times New Roman" w:cs="Times New Roman"/>
          <w:sz w:val="24"/>
          <w:szCs w:val="24"/>
        </w:rPr>
        <w:t xml:space="preserve"> 2022/02 = 1843 Kč/t</w:t>
      </w:r>
    </w:p>
    <w:p w14:paraId="5A3722F0" w14:textId="77777777" w:rsidR="007C16D2" w:rsidRPr="00AB3D26" w:rsidRDefault="00AC3448" w:rsidP="00AE455C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B3D26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AB3D26">
        <w:rPr>
          <w:rFonts w:ascii="Times New Roman" w:hAnsi="Times New Roman" w:cs="Times New Roman"/>
          <w:sz w:val="24"/>
          <w:szCs w:val="24"/>
        </w:rPr>
        <w:t xml:space="preserve"> = 1,02</w:t>
      </w:r>
    </w:p>
    <w:p w14:paraId="104426D5" w14:textId="77777777" w:rsidR="00F72AA3" w:rsidRPr="00AB3D26" w:rsidRDefault="00F72AA3" w:rsidP="001F03AA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CMasf∆2022/3 = </w:t>
      </w:r>
      <w:proofErr w:type="spellStart"/>
      <w:r w:rsidR="00BE3CE7" w:rsidRPr="00AB3D26">
        <w:rPr>
          <w:rFonts w:ascii="Times New Roman" w:hAnsi="Times New Roman" w:cs="Times New Roman"/>
          <w:sz w:val="24"/>
          <w:szCs w:val="24"/>
        </w:rPr>
        <w:t>CMasf</w:t>
      </w:r>
      <w:proofErr w:type="spellEnd"/>
      <w:r w:rsidR="00BE3CE7" w:rsidRPr="00AB3D26">
        <w:rPr>
          <w:rFonts w:ascii="Times New Roman" w:hAnsi="Times New Roman" w:cs="Times New Roman"/>
          <w:sz w:val="24"/>
          <w:szCs w:val="24"/>
        </w:rPr>
        <w:t xml:space="preserve"> 2022/03 - </w:t>
      </w:r>
      <w:r w:rsidR="007D55F9" w:rsidRPr="00AB3D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55F9" w:rsidRPr="00AB3D26">
        <w:rPr>
          <w:rFonts w:ascii="Times New Roman" w:hAnsi="Times New Roman" w:cs="Times New Roman"/>
          <w:sz w:val="24"/>
          <w:szCs w:val="24"/>
        </w:rPr>
        <w:t>C</w:t>
      </w:r>
      <w:r w:rsidR="00AC3448" w:rsidRPr="00AB3D26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7D55F9" w:rsidRPr="00AB3D26">
        <w:rPr>
          <w:rFonts w:ascii="Times New Roman" w:hAnsi="Times New Roman" w:cs="Times New Roman"/>
          <w:sz w:val="24"/>
          <w:szCs w:val="24"/>
        </w:rPr>
        <w:t>Masf</w:t>
      </w:r>
      <w:proofErr w:type="spellEnd"/>
      <w:r w:rsidR="007D55F9" w:rsidRPr="00AB3D26">
        <w:rPr>
          <w:rFonts w:ascii="Times New Roman" w:hAnsi="Times New Roman" w:cs="Times New Roman"/>
          <w:sz w:val="24"/>
          <w:szCs w:val="24"/>
        </w:rPr>
        <w:t xml:space="preserve"> 2022/02 x </w:t>
      </w:r>
      <w:r w:rsidR="00245367" w:rsidRPr="00AB3D26">
        <w:rPr>
          <w:rFonts w:ascii="Times New Roman" w:hAnsi="Times New Roman" w:cs="Times New Roman"/>
          <w:sz w:val="24"/>
          <w:szCs w:val="24"/>
        </w:rPr>
        <w:t>Ip</w:t>
      </w:r>
      <w:r w:rsidR="00BE3CE7" w:rsidRPr="00AB3D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55F9" w:rsidRPr="00AB3D26">
        <w:rPr>
          <w:rFonts w:ascii="Times New Roman" w:hAnsi="Times New Roman" w:cs="Times New Roman"/>
          <w:sz w:val="24"/>
          <w:szCs w:val="24"/>
        </w:rPr>
        <w:t xml:space="preserve">) </w:t>
      </w:r>
      <w:r w:rsidRPr="00AB3D26">
        <w:rPr>
          <w:rFonts w:ascii="Times New Roman" w:hAnsi="Times New Roman" w:cs="Times New Roman"/>
          <w:sz w:val="24"/>
          <w:szCs w:val="24"/>
        </w:rPr>
        <w:t xml:space="preserve">= 1930 – </w:t>
      </w:r>
      <w:r w:rsidR="007D55F9" w:rsidRPr="00AB3D26">
        <w:rPr>
          <w:rFonts w:ascii="Times New Roman" w:hAnsi="Times New Roman" w:cs="Times New Roman"/>
          <w:sz w:val="24"/>
          <w:szCs w:val="24"/>
        </w:rPr>
        <w:t>(</w:t>
      </w:r>
      <w:r w:rsidRPr="00AB3D26">
        <w:rPr>
          <w:rFonts w:ascii="Times New Roman" w:hAnsi="Times New Roman" w:cs="Times New Roman"/>
          <w:sz w:val="24"/>
          <w:szCs w:val="24"/>
        </w:rPr>
        <w:t>18</w:t>
      </w:r>
      <w:r w:rsidR="007D55F9" w:rsidRPr="00AB3D26">
        <w:rPr>
          <w:rFonts w:ascii="Times New Roman" w:hAnsi="Times New Roman" w:cs="Times New Roman"/>
          <w:sz w:val="24"/>
          <w:szCs w:val="24"/>
        </w:rPr>
        <w:t>43 x 1,02)</w:t>
      </w:r>
      <w:r w:rsidRPr="00AB3D26">
        <w:rPr>
          <w:rFonts w:ascii="Times New Roman" w:hAnsi="Times New Roman" w:cs="Times New Roman"/>
          <w:sz w:val="24"/>
          <w:szCs w:val="24"/>
        </w:rPr>
        <w:t xml:space="preserve"> = 50 Kč/ t </w:t>
      </w:r>
    </w:p>
    <w:p w14:paraId="21928476" w14:textId="77777777" w:rsidR="00F72AA3" w:rsidRPr="00AB3D26" w:rsidRDefault="00F72AA3" w:rsidP="001F03AA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1 M3 = 2,</w:t>
      </w:r>
      <w:r w:rsidR="00585ACD" w:rsidRPr="00AB3D26">
        <w:rPr>
          <w:rFonts w:ascii="Times New Roman" w:hAnsi="Times New Roman" w:cs="Times New Roman"/>
          <w:sz w:val="24"/>
          <w:szCs w:val="24"/>
        </w:rPr>
        <w:t>6</w:t>
      </w:r>
      <w:r w:rsidRPr="00AB3D26">
        <w:rPr>
          <w:rFonts w:ascii="Times New Roman" w:hAnsi="Times New Roman" w:cs="Times New Roman"/>
          <w:sz w:val="24"/>
          <w:szCs w:val="24"/>
        </w:rPr>
        <w:t xml:space="preserve"> T</w:t>
      </w:r>
    </w:p>
    <w:p w14:paraId="0CF0567F" w14:textId="77777777" w:rsidR="00F72AA3" w:rsidRPr="00AB3D26" w:rsidRDefault="00F72AA3" w:rsidP="001F03AA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1 M3 CMasf∆2022/3 = 50 * 2,</w:t>
      </w:r>
      <w:r w:rsidR="00BE3CE7" w:rsidRPr="00AB3D26">
        <w:rPr>
          <w:rFonts w:ascii="Times New Roman" w:hAnsi="Times New Roman" w:cs="Times New Roman"/>
          <w:sz w:val="24"/>
          <w:szCs w:val="24"/>
        </w:rPr>
        <w:t>6</w:t>
      </w:r>
      <w:r w:rsidRPr="00AB3D26">
        <w:rPr>
          <w:rFonts w:ascii="Times New Roman" w:hAnsi="Times New Roman" w:cs="Times New Roman"/>
          <w:sz w:val="24"/>
          <w:szCs w:val="24"/>
        </w:rPr>
        <w:t xml:space="preserve"> = 1</w:t>
      </w:r>
      <w:r w:rsidR="00BE3CE7" w:rsidRPr="00AB3D26">
        <w:rPr>
          <w:rFonts w:ascii="Times New Roman" w:hAnsi="Times New Roman" w:cs="Times New Roman"/>
          <w:sz w:val="24"/>
          <w:szCs w:val="24"/>
        </w:rPr>
        <w:t>3</w:t>
      </w:r>
      <w:r w:rsidRPr="00AB3D26">
        <w:rPr>
          <w:rFonts w:ascii="Times New Roman" w:hAnsi="Times New Roman" w:cs="Times New Roman"/>
          <w:sz w:val="24"/>
          <w:szCs w:val="24"/>
        </w:rPr>
        <w:t>0 Kč/</w:t>
      </w:r>
      <w:r w:rsidR="003047A0" w:rsidRPr="00AB3D26">
        <w:rPr>
          <w:rFonts w:ascii="Times New Roman" w:hAnsi="Times New Roman" w:cs="Times New Roman"/>
          <w:sz w:val="24"/>
          <w:szCs w:val="24"/>
        </w:rPr>
        <w:t>M3</w:t>
      </w:r>
    </w:p>
    <w:p w14:paraId="7B32FF61" w14:textId="77777777" w:rsidR="00F72AA3" w:rsidRPr="00AB3D26" w:rsidRDefault="00F72AA3" w:rsidP="00A31A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B3D26">
        <w:rPr>
          <w:rFonts w:ascii="Times New Roman" w:hAnsi="Times New Roman" w:cs="Times New Roman"/>
          <w:b/>
          <w:bCs/>
          <w:sz w:val="24"/>
          <w:szCs w:val="24"/>
        </w:rPr>
        <w:t>Stanovení množství a výše platby za posuzované období</w:t>
      </w:r>
    </w:p>
    <w:p w14:paraId="6E7C23BF" w14:textId="1D521D4D" w:rsidR="00DA536A" w:rsidRPr="00AB3D26" w:rsidRDefault="00043B08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Jako skutečnost rozhodnou pro posouzení, zda konkrétní množství materiálů nebo výrobků zařadit do příslušného měsíce</w:t>
      </w:r>
      <w:r w:rsidR="002D609C">
        <w:rPr>
          <w:rFonts w:ascii="Times New Roman" w:hAnsi="Times New Roman" w:cs="Times New Roman"/>
          <w:sz w:val="24"/>
          <w:szCs w:val="24"/>
        </w:rPr>
        <w:t>,</w:t>
      </w:r>
      <w:r w:rsidRPr="00AB3D26">
        <w:rPr>
          <w:rFonts w:ascii="Times New Roman" w:hAnsi="Times New Roman" w:cs="Times New Roman"/>
          <w:sz w:val="24"/>
          <w:szCs w:val="24"/>
        </w:rPr>
        <w:t xml:space="preserve"> je považováno </w:t>
      </w:r>
      <w:r w:rsidR="001173B3" w:rsidRPr="00AB3D26">
        <w:rPr>
          <w:rFonts w:ascii="Times New Roman" w:hAnsi="Times New Roman" w:cs="Times New Roman"/>
          <w:b/>
          <w:bCs w:val="0"/>
          <w:sz w:val="24"/>
          <w:szCs w:val="24"/>
        </w:rPr>
        <w:t>zabudování materiálu do</w:t>
      </w:r>
      <w:r w:rsidR="002D609C">
        <w:rPr>
          <w:rFonts w:ascii="Times New Roman" w:hAnsi="Times New Roman" w:cs="Times New Roman"/>
          <w:b/>
          <w:bCs w:val="0"/>
          <w:sz w:val="24"/>
          <w:szCs w:val="24"/>
        </w:rPr>
        <w:t> </w:t>
      </w:r>
      <w:r w:rsidR="001173B3" w:rsidRPr="00AB3D26">
        <w:rPr>
          <w:rFonts w:ascii="Times New Roman" w:hAnsi="Times New Roman" w:cs="Times New Roman"/>
          <w:b/>
          <w:bCs w:val="0"/>
          <w:sz w:val="24"/>
          <w:szCs w:val="24"/>
        </w:rPr>
        <w:t>stavby (díla)</w:t>
      </w:r>
      <w:r w:rsidRPr="00AB3D26">
        <w:rPr>
          <w:rFonts w:ascii="Times New Roman" w:hAnsi="Times New Roman" w:cs="Times New Roman"/>
          <w:sz w:val="24"/>
          <w:szCs w:val="24"/>
        </w:rPr>
        <w:t>. Tuto skutečnost je zadavatel schopen fyzicky ověřit prostřednictvím technického dozoru stavby.</w:t>
      </w:r>
    </w:p>
    <w:p w14:paraId="2B744BCD" w14:textId="723AC732" w:rsidR="00043B08" w:rsidRPr="00AB3D26" w:rsidRDefault="00043B08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Určující pro stanovení množství materiálu bude množství uvedené ve zjišťovacích protokolech.</w:t>
      </w:r>
    </w:p>
    <w:p w14:paraId="278CC33A" w14:textId="53F8BA28" w:rsidR="00F72AA3" w:rsidRPr="00AB3D26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Položkám nebo skupinám položek, které obsahují rozhodující materiálové skupiny, bude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přiřazena hodnota CM1∆202</w:t>
      </w:r>
      <w:r w:rsidR="00C969F3" w:rsidRPr="00AB3D26">
        <w:rPr>
          <w:rFonts w:ascii="Times New Roman" w:hAnsi="Times New Roman" w:cs="Times New Roman"/>
          <w:b/>
          <w:bCs w:val="0"/>
          <w:sz w:val="24"/>
          <w:szCs w:val="24"/>
        </w:rPr>
        <w:t>y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/x a koeficient přepočtu</w:t>
      </w:r>
      <w:r w:rsidRPr="00AB3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A540C" w14:textId="77777777" w:rsidR="00F72AA3" w:rsidRPr="00AB3D26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Výše platby </w:t>
      </w:r>
      <w:r w:rsidR="00746D22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za jednotlivé položky/skupiny položek v příslušném měsíci 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bude stanovena jako součin hodnot CM1∆202</w:t>
      </w:r>
      <w:r w:rsidR="00C969F3" w:rsidRPr="00AB3D26">
        <w:rPr>
          <w:rFonts w:ascii="Times New Roman" w:hAnsi="Times New Roman" w:cs="Times New Roman"/>
          <w:b/>
          <w:bCs w:val="0"/>
          <w:sz w:val="24"/>
          <w:szCs w:val="24"/>
        </w:rPr>
        <w:t>y</w:t>
      </w: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/x, koeficient přepočtu a množství</w:t>
      </w:r>
      <w:r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A444AA" w:rsidRPr="00AB3D26">
        <w:rPr>
          <w:rFonts w:ascii="Times New Roman" w:hAnsi="Times New Roman" w:cs="Times New Roman"/>
          <w:sz w:val="24"/>
          <w:szCs w:val="24"/>
        </w:rPr>
        <w:t xml:space="preserve">zabudovaného materiálu </w:t>
      </w:r>
      <w:r w:rsidR="00C76B61" w:rsidRPr="00AB3D26">
        <w:rPr>
          <w:rFonts w:ascii="Times New Roman" w:hAnsi="Times New Roman" w:cs="Times New Roman"/>
          <w:sz w:val="24"/>
          <w:szCs w:val="24"/>
        </w:rPr>
        <w:t xml:space="preserve">do stavby (díla) </w:t>
      </w:r>
      <w:r w:rsidR="00A444AA" w:rsidRPr="00AB3D26">
        <w:rPr>
          <w:rFonts w:ascii="Times New Roman" w:hAnsi="Times New Roman" w:cs="Times New Roman"/>
          <w:sz w:val="24"/>
          <w:szCs w:val="24"/>
        </w:rPr>
        <w:t xml:space="preserve">v příslušném období </w:t>
      </w:r>
      <w:r w:rsidR="006805A1" w:rsidRPr="00AB3D26">
        <w:rPr>
          <w:rFonts w:ascii="Times New Roman" w:hAnsi="Times New Roman" w:cs="Times New Roman"/>
          <w:sz w:val="24"/>
          <w:szCs w:val="24"/>
        </w:rPr>
        <w:t>potvrzen</w:t>
      </w:r>
      <w:r w:rsidR="00A444AA" w:rsidRPr="00AB3D26">
        <w:rPr>
          <w:rFonts w:ascii="Times New Roman" w:hAnsi="Times New Roman" w:cs="Times New Roman"/>
          <w:sz w:val="24"/>
          <w:szCs w:val="24"/>
        </w:rPr>
        <w:t>é</w:t>
      </w:r>
      <w:r w:rsidR="006805A1" w:rsidRPr="00AB3D26">
        <w:rPr>
          <w:rFonts w:ascii="Times New Roman" w:hAnsi="Times New Roman" w:cs="Times New Roman"/>
          <w:sz w:val="24"/>
          <w:szCs w:val="24"/>
        </w:rPr>
        <w:t xml:space="preserve"> technick</w:t>
      </w:r>
      <w:r w:rsidR="00A444AA" w:rsidRPr="00AB3D26">
        <w:rPr>
          <w:rFonts w:ascii="Times New Roman" w:hAnsi="Times New Roman" w:cs="Times New Roman"/>
          <w:sz w:val="24"/>
          <w:szCs w:val="24"/>
        </w:rPr>
        <w:t>ým</w:t>
      </w:r>
      <w:r w:rsidR="006805A1" w:rsidRPr="00AB3D26">
        <w:rPr>
          <w:rFonts w:ascii="Times New Roman" w:hAnsi="Times New Roman" w:cs="Times New Roman"/>
          <w:sz w:val="24"/>
          <w:szCs w:val="24"/>
        </w:rPr>
        <w:t xml:space="preserve"> dozor</w:t>
      </w:r>
      <w:r w:rsidR="00A444AA" w:rsidRPr="00AB3D26">
        <w:rPr>
          <w:rFonts w:ascii="Times New Roman" w:hAnsi="Times New Roman" w:cs="Times New Roman"/>
          <w:sz w:val="24"/>
          <w:szCs w:val="24"/>
        </w:rPr>
        <w:t>em</w:t>
      </w:r>
      <w:r w:rsidR="006805A1" w:rsidRPr="00AB3D26">
        <w:rPr>
          <w:rFonts w:ascii="Times New Roman" w:hAnsi="Times New Roman" w:cs="Times New Roman"/>
          <w:sz w:val="24"/>
          <w:szCs w:val="24"/>
        </w:rPr>
        <w:t xml:space="preserve"> stavby</w:t>
      </w:r>
    </w:p>
    <w:p w14:paraId="18E7313F" w14:textId="77777777" w:rsidR="00F72AA3" w:rsidRPr="00AB3D26" w:rsidRDefault="00F72AA3" w:rsidP="001F03AA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Výše platby za daný měsíc bude stanovena jako suma dílčích hodnot pro jednotlivé položky / skupiny položek.</w:t>
      </w:r>
    </w:p>
    <w:p w14:paraId="7858EC0A" w14:textId="48374777" w:rsidR="003330A8" w:rsidRPr="00AB3D26" w:rsidRDefault="000A1845" w:rsidP="00A31A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</w:t>
      </w:r>
      <w:r w:rsidR="003330A8"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podmínky </w:t>
      </w:r>
      <w:r w:rsidR="0036475A">
        <w:rPr>
          <w:rFonts w:ascii="Times New Roman" w:hAnsi="Times New Roman" w:cs="Times New Roman"/>
          <w:b/>
          <w:bCs/>
          <w:sz w:val="24"/>
          <w:szCs w:val="24"/>
        </w:rPr>
        <w:t>aplikace metodiky</w:t>
      </w:r>
    </w:p>
    <w:p w14:paraId="066437A5" w14:textId="1A510147" w:rsidR="00D149CA" w:rsidRPr="00AB3D26" w:rsidRDefault="00D149CA" w:rsidP="003330A8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Metodika bude aplikována v případě </w:t>
      </w:r>
      <w:r w:rsidR="006805A1" w:rsidRPr="00AB3D26">
        <w:rPr>
          <w:rFonts w:ascii="Times New Roman" w:hAnsi="Times New Roman" w:cs="Times New Roman"/>
          <w:sz w:val="24"/>
          <w:szCs w:val="24"/>
        </w:rPr>
        <w:t>smluvních kontraktů</w:t>
      </w:r>
      <w:r w:rsidRPr="00AB3D26">
        <w:rPr>
          <w:rFonts w:ascii="Times New Roman" w:hAnsi="Times New Roman" w:cs="Times New Roman"/>
          <w:sz w:val="24"/>
          <w:szCs w:val="24"/>
        </w:rPr>
        <w:t>, které</w:t>
      </w:r>
      <w:r w:rsidR="000B6E6B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A12E70" w:rsidRPr="00AB3D26">
        <w:rPr>
          <w:rFonts w:ascii="Times New Roman" w:hAnsi="Times New Roman" w:cs="Times New Roman"/>
          <w:sz w:val="24"/>
          <w:szCs w:val="24"/>
        </w:rPr>
        <w:t>neobsahují kompenzaci růstu cen v podobě valorizace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  <w:r w:rsidR="00E96F58" w:rsidRPr="00AB3D26">
        <w:rPr>
          <w:rFonts w:ascii="Times New Roman" w:hAnsi="Times New Roman" w:cs="Times New Roman"/>
          <w:sz w:val="24"/>
          <w:szCs w:val="24"/>
        </w:rPr>
        <w:t xml:space="preserve"> V případě smluvních kontraktů, </w:t>
      </w:r>
      <w:bookmarkStart w:id="7" w:name="_Hlk112270408"/>
      <w:r w:rsidR="00E96F58" w:rsidRPr="00AB3D26">
        <w:rPr>
          <w:rFonts w:ascii="Times New Roman" w:hAnsi="Times New Roman" w:cs="Times New Roman"/>
          <w:sz w:val="24"/>
          <w:szCs w:val="24"/>
        </w:rPr>
        <w:t>které obsahují kompenzaci růstu cen v podobě valorizace</w:t>
      </w:r>
      <w:bookmarkEnd w:id="7"/>
      <w:r w:rsidR="00E96F58" w:rsidRPr="00AB3D26">
        <w:rPr>
          <w:rFonts w:ascii="Times New Roman" w:hAnsi="Times New Roman" w:cs="Times New Roman"/>
          <w:sz w:val="24"/>
          <w:szCs w:val="24"/>
        </w:rPr>
        <w:t>, bude metodika aplikována pouze za takové období trvání stavby, ve které</w:t>
      </w:r>
      <w:r w:rsidR="004136A3" w:rsidRPr="00AB3D26">
        <w:rPr>
          <w:rFonts w:ascii="Times New Roman" w:hAnsi="Times New Roman" w:cs="Times New Roman"/>
          <w:sz w:val="24"/>
          <w:szCs w:val="24"/>
        </w:rPr>
        <w:t>m</w:t>
      </w:r>
      <w:r w:rsidR="00E96F58" w:rsidRPr="00AB3D26">
        <w:rPr>
          <w:rFonts w:ascii="Times New Roman" w:hAnsi="Times New Roman" w:cs="Times New Roman"/>
          <w:sz w:val="24"/>
          <w:szCs w:val="24"/>
        </w:rPr>
        <w:t xml:space="preserve"> kompenzace formou valorizace zhotoviteli </w:t>
      </w:r>
      <w:r w:rsidR="00E96F58" w:rsidRPr="00AB3D26">
        <w:rPr>
          <w:rFonts w:ascii="Times New Roman" w:hAnsi="Times New Roman" w:cs="Times New Roman"/>
          <w:sz w:val="24"/>
          <w:szCs w:val="24"/>
        </w:rPr>
        <w:lastRenderedPageBreak/>
        <w:t>nenáleží</w:t>
      </w:r>
      <w:r w:rsidR="00DC47D8" w:rsidRPr="00AB3D26">
        <w:rPr>
          <w:rFonts w:ascii="Times New Roman" w:hAnsi="Times New Roman" w:cs="Times New Roman"/>
          <w:sz w:val="24"/>
          <w:szCs w:val="24"/>
        </w:rPr>
        <w:t xml:space="preserve"> (tj. jeden rok od základního data</w:t>
      </w:r>
      <w:r w:rsidR="00746D22" w:rsidRPr="00AB3D26">
        <w:rPr>
          <w:rFonts w:ascii="Times New Roman" w:hAnsi="Times New Roman" w:cs="Times New Roman"/>
          <w:sz w:val="24"/>
          <w:szCs w:val="24"/>
        </w:rPr>
        <w:t xml:space="preserve"> nebo pro období před koncem původní </w:t>
      </w:r>
      <w:r w:rsidR="002D609C">
        <w:rPr>
          <w:rFonts w:ascii="Times New Roman" w:hAnsi="Times New Roman" w:cs="Times New Roman"/>
          <w:sz w:val="24"/>
          <w:szCs w:val="24"/>
        </w:rPr>
        <w:t>d</w:t>
      </w:r>
      <w:r w:rsidR="002D609C" w:rsidRPr="00AB3D26">
        <w:rPr>
          <w:rFonts w:ascii="Times New Roman" w:hAnsi="Times New Roman" w:cs="Times New Roman"/>
          <w:sz w:val="24"/>
          <w:szCs w:val="24"/>
        </w:rPr>
        <w:t xml:space="preserve">oby </w:t>
      </w:r>
      <w:r w:rsidR="00746D22" w:rsidRPr="00AB3D26">
        <w:rPr>
          <w:rFonts w:ascii="Times New Roman" w:hAnsi="Times New Roman" w:cs="Times New Roman"/>
          <w:sz w:val="24"/>
          <w:szCs w:val="24"/>
        </w:rPr>
        <w:t>pro dokončení.</w:t>
      </w:r>
      <w:r w:rsidR="00DC47D8" w:rsidRPr="00AB3D26">
        <w:rPr>
          <w:rFonts w:ascii="Times New Roman" w:hAnsi="Times New Roman" w:cs="Times New Roman"/>
          <w:sz w:val="24"/>
          <w:szCs w:val="24"/>
        </w:rPr>
        <w:t>)</w:t>
      </w:r>
      <w:r w:rsidR="00E96F58" w:rsidRPr="00AB3D26">
        <w:rPr>
          <w:rFonts w:ascii="Times New Roman" w:hAnsi="Times New Roman" w:cs="Times New Roman"/>
          <w:sz w:val="24"/>
          <w:szCs w:val="24"/>
        </w:rPr>
        <w:t xml:space="preserve">. </w:t>
      </w:r>
      <w:r w:rsidR="00F25CCB" w:rsidRPr="00AB3D26">
        <w:rPr>
          <w:rFonts w:ascii="Times New Roman" w:hAnsi="Times New Roman" w:cs="Times New Roman"/>
          <w:sz w:val="24"/>
          <w:szCs w:val="24"/>
        </w:rPr>
        <w:t>U smluv uzavřených dle obchodních podmínek zpracovaných dle tzv. Žluté knihy FIDIC bude metodika aplikována u smluv, kde úpravy cen v</w:t>
      </w:r>
      <w:r w:rsidR="002D609C">
        <w:rPr>
          <w:rFonts w:ascii="Times New Roman" w:hAnsi="Times New Roman" w:cs="Times New Roman"/>
          <w:sz w:val="24"/>
          <w:szCs w:val="24"/>
        </w:rPr>
        <w:t> </w:t>
      </w:r>
      <w:r w:rsidR="00F25CCB" w:rsidRPr="00AB3D26">
        <w:rPr>
          <w:rFonts w:ascii="Times New Roman" w:hAnsi="Times New Roman" w:cs="Times New Roman"/>
          <w:sz w:val="24"/>
          <w:szCs w:val="24"/>
        </w:rPr>
        <w:t xml:space="preserve">důsledku změn nákladů nejsou povoleny, a to pro období před koncem </w:t>
      </w:r>
      <w:r w:rsidR="00746D22" w:rsidRPr="00AB3D26">
        <w:rPr>
          <w:rFonts w:ascii="Times New Roman" w:hAnsi="Times New Roman" w:cs="Times New Roman"/>
          <w:sz w:val="24"/>
          <w:szCs w:val="24"/>
        </w:rPr>
        <w:t xml:space="preserve">původní </w:t>
      </w:r>
      <w:r w:rsidR="002D609C">
        <w:rPr>
          <w:rFonts w:ascii="Times New Roman" w:hAnsi="Times New Roman" w:cs="Times New Roman"/>
          <w:sz w:val="24"/>
          <w:szCs w:val="24"/>
        </w:rPr>
        <w:t>d</w:t>
      </w:r>
      <w:r w:rsidR="002D609C" w:rsidRPr="00AB3D26">
        <w:rPr>
          <w:rFonts w:ascii="Times New Roman" w:hAnsi="Times New Roman" w:cs="Times New Roman"/>
          <w:sz w:val="24"/>
          <w:szCs w:val="24"/>
        </w:rPr>
        <w:t xml:space="preserve">oby </w:t>
      </w:r>
      <w:r w:rsidR="00F25CCB" w:rsidRPr="00AB3D26">
        <w:rPr>
          <w:rFonts w:ascii="Times New Roman" w:hAnsi="Times New Roman" w:cs="Times New Roman"/>
          <w:sz w:val="24"/>
          <w:szCs w:val="24"/>
        </w:rPr>
        <w:t>pro dokončení</w:t>
      </w:r>
      <w:r w:rsidR="004372DF" w:rsidRPr="00AB3D26">
        <w:rPr>
          <w:rFonts w:ascii="Times New Roman" w:hAnsi="Times New Roman" w:cs="Times New Roman"/>
          <w:sz w:val="24"/>
          <w:szCs w:val="24"/>
        </w:rPr>
        <w:t>.</w:t>
      </w:r>
    </w:p>
    <w:p w14:paraId="4DB759BB" w14:textId="77777777" w:rsidR="00124E58" w:rsidRPr="00AB3D26" w:rsidRDefault="00E74383" w:rsidP="004372DF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Metodika bude aplikována pouze v případě smluvních kontraktů s</w:t>
      </w:r>
      <w:r w:rsidR="00943A03" w:rsidRPr="00AB3D26">
        <w:rPr>
          <w:rFonts w:ascii="Times New Roman" w:hAnsi="Times New Roman" w:cs="Times New Roman"/>
          <w:sz w:val="24"/>
          <w:szCs w:val="24"/>
        </w:rPr>
        <w:t> nabídkovou cenou (přijatá smluvní částka)</w:t>
      </w:r>
      <w:r w:rsidRPr="00AB3D26">
        <w:rPr>
          <w:rFonts w:ascii="Times New Roman" w:hAnsi="Times New Roman" w:cs="Times New Roman"/>
          <w:sz w:val="24"/>
          <w:szCs w:val="24"/>
        </w:rPr>
        <w:t xml:space="preserve"> vyšší než </w:t>
      </w:r>
      <w:r w:rsidR="00746D22" w:rsidRPr="00AB3D26">
        <w:rPr>
          <w:rFonts w:ascii="Times New Roman" w:hAnsi="Times New Roman" w:cs="Times New Roman"/>
          <w:sz w:val="24"/>
          <w:szCs w:val="24"/>
        </w:rPr>
        <w:t>6</w:t>
      </w:r>
      <w:r w:rsidR="000B6E6B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Pr="00AB3D26">
        <w:rPr>
          <w:rFonts w:ascii="Times New Roman" w:hAnsi="Times New Roman" w:cs="Times New Roman"/>
          <w:sz w:val="24"/>
          <w:szCs w:val="24"/>
        </w:rPr>
        <w:t>mil. Kč bez D</w:t>
      </w:r>
      <w:r w:rsidR="00732AE8" w:rsidRPr="00AB3D26">
        <w:rPr>
          <w:rFonts w:ascii="Times New Roman" w:hAnsi="Times New Roman" w:cs="Times New Roman"/>
          <w:sz w:val="24"/>
          <w:szCs w:val="24"/>
        </w:rPr>
        <w:t>P</w:t>
      </w:r>
      <w:r w:rsidRPr="00AB3D26">
        <w:rPr>
          <w:rFonts w:ascii="Times New Roman" w:hAnsi="Times New Roman" w:cs="Times New Roman"/>
          <w:sz w:val="24"/>
          <w:szCs w:val="24"/>
        </w:rPr>
        <w:t>H.</w:t>
      </w:r>
      <w:r w:rsidR="00433706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A3BE5" w14:textId="30AABE89" w:rsidR="007C2F9B" w:rsidRPr="00AB3D26" w:rsidRDefault="00262EC4" w:rsidP="004372DF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Metodika bude aplikována pouze v případě smluvních kontraktů</w:t>
      </w:r>
      <w:r w:rsidR="0036475A">
        <w:rPr>
          <w:rFonts w:ascii="Times New Roman" w:hAnsi="Times New Roman" w:cs="Times New Roman"/>
          <w:sz w:val="24"/>
          <w:szCs w:val="24"/>
        </w:rPr>
        <w:t xml:space="preserve"> </w:t>
      </w:r>
      <w:r w:rsidR="007C2F9B" w:rsidRPr="00AB3D26">
        <w:rPr>
          <w:rFonts w:ascii="Times New Roman" w:hAnsi="Times New Roman" w:cs="Times New Roman"/>
          <w:sz w:val="24"/>
          <w:szCs w:val="24"/>
        </w:rPr>
        <w:t>se základním datem do 25. února 2022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  <w:r w:rsidR="007C2F9B" w:rsidRPr="00AB3D26">
        <w:rPr>
          <w:rFonts w:ascii="Times New Roman" w:hAnsi="Times New Roman" w:cs="Times New Roman"/>
          <w:sz w:val="24"/>
          <w:szCs w:val="24"/>
        </w:rPr>
        <w:t xml:space="preserve"> V případě smluvních kontraktů, kde ve smluvních podmínkách není základní datum definováno, se pro účely této metodiky za základní datum </w:t>
      </w:r>
      <w:r w:rsidR="006318C7" w:rsidRPr="00AB3D26">
        <w:rPr>
          <w:rFonts w:ascii="Times New Roman" w:hAnsi="Times New Roman" w:cs="Times New Roman"/>
          <w:sz w:val="24"/>
          <w:szCs w:val="24"/>
        </w:rPr>
        <w:t>u</w:t>
      </w:r>
      <w:r w:rsidR="00746FCD">
        <w:rPr>
          <w:rFonts w:ascii="Times New Roman" w:hAnsi="Times New Roman" w:cs="Times New Roman"/>
          <w:sz w:val="24"/>
          <w:szCs w:val="24"/>
        </w:rPr>
        <w:t> </w:t>
      </w:r>
      <w:r w:rsidR="006318C7" w:rsidRPr="00AB3D26">
        <w:rPr>
          <w:rFonts w:ascii="Times New Roman" w:hAnsi="Times New Roman" w:cs="Times New Roman"/>
          <w:sz w:val="24"/>
          <w:szCs w:val="24"/>
        </w:rPr>
        <w:t xml:space="preserve">takových kontraktů </w:t>
      </w:r>
      <w:r w:rsidR="007C2F9B" w:rsidRPr="00AB3D26">
        <w:rPr>
          <w:rFonts w:ascii="Times New Roman" w:hAnsi="Times New Roman" w:cs="Times New Roman"/>
          <w:sz w:val="24"/>
          <w:szCs w:val="24"/>
        </w:rPr>
        <w:t>považuje datum 28 dnů před termínem pro předložení nabídky v případě nadlimitních zakázek, resp. datum 10 dnů před termínem pro předložení nabídky v případě podlimitních zakázek.</w:t>
      </w:r>
      <w:r w:rsidR="00E74383" w:rsidRPr="00AB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87551" w14:textId="0F30F20A" w:rsidR="001D7954" w:rsidRPr="00746FCD" w:rsidRDefault="00D414BB" w:rsidP="000D7AF2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746FCD">
        <w:rPr>
          <w:rFonts w:ascii="Times New Roman" w:hAnsi="Times New Roman" w:cs="Times New Roman"/>
          <w:sz w:val="24"/>
          <w:szCs w:val="24"/>
        </w:rPr>
        <w:t>Platba</w:t>
      </w:r>
      <w:r w:rsidR="00C81DB8" w:rsidRPr="00746FCD">
        <w:rPr>
          <w:rFonts w:ascii="Times New Roman" w:hAnsi="Times New Roman" w:cs="Times New Roman"/>
          <w:sz w:val="24"/>
          <w:szCs w:val="24"/>
        </w:rPr>
        <w:t xml:space="preserve"> dle této metodiky </w:t>
      </w:r>
      <w:r w:rsidRPr="00746FCD">
        <w:rPr>
          <w:rFonts w:ascii="Times New Roman" w:hAnsi="Times New Roman" w:cs="Times New Roman"/>
          <w:sz w:val="24"/>
          <w:szCs w:val="24"/>
        </w:rPr>
        <w:t xml:space="preserve">může být </w:t>
      </w:r>
      <w:r w:rsidR="00746FCD" w:rsidRPr="00746FCD">
        <w:rPr>
          <w:rFonts w:ascii="Times New Roman" w:hAnsi="Times New Roman" w:cs="Times New Roman"/>
          <w:sz w:val="24"/>
          <w:szCs w:val="24"/>
        </w:rPr>
        <w:t>z</w:t>
      </w:r>
      <w:r w:rsidR="00672ACC" w:rsidRPr="00746FCD">
        <w:rPr>
          <w:rFonts w:ascii="Times New Roman" w:hAnsi="Times New Roman" w:cs="Times New Roman"/>
          <w:sz w:val="24"/>
          <w:szCs w:val="24"/>
        </w:rPr>
        <w:t xml:space="preserve">hotoviteli </w:t>
      </w:r>
      <w:r w:rsidR="00FD4FB7" w:rsidRPr="00746FCD">
        <w:rPr>
          <w:rFonts w:ascii="Times New Roman" w:hAnsi="Times New Roman" w:cs="Times New Roman"/>
          <w:sz w:val="24"/>
          <w:szCs w:val="24"/>
        </w:rPr>
        <w:t>poskytnuta</w:t>
      </w:r>
      <w:r w:rsidR="00672ACC" w:rsidRPr="00746FCD">
        <w:rPr>
          <w:rFonts w:ascii="Times New Roman" w:hAnsi="Times New Roman" w:cs="Times New Roman"/>
          <w:sz w:val="24"/>
          <w:szCs w:val="24"/>
        </w:rPr>
        <w:t xml:space="preserve"> </w:t>
      </w:r>
      <w:r w:rsidR="002E56D0" w:rsidRPr="00746FCD">
        <w:rPr>
          <w:rFonts w:ascii="Times New Roman" w:hAnsi="Times New Roman" w:cs="Times New Roman"/>
          <w:sz w:val="24"/>
          <w:szCs w:val="24"/>
        </w:rPr>
        <w:t xml:space="preserve">za předpokladu, že </w:t>
      </w:r>
      <w:r w:rsidR="002E56D0" w:rsidRPr="00746FCD">
        <w:rPr>
          <w:rFonts w:ascii="Times New Roman" w:hAnsi="Times New Roman" w:cs="Times New Roman"/>
          <w:b/>
          <w:bCs w:val="0"/>
          <w:sz w:val="24"/>
          <w:szCs w:val="24"/>
        </w:rPr>
        <w:t>cena dle</w:t>
      </w:r>
      <w:r w:rsidR="002E56D0" w:rsidRPr="00746FCD">
        <w:rPr>
          <w:rFonts w:ascii="Times New Roman" w:hAnsi="Times New Roman" w:cs="Times New Roman"/>
          <w:sz w:val="24"/>
          <w:szCs w:val="24"/>
        </w:rPr>
        <w:t xml:space="preserve"> </w:t>
      </w:r>
      <w:r w:rsidR="002E56D0" w:rsidRPr="00746FCD">
        <w:rPr>
          <w:rFonts w:ascii="Times New Roman" w:hAnsi="Times New Roman" w:cs="Times New Roman"/>
          <w:b/>
          <w:bCs w:val="0"/>
          <w:sz w:val="24"/>
          <w:szCs w:val="24"/>
        </w:rPr>
        <w:t>aktuální cenové úrovně k danému měsíci</w:t>
      </w:r>
      <w:r w:rsidR="00672ACC" w:rsidRPr="00746FCD">
        <w:rPr>
          <w:rFonts w:ascii="Times New Roman" w:hAnsi="Times New Roman" w:cs="Times New Roman"/>
          <w:sz w:val="24"/>
          <w:szCs w:val="24"/>
        </w:rPr>
        <w:t xml:space="preserve"> materiálové skupiny (komodity) v daném měsíci</w:t>
      </w:r>
      <w:r w:rsidR="00E67E94" w:rsidRPr="00746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E94" w:rsidRPr="00746FCD">
        <w:rPr>
          <w:rFonts w:ascii="Times New Roman" w:hAnsi="Times New Roman" w:cs="Times New Roman"/>
          <w:b/>
          <w:bCs w:val="0"/>
          <w:sz w:val="24"/>
          <w:szCs w:val="24"/>
        </w:rPr>
        <w:t>převýší</w:t>
      </w:r>
      <w:proofErr w:type="gramEnd"/>
      <w:r w:rsidR="00E67E94" w:rsidRPr="00746FCD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672ACC" w:rsidRPr="00746FCD">
        <w:rPr>
          <w:rFonts w:ascii="Times New Roman" w:hAnsi="Times New Roman" w:cs="Times New Roman"/>
          <w:b/>
          <w:bCs w:val="0"/>
          <w:sz w:val="24"/>
          <w:szCs w:val="24"/>
        </w:rPr>
        <w:t>základní cenu v cenové úrovni k datu 24.02.2022</w:t>
      </w:r>
      <w:r w:rsidR="00B72BE8" w:rsidRPr="00746FCD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CF1891" w:rsidRPr="00746FCD">
        <w:rPr>
          <w:rFonts w:ascii="Times New Roman" w:hAnsi="Times New Roman" w:cs="Times New Roman"/>
          <w:b/>
          <w:bCs w:val="0"/>
          <w:sz w:val="24"/>
          <w:szCs w:val="24"/>
        </w:rPr>
        <w:t xml:space="preserve">navýšené o </w:t>
      </w:r>
      <w:r w:rsidR="00DC47D8" w:rsidRPr="00746FCD">
        <w:rPr>
          <w:rFonts w:ascii="Times New Roman" w:hAnsi="Times New Roman" w:cs="Times New Roman"/>
          <w:b/>
          <w:sz w:val="24"/>
          <w:szCs w:val="24"/>
        </w:rPr>
        <w:t>index předvídatelnosti</w:t>
      </w:r>
      <w:r w:rsidR="00672ACC" w:rsidRPr="00746FCD">
        <w:rPr>
          <w:rFonts w:ascii="Times New Roman" w:hAnsi="Times New Roman" w:cs="Times New Roman"/>
          <w:sz w:val="24"/>
          <w:szCs w:val="24"/>
        </w:rPr>
        <w:t>.</w:t>
      </w:r>
      <w:r w:rsidR="00FF55CA" w:rsidRPr="00746FCD">
        <w:rPr>
          <w:rFonts w:ascii="Times New Roman" w:hAnsi="Times New Roman" w:cs="Times New Roman"/>
          <w:sz w:val="24"/>
          <w:szCs w:val="24"/>
        </w:rPr>
        <w:t xml:space="preserve"> </w:t>
      </w:r>
      <w:r w:rsidR="00254317" w:rsidRPr="00746FCD">
        <w:rPr>
          <w:rFonts w:ascii="Times New Roman" w:hAnsi="Times New Roman" w:cs="Times New Roman"/>
          <w:sz w:val="24"/>
          <w:szCs w:val="24"/>
        </w:rPr>
        <w:t xml:space="preserve">V případě, že cena dle aktuální cenové úrovně k danému měsíci materiálové skupiny (komodity) v daném měsíci bude nižší než základní cena v cenové úrovni k datu 24.02.2022 </w:t>
      </w:r>
      <w:r w:rsidR="00CF1891" w:rsidRPr="00746FCD">
        <w:rPr>
          <w:rFonts w:ascii="Times New Roman" w:hAnsi="Times New Roman" w:cs="Times New Roman"/>
          <w:sz w:val="24"/>
          <w:szCs w:val="24"/>
        </w:rPr>
        <w:t xml:space="preserve">navýšené o </w:t>
      </w:r>
      <w:r w:rsidR="00254317" w:rsidRPr="00746FCD">
        <w:rPr>
          <w:rFonts w:ascii="Times New Roman" w:hAnsi="Times New Roman" w:cs="Times New Roman"/>
          <w:sz w:val="24"/>
          <w:szCs w:val="24"/>
        </w:rPr>
        <w:t xml:space="preserve">index předvídatelnosti, bude takové snížení ceny zohledněno v ročním vyúčtování </w:t>
      </w:r>
      <w:r w:rsidRPr="00746FCD">
        <w:rPr>
          <w:rFonts w:ascii="Times New Roman" w:hAnsi="Times New Roman" w:cs="Times New Roman"/>
          <w:sz w:val="24"/>
          <w:szCs w:val="24"/>
        </w:rPr>
        <w:t>platby</w:t>
      </w:r>
      <w:r w:rsidR="00254317" w:rsidRPr="00746FCD">
        <w:rPr>
          <w:rFonts w:ascii="Times New Roman" w:hAnsi="Times New Roman" w:cs="Times New Roman"/>
          <w:sz w:val="24"/>
          <w:szCs w:val="24"/>
        </w:rPr>
        <w:t xml:space="preserve">, a to ponížením celkové roční </w:t>
      </w:r>
      <w:r w:rsidRPr="00746FCD">
        <w:rPr>
          <w:rFonts w:ascii="Times New Roman" w:hAnsi="Times New Roman" w:cs="Times New Roman"/>
          <w:sz w:val="24"/>
          <w:szCs w:val="24"/>
        </w:rPr>
        <w:t>platby</w:t>
      </w:r>
      <w:r w:rsidR="00CB1483" w:rsidRPr="00746FCD">
        <w:rPr>
          <w:rFonts w:ascii="Times New Roman" w:hAnsi="Times New Roman" w:cs="Times New Roman"/>
          <w:sz w:val="24"/>
          <w:szCs w:val="24"/>
        </w:rPr>
        <w:t>.</w:t>
      </w:r>
      <w:r w:rsidR="00116592" w:rsidRPr="00746FCD">
        <w:rPr>
          <w:rFonts w:ascii="Times New Roman" w:hAnsi="Times New Roman" w:cs="Times New Roman"/>
          <w:sz w:val="24"/>
          <w:szCs w:val="24"/>
        </w:rPr>
        <w:t xml:space="preserve"> Pro stanovení výše roční </w:t>
      </w:r>
      <w:r w:rsidRPr="00746FCD">
        <w:rPr>
          <w:rFonts w:ascii="Times New Roman" w:hAnsi="Times New Roman" w:cs="Times New Roman"/>
          <w:sz w:val="24"/>
          <w:szCs w:val="24"/>
        </w:rPr>
        <w:t xml:space="preserve">platby </w:t>
      </w:r>
      <w:r w:rsidR="00116592" w:rsidRPr="00746FCD">
        <w:rPr>
          <w:rFonts w:ascii="Times New Roman" w:hAnsi="Times New Roman" w:cs="Times New Roman"/>
          <w:sz w:val="24"/>
          <w:szCs w:val="24"/>
        </w:rPr>
        <w:t xml:space="preserve">včetně případného zohlednění podle předchozí věty je rozhodný kalendářní rok, tzn. období od 1.1. do 31.12. příslušného roku.  </w:t>
      </w:r>
      <w:r w:rsidR="00400BA8" w:rsidRPr="00746FCD">
        <w:rPr>
          <w:rFonts w:ascii="Times New Roman" w:hAnsi="Times New Roman" w:cs="Times New Roman"/>
          <w:sz w:val="24"/>
          <w:szCs w:val="24"/>
        </w:rPr>
        <w:t xml:space="preserve">V případě, že bude mít celkové roční vyúčtování </w:t>
      </w:r>
      <w:r w:rsidRPr="00746FCD">
        <w:rPr>
          <w:rFonts w:ascii="Times New Roman" w:hAnsi="Times New Roman" w:cs="Times New Roman"/>
          <w:sz w:val="24"/>
          <w:szCs w:val="24"/>
        </w:rPr>
        <w:t xml:space="preserve">platby </w:t>
      </w:r>
      <w:r w:rsidR="00400BA8" w:rsidRPr="00746FCD">
        <w:rPr>
          <w:rFonts w:ascii="Times New Roman" w:hAnsi="Times New Roman" w:cs="Times New Roman"/>
          <w:sz w:val="24"/>
          <w:szCs w:val="24"/>
        </w:rPr>
        <w:t xml:space="preserve">zápornou hodnotu, nebude </w:t>
      </w:r>
      <w:r w:rsidRPr="00746FCD">
        <w:rPr>
          <w:rFonts w:ascii="Times New Roman" w:hAnsi="Times New Roman" w:cs="Times New Roman"/>
          <w:sz w:val="24"/>
          <w:szCs w:val="24"/>
        </w:rPr>
        <w:t xml:space="preserve">platba </w:t>
      </w:r>
      <w:r w:rsidR="00400BA8" w:rsidRPr="00746FCD">
        <w:rPr>
          <w:rFonts w:ascii="Times New Roman" w:hAnsi="Times New Roman" w:cs="Times New Roman"/>
          <w:sz w:val="24"/>
          <w:szCs w:val="24"/>
        </w:rPr>
        <w:t xml:space="preserve">za takový kalendářní rok </w:t>
      </w:r>
      <w:r w:rsidR="00746FCD" w:rsidRPr="00746FCD">
        <w:rPr>
          <w:rFonts w:ascii="Times New Roman" w:hAnsi="Times New Roman" w:cs="Times New Roman"/>
          <w:sz w:val="24"/>
          <w:szCs w:val="24"/>
        </w:rPr>
        <w:t>z</w:t>
      </w:r>
      <w:r w:rsidR="00400BA8" w:rsidRPr="00746FCD">
        <w:rPr>
          <w:rFonts w:ascii="Times New Roman" w:hAnsi="Times New Roman" w:cs="Times New Roman"/>
          <w:sz w:val="24"/>
          <w:szCs w:val="24"/>
        </w:rPr>
        <w:t xml:space="preserve">hotoviteli poskytnuta a </w:t>
      </w:r>
      <w:r w:rsidR="00746FCD" w:rsidRPr="00746FCD">
        <w:rPr>
          <w:rFonts w:ascii="Times New Roman" w:hAnsi="Times New Roman" w:cs="Times New Roman"/>
          <w:sz w:val="24"/>
          <w:szCs w:val="24"/>
        </w:rPr>
        <w:t>o</w:t>
      </w:r>
      <w:r w:rsidR="00400BA8" w:rsidRPr="00746FCD">
        <w:rPr>
          <w:rFonts w:ascii="Times New Roman" w:hAnsi="Times New Roman" w:cs="Times New Roman"/>
          <w:sz w:val="24"/>
          <w:szCs w:val="24"/>
        </w:rPr>
        <w:t xml:space="preserve">bjednateli nevznikají v takovém případě vůči </w:t>
      </w:r>
      <w:r w:rsidR="00746FCD" w:rsidRPr="00746FCD">
        <w:rPr>
          <w:rFonts w:ascii="Times New Roman" w:hAnsi="Times New Roman" w:cs="Times New Roman"/>
          <w:sz w:val="24"/>
          <w:szCs w:val="24"/>
        </w:rPr>
        <w:t>z</w:t>
      </w:r>
      <w:r w:rsidR="00400BA8" w:rsidRPr="00746FCD">
        <w:rPr>
          <w:rFonts w:ascii="Times New Roman" w:hAnsi="Times New Roman" w:cs="Times New Roman"/>
          <w:sz w:val="24"/>
          <w:szCs w:val="24"/>
        </w:rPr>
        <w:t>hotoviteli žádné nároky.</w:t>
      </w:r>
      <w:r w:rsidR="004372DF" w:rsidRPr="00746FCD">
        <w:rPr>
          <w:rFonts w:ascii="Times New Roman" w:hAnsi="Times New Roman" w:cs="Times New Roman"/>
          <w:sz w:val="24"/>
          <w:szCs w:val="24"/>
        </w:rPr>
        <w:t xml:space="preserve"> </w:t>
      </w:r>
      <w:r w:rsidR="00FD4FB7" w:rsidRPr="00746FCD">
        <w:rPr>
          <w:rFonts w:ascii="Times New Roman" w:hAnsi="Times New Roman" w:cs="Times New Roman"/>
          <w:b/>
          <w:bCs w:val="0"/>
          <w:sz w:val="24"/>
          <w:szCs w:val="24"/>
        </w:rPr>
        <w:t>P</w:t>
      </w:r>
      <w:r w:rsidR="00AE2540" w:rsidRPr="00746FCD">
        <w:rPr>
          <w:rFonts w:ascii="Times New Roman" w:hAnsi="Times New Roman" w:cs="Times New Roman"/>
          <w:b/>
          <w:bCs w:val="0"/>
          <w:sz w:val="24"/>
          <w:szCs w:val="24"/>
        </w:rPr>
        <w:t>latb</w:t>
      </w:r>
      <w:r w:rsidR="00FD4FB7" w:rsidRPr="00746FCD">
        <w:rPr>
          <w:rFonts w:ascii="Times New Roman" w:hAnsi="Times New Roman" w:cs="Times New Roman"/>
          <w:b/>
          <w:bCs w:val="0"/>
          <w:sz w:val="24"/>
          <w:szCs w:val="24"/>
        </w:rPr>
        <w:t>a</w:t>
      </w:r>
      <w:r w:rsidR="00AE2540" w:rsidRPr="00746FCD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6805A1" w:rsidRPr="00746FCD">
        <w:rPr>
          <w:rFonts w:ascii="Times New Roman" w:hAnsi="Times New Roman" w:cs="Times New Roman"/>
          <w:b/>
          <w:bCs w:val="0"/>
          <w:sz w:val="24"/>
          <w:szCs w:val="24"/>
        </w:rPr>
        <w:t>z</w:t>
      </w:r>
      <w:r w:rsidR="00AE2540" w:rsidRPr="00746FCD">
        <w:rPr>
          <w:rFonts w:ascii="Times New Roman" w:hAnsi="Times New Roman" w:cs="Times New Roman"/>
          <w:b/>
          <w:bCs w:val="0"/>
          <w:sz w:val="24"/>
          <w:szCs w:val="24"/>
        </w:rPr>
        <w:t>hotoviteli</w:t>
      </w:r>
      <w:r w:rsidR="00FD4FB7" w:rsidRPr="00746FCD">
        <w:rPr>
          <w:rFonts w:ascii="Times New Roman" w:hAnsi="Times New Roman" w:cs="Times New Roman"/>
          <w:b/>
          <w:bCs w:val="0"/>
          <w:sz w:val="24"/>
          <w:szCs w:val="24"/>
        </w:rPr>
        <w:t xml:space="preserve"> pak bude</w:t>
      </w:r>
      <w:r w:rsidR="00AE2540" w:rsidRPr="00746FCD">
        <w:rPr>
          <w:rFonts w:ascii="Times New Roman" w:hAnsi="Times New Roman" w:cs="Times New Roman"/>
          <w:b/>
          <w:bCs w:val="0"/>
          <w:sz w:val="24"/>
          <w:szCs w:val="24"/>
        </w:rPr>
        <w:t xml:space="preserve"> ve</w:t>
      </w:r>
      <w:r w:rsidR="00746FCD" w:rsidRPr="00746FCD">
        <w:rPr>
          <w:rFonts w:ascii="Times New Roman" w:hAnsi="Times New Roman" w:cs="Times New Roman"/>
          <w:b/>
          <w:bCs w:val="0"/>
          <w:sz w:val="24"/>
          <w:szCs w:val="24"/>
        </w:rPr>
        <w:t> </w:t>
      </w:r>
      <w:r w:rsidR="00AE2540" w:rsidRPr="00746FCD">
        <w:rPr>
          <w:rFonts w:ascii="Times New Roman" w:hAnsi="Times New Roman" w:cs="Times New Roman"/>
          <w:b/>
          <w:bCs w:val="0"/>
          <w:sz w:val="24"/>
          <w:szCs w:val="24"/>
        </w:rPr>
        <w:t>výši</w:t>
      </w:r>
      <w:r w:rsidR="001D7954" w:rsidRPr="00746FCD">
        <w:rPr>
          <w:rFonts w:ascii="Times New Roman" w:hAnsi="Times New Roman" w:cs="Times New Roman"/>
          <w:b/>
          <w:bCs w:val="0"/>
          <w:sz w:val="24"/>
          <w:szCs w:val="24"/>
        </w:rPr>
        <w:t>:</w:t>
      </w:r>
    </w:p>
    <w:p w14:paraId="321975F3" w14:textId="153F0268" w:rsidR="00AE2540" w:rsidRPr="00AB3D26" w:rsidRDefault="00953681" w:rsidP="001D7954">
      <w:pPr>
        <w:pStyle w:val="textIBR"/>
        <w:numPr>
          <w:ilvl w:val="1"/>
          <w:numId w:val="16"/>
        </w:numPr>
        <w:tabs>
          <w:tab w:val="clear" w:pos="588"/>
          <w:tab w:val="left" w:pos="851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>50</w:t>
      </w:r>
      <w:r w:rsidR="00D149CA"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 % </w:t>
      </w:r>
      <w:r w:rsidR="00D149CA" w:rsidRPr="00AB3D26">
        <w:rPr>
          <w:rFonts w:ascii="Times New Roman" w:hAnsi="Times New Roman" w:cs="Times New Roman"/>
          <w:sz w:val="24"/>
          <w:szCs w:val="24"/>
        </w:rPr>
        <w:t>navýšení</w:t>
      </w:r>
      <w:r w:rsidR="006805A1" w:rsidRPr="00AB3D26">
        <w:rPr>
          <w:rFonts w:ascii="Times New Roman" w:hAnsi="Times New Roman" w:cs="Times New Roman"/>
          <w:sz w:val="24"/>
          <w:szCs w:val="24"/>
        </w:rPr>
        <w:t xml:space="preserve"> ceny</w:t>
      </w:r>
      <w:r w:rsidR="00D149CA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AE2540" w:rsidRPr="00AB3D26">
        <w:rPr>
          <w:rFonts w:ascii="Times New Roman" w:hAnsi="Times New Roman" w:cs="Times New Roman"/>
          <w:sz w:val="24"/>
          <w:szCs w:val="24"/>
        </w:rPr>
        <w:t>konkrétní materiálové skupiny</w:t>
      </w:r>
      <w:r w:rsidR="00262EC4" w:rsidRPr="00AB3D26">
        <w:rPr>
          <w:rFonts w:ascii="Times New Roman" w:hAnsi="Times New Roman" w:cs="Times New Roman"/>
          <w:sz w:val="24"/>
          <w:szCs w:val="24"/>
        </w:rPr>
        <w:t>,</w:t>
      </w:r>
      <w:r w:rsidR="00AE2540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6805A1" w:rsidRPr="00AB3D26">
        <w:rPr>
          <w:rFonts w:ascii="Times New Roman" w:hAnsi="Times New Roman" w:cs="Times New Roman"/>
          <w:sz w:val="24"/>
          <w:szCs w:val="24"/>
        </w:rPr>
        <w:t>ke kterému dojde u</w:t>
      </w:r>
      <w:r w:rsidR="00746FCD">
        <w:rPr>
          <w:rFonts w:ascii="Times New Roman" w:hAnsi="Times New Roman" w:cs="Times New Roman"/>
          <w:sz w:val="24"/>
          <w:szCs w:val="24"/>
        </w:rPr>
        <w:t> </w:t>
      </w:r>
      <w:r w:rsidR="006805A1" w:rsidRPr="00AB3D26">
        <w:rPr>
          <w:rFonts w:ascii="Times New Roman" w:hAnsi="Times New Roman" w:cs="Times New Roman"/>
          <w:sz w:val="24"/>
          <w:szCs w:val="24"/>
        </w:rPr>
        <w:t xml:space="preserve">konkrétní materiálové skupiny </w:t>
      </w:r>
      <w:r w:rsidR="00AE2540" w:rsidRPr="00AB3D26">
        <w:rPr>
          <w:rFonts w:ascii="Times New Roman" w:hAnsi="Times New Roman" w:cs="Times New Roman"/>
          <w:sz w:val="24"/>
          <w:szCs w:val="24"/>
        </w:rPr>
        <w:t xml:space="preserve">v příslušném měsíci </w:t>
      </w:r>
      <w:r w:rsidR="006805A1" w:rsidRPr="00AB3D26">
        <w:rPr>
          <w:rFonts w:ascii="Times New Roman" w:hAnsi="Times New Roman" w:cs="Times New Roman"/>
          <w:sz w:val="24"/>
          <w:szCs w:val="24"/>
        </w:rPr>
        <w:t>nad</w:t>
      </w:r>
      <w:r w:rsidR="00AE2540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6930D7" w:rsidRPr="00AB3D26">
        <w:rPr>
          <w:rFonts w:ascii="Times New Roman" w:hAnsi="Times New Roman" w:cs="Times New Roman"/>
          <w:sz w:val="24"/>
          <w:szCs w:val="24"/>
        </w:rPr>
        <w:t>základní cenov</w:t>
      </w:r>
      <w:r w:rsidR="00193D11" w:rsidRPr="00AB3D26">
        <w:rPr>
          <w:rFonts w:ascii="Times New Roman" w:hAnsi="Times New Roman" w:cs="Times New Roman"/>
          <w:sz w:val="24"/>
          <w:szCs w:val="24"/>
        </w:rPr>
        <w:t>ou</w:t>
      </w:r>
      <w:r w:rsidR="006930D7" w:rsidRPr="00AB3D26">
        <w:rPr>
          <w:rFonts w:ascii="Times New Roman" w:hAnsi="Times New Roman" w:cs="Times New Roman"/>
          <w:sz w:val="24"/>
          <w:szCs w:val="24"/>
        </w:rPr>
        <w:t xml:space="preserve"> úrov</w:t>
      </w:r>
      <w:r w:rsidR="00193D11" w:rsidRPr="00AB3D26">
        <w:rPr>
          <w:rFonts w:ascii="Times New Roman" w:hAnsi="Times New Roman" w:cs="Times New Roman"/>
          <w:sz w:val="24"/>
          <w:szCs w:val="24"/>
        </w:rPr>
        <w:t>eň</w:t>
      </w:r>
      <w:r w:rsidR="00933CA8" w:rsidRPr="00AB3D26">
        <w:rPr>
          <w:rFonts w:ascii="Times New Roman" w:hAnsi="Times New Roman" w:cs="Times New Roman"/>
          <w:sz w:val="24"/>
          <w:szCs w:val="24"/>
        </w:rPr>
        <w:t xml:space="preserve"> vynásobenou </w:t>
      </w:r>
      <w:r w:rsidR="00DC47D8" w:rsidRPr="00AB3D26">
        <w:rPr>
          <w:rFonts w:ascii="Times New Roman" w:hAnsi="Times New Roman" w:cs="Times New Roman"/>
          <w:sz w:val="24"/>
          <w:szCs w:val="24"/>
        </w:rPr>
        <w:t>indexem předvídatelnosti</w:t>
      </w:r>
      <w:r w:rsidR="001D7954" w:rsidRPr="00AB3D26">
        <w:rPr>
          <w:rFonts w:ascii="Times New Roman" w:hAnsi="Times New Roman" w:cs="Times New Roman"/>
          <w:sz w:val="24"/>
          <w:szCs w:val="24"/>
        </w:rPr>
        <w:t>, v případě</w:t>
      </w:r>
      <w:r w:rsidR="006930D7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1D7954" w:rsidRPr="00AB3D26">
        <w:rPr>
          <w:rFonts w:ascii="Times New Roman" w:hAnsi="Times New Roman" w:cs="Times New Roman"/>
          <w:sz w:val="24"/>
          <w:szCs w:val="24"/>
        </w:rPr>
        <w:t xml:space="preserve">smluvních kontraktů uzavřených dle smluvních podmínek pro výstavbu pozemních a inženýrských staveb projektovaných objednatelem </w:t>
      </w:r>
      <w:r w:rsidR="00254317" w:rsidRPr="00AB3D26">
        <w:rPr>
          <w:rFonts w:ascii="Times New Roman" w:hAnsi="Times New Roman" w:cs="Times New Roman"/>
          <w:sz w:val="24"/>
          <w:szCs w:val="24"/>
        </w:rPr>
        <w:t xml:space="preserve">na základě červené </w:t>
      </w:r>
      <w:r w:rsidR="006318C7" w:rsidRPr="00AB3D26">
        <w:rPr>
          <w:rFonts w:ascii="Times New Roman" w:hAnsi="Times New Roman" w:cs="Times New Roman"/>
          <w:sz w:val="24"/>
          <w:szCs w:val="24"/>
        </w:rPr>
        <w:t xml:space="preserve">a žluté </w:t>
      </w:r>
      <w:r w:rsidR="00254317" w:rsidRPr="00AB3D26">
        <w:rPr>
          <w:rFonts w:ascii="Times New Roman" w:hAnsi="Times New Roman" w:cs="Times New Roman"/>
          <w:sz w:val="24"/>
          <w:szCs w:val="24"/>
        </w:rPr>
        <w:t>knihy FIDIC</w:t>
      </w:r>
      <w:r w:rsidR="00CF1891" w:rsidRPr="00AB3D26">
        <w:rPr>
          <w:rFonts w:ascii="Times New Roman" w:hAnsi="Times New Roman" w:cs="Times New Roman"/>
          <w:sz w:val="24"/>
          <w:szCs w:val="24"/>
        </w:rPr>
        <w:t>, které neobsahují kompenzaci růstu cen v podobě valorizace v</w:t>
      </w:r>
      <w:r w:rsidR="00AF4E03" w:rsidRPr="00AB3D26">
        <w:rPr>
          <w:rFonts w:ascii="Times New Roman" w:hAnsi="Times New Roman" w:cs="Times New Roman"/>
          <w:sz w:val="24"/>
          <w:szCs w:val="24"/>
        </w:rPr>
        <w:t> původní</w:t>
      </w:r>
      <w:r w:rsidR="00CF1891" w:rsidRPr="00AB3D26">
        <w:rPr>
          <w:rFonts w:ascii="Times New Roman" w:hAnsi="Times New Roman" w:cs="Times New Roman"/>
          <w:sz w:val="24"/>
          <w:szCs w:val="24"/>
        </w:rPr>
        <w:t> </w:t>
      </w:r>
      <w:r w:rsidR="00746FCD">
        <w:rPr>
          <w:rFonts w:ascii="Times New Roman" w:hAnsi="Times New Roman" w:cs="Times New Roman"/>
          <w:sz w:val="24"/>
          <w:szCs w:val="24"/>
        </w:rPr>
        <w:t>d</w:t>
      </w:r>
      <w:r w:rsidR="00CF1891" w:rsidRPr="00AB3D26">
        <w:rPr>
          <w:rFonts w:ascii="Times New Roman" w:hAnsi="Times New Roman" w:cs="Times New Roman"/>
          <w:sz w:val="24"/>
          <w:szCs w:val="24"/>
        </w:rPr>
        <w:t>obě</w:t>
      </w:r>
      <w:r w:rsidR="00746FCD">
        <w:rPr>
          <w:rFonts w:ascii="Times New Roman" w:hAnsi="Times New Roman" w:cs="Times New Roman"/>
          <w:sz w:val="24"/>
          <w:szCs w:val="24"/>
        </w:rPr>
        <w:t> </w:t>
      </w:r>
      <w:r w:rsidR="00CF1891" w:rsidRPr="00AB3D26">
        <w:rPr>
          <w:rFonts w:ascii="Times New Roman" w:hAnsi="Times New Roman" w:cs="Times New Roman"/>
          <w:sz w:val="24"/>
          <w:szCs w:val="24"/>
        </w:rPr>
        <w:t>pro dokončení.</w:t>
      </w:r>
    </w:p>
    <w:p w14:paraId="15CEB6BC" w14:textId="5BE021B6" w:rsidR="001D7954" w:rsidRPr="00AB3D26" w:rsidRDefault="00953681" w:rsidP="001D7954">
      <w:pPr>
        <w:pStyle w:val="textIBR"/>
        <w:numPr>
          <w:ilvl w:val="1"/>
          <w:numId w:val="16"/>
        </w:numPr>
        <w:tabs>
          <w:tab w:val="clear" w:pos="588"/>
          <w:tab w:val="left" w:pos="851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b/>
          <w:bCs w:val="0"/>
          <w:sz w:val="24"/>
          <w:szCs w:val="24"/>
        </w:rPr>
        <w:t xml:space="preserve">50 </w:t>
      </w:r>
      <w:r w:rsidR="00AF4E03" w:rsidRPr="00AB3D26">
        <w:rPr>
          <w:rFonts w:ascii="Times New Roman" w:hAnsi="Times New Roman" w:cs="Times New Roman"/>
          <w:b/>
          <w:bCs w:val="0"/>
          <w:sz w:val="24"/>
          <w:szCs w:val="24"/>
        </w:rPr>
        <w:t>%</w:t>
      </w:r>
      <w:r w:rsidR="001D7954" w:rsidRPr="00AB3D26">
        <w:rPr>
          <w:rFonts w:ascii="Times New Roman" w:hAnsi="Times New Roman" w:cs="Times New Roman"/>
          <w:sz w:val="24"/>
          <w:szCs w:val="24"/>
        </w:rPr>
        <w:t xml:space="preserve"> navýšení ceny konkrétní materiálové skupiny, ke kterému dojde u</w:t>
      </w:r>
      <w:r w:rsidR="00746FCD">
        <w:rPr>
          <w:rFonts w:ascii="Times New Roman" w:hAnsi="Times New Roman" w:cs="Times New Roman"/>
          <w:sz w:val="24"/>
          <w:szCs w:val="24"/>
        </w:rPr>
        <w:t> </w:t>
      </w:r>
      <w:r w:rsidR="001D7954" w:rsidRPr="00AB3D26">
        <w:rPr>
          <w:rFonts w:ascii="Times New Roman" w:hAnsi="Times New Roman" w:cs="Times New Roman"/>
          <w:sz w:val="24"/>
          <w:szCs w:val="24"/>
        </w:rPr>
        <w:t xml:space="preserve">konkrétní materiálové skupiny v příslušném měsíci nad základní cenovou úroveň vynásobenou indexem předvídatelnosti, v případě smluvních kontraktů uzavřených dle </w:t>
      </w:r>
      <w:r w:rsidR="00254317" w:rsidRPr="00AB3D26">
        <w:rPr>
          <w:rFonts w:ascii="Times New Roman" w:hAnsi="Times New Roman" w:cs="Times New Roman"/>
          <w:sz w:val="24"/>
          <w:szCs w:val="24"/>
        </w:rPr>
        <w:t>jiných smluvních podmínek (např. dle smluvních podmínek pro</w:t>
      </w:r>
      <w:r w:rsidR="00746FCD">
        <w:rPr>
          <w:rFonts w:ascii="Times New Roman" w:hAnsi="Times New Roman" w:cs="Times New Roman"/>
          <w:sz w:val="24"/>
          <w:szCs w:val="24"/>
        </w:rPr>
        <w:t> </w:t>
      </w:r>
      <w:r w:rsidR="00254317" w:rsidRPr="00AB3D26">
        <w:rPr>
          <w:rFonts w:ascii="Times New Roman" w:hAnsi="Times New Roman" w:cs="Times New Roman"/>
          <w:sz w:val="24"/>
          <w:szCs w:val="24"/>
        </w:rPr>
        <w:t>stavby menšího rozsahu na základě zelené knihy FIDIC)</w:t>
      </w:r>
    </w:p>
    <w:p w14:paraId="3644FA67" w14:textId="701B85D4" w:rsidR="00C27D0B" w:rsidRPr="00984928" w:rsidRDefault="00FD4FB7" w:rsidP="00C81DB8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984928">
        <w:rPr>
          <w:rFonts w:ascii="Times New Roman" w:hAnsi="Times New Roman" w:cs="Times New Roman"/>
          <w:sz w:val="24"/>
          <w:szCs w:val="24"/>
        </w:rPr>
        <w:t>P</w:t>
      </w:r>
      <w:r w:rsidR="006930D7" w:rsidRPr="00984928">
        <w:rPr>
          <w:rFonts w:ascii="Times New Roman" w:hAnsi="Times New Roman" w:cs="Times New Roman"/>
          <w:sz w:val="24"/>
          <w:szCs w:val="24"/>
        </w:rPr>
        <w:t>latb</w:t>
      </w:r>
      <w:r w:rsidRPr="00984928">
        <w:rPr>
          <w:rFonts w:ascii="Times New Roman" w:hAnsi="Times New Roman" w:cs="Times New Roman"/>
          <w:sz w:val="24"/>
          <w:szCs w:val="24"/>
        </w:rPr>
        <w:t>a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D414BB" w:rsidRPr="00984928">
        <w:rPr>
          <w:rFonts w:ascii="Times New Roman" w:hAnsi="Times New Roman" w:cs="Times New Roman"/>
          <w:sz w:val="24"/>
          <w:szCs w:val="24"/>
        </w:rPr>
        <w:t>může být</w:t>
      </w:r>
      <w:r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746FCD">
        <w:rPr>
          <w:rFonts w:ascii="Times New Roman" w:hAnsi="Times New Roman" w:cs="Times New Roman"/>
          <w:sz w:val="24"/>
          <w:szCs w:val="24"/>
        </w:rPr>
        <w:t xml:space="preserve">zhotoviteli </w:t>
      </w:r>
      <w:r w:rsidRPr="00984928">
        <w:rPr>
          <w:rFonts w:ascii="Times New Roman" w:hAnsi="Times New Roman" w:cs="Times New Roman"/>
          <w:sz w:val="24"/>
          <w:szCs w:val="24"/>
        </w:rPr>
        <w:t>poskytnuta,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D372CB" w:rsidRPr="00984928">
        <w:rPr>
          <w:rFonts w:ascii="Times New Roman" w:hAnsi="Times New Roman" w:cs="Times New Roman"/>
          <w:sz w:val="24"/>
          <w:szCs w:val="24"/>
        </w:rPr>
        <w:t>pokud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062CC0">
        <w:rPr>
          <w:rFonts w:ascii="Times New Roman" w:hAnsi="Times New Roman" w:cs="Times New Roman"/>
          <w:sz w:val="24"/>
          <w:szCs w:val="24"/>
        </w:rPr>
        <w:t xml:space="preserve">bude 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v konkrétním případě </w:t>
      </w:r>
      <w:r w:rsidR="002E56D0" w:rsidRPr="00984928">
        <w:rPr>
          <w:rFonts w:ascii="Times New Roman" w:hAnsi="Times New Roman" w:cs="Times New Roman"/>
          <w:sz w:val="24"/>
          <w:szCs w:val="24"/>
        </w:rPr>
        <w:t>(tj. v případě konkrétní stavby a konkrétních komodit/materiálů)</w:t>
      </w:r>
      <w:r w:rsidR="000422CC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4A5853" w:rsidRPr="00984928">
        <w:rPr>
          <w:rFonts w:ascii="Times New Roman" w:hAnsi="Times New Roman" w:cs="Times New Roman"/>
          <w:sz w:val="24"/>
          <w:szCs w:val="24"/>
        </w:rPr>
        <w:t>ověřeno</w:t>
      </w:r>
      <w:r w:rsidR="006930D7" w:rsidRPr="00984928">
        <w:rPr>
          <w:rFonts w:ascii="Times New Roman" w:hAnsi="Times New Roman" w:cs="Times New Roman"/>
          <w:sz w:val="24"/>
          <w:szCs w:val="24"/>
        </w:rPr>
        <w:t>, že</w:t>
      </w:r>
      <w:r w:rsidR="00062CC0">
        <w:rPr>
          <w:rFonts w:ascii="Times New Roman" w:hAnsi="Times New Roman" w:cs="Times New Roman"/>
          <w:sz w:val="24"/>
          <w:szCs w:val="24"/>
        </w:rPr>
        <w:t> </w:t>
      </w:r>
      <w:r w:rsidR="006930D7" w:rsidRPr="00984928">
        <w:rPr>
          <w:rFonts w:ascii="Times New Roman" w:hAnsi="Times New Roman" w:cs="Times New Roman"/>
          <w:sz w:val="24"/>
          <w:szCs w:val="24"/>
        </w:rPr>
        <w:t>došlo k takové změně situace</w:t>
      </w:r>
      <w:r w:rsidR="00DA0772">
        <w:rPr>
          <w:rFonts w:ascii="Times New Roman" w:hAnsi="Times New Roman" w:cs="Times New Roman"/>
          <w:sz w:val="24"/>
          <w:szCs w:val="24"/>
        </w:rPr>
        <w:t>,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 v</w:t>
      </w:r>
      <w:r w:rsidR="00DA077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930D7" w:rsidRPr="00984928">
        <w:rPr>
          <w:rFonts w:ascii="Times New Roman" w:hAnsi="Times New Roman" w:cs="Times New Roman"/>
          <w:sz w:val="24"/>
          <w:szCs w:val="24"/>
        </w:rPr>
        <w:t>důsledku</w:t>
      </w:r>
      <w:proofErr w:type="gramEnd"/>
      <w:r w:rsidR="006930D7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DA0772">
        <w:rPr>
          <w:rFonts w:ascii="Times New Roman" w:hAnsi="Times New Roman" w:cs="Times New Roman"/>
          <w:sz w:val="24"/>
          <w:szCs w:val="24"/>
        </w:rPr>
        <w:t>j</w:t>
      </w:r>
      <w:r w:rsidR="006930D7" w:rsidRPr="00984928">
        <w:rPr>
          <w:rFonts w:ascii="Times New Roman" w:hAnsi="Times New Roman" w:cs="Times New Roman"/>
          <w:sz w:val="24"/>
          <w:szCs w:val="24"/>
        </w:rPr>
        <w:t>íž nemůže konkrétní materiálové skupiny pořídit za cenu,</w:t>
      </w:r>
      <w:r w:rsidR="00B27D7A" w:rsidRPr="00984928">
        <w:rPr>
          <w:rFonts w:ascii="Times New Roman" w:hAnsi="Times New Roman" w:cs="Times New Roman"/>
          <w:sz w:val="24"/>
          <w:szCs w:val="24"/>
        </w:rPr>
        <w:t xml:space="preserve"> za kterou byl schopen komodity pořídit před </w:t>
      </w:r>
      <w:r w:rsidRPr="00984928">
        <w:rPr>
          <w:rFonts w:ascii="Times New Roman" w:hAnsi="Times New Roman" w:cs="Times New Roman"/>
          <w:sz w:val="24"/>
          <w:szCs w:val="24"/>
        </w:rPr>
        <w:t>24.2.2022</w:t>
      </w:r>
      <w:r w:rsidR="006930D7" w:rsidRPr="00984928">
        <w:rPr>
          <w:rFonts w:ascii="Times New Roman" w:hAnsi="Times New Roman" w:cs="Times New Roman"/>
          <w:sz w:val="24"/>
          <w:szCs w:val="24"/>
        </w:rPr>
        <w:t>.</w:t>
      </w:r>
      <w:r w:rsidR="004372DF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Např. </w:t>
      </w:r>
      <w:r w:rsidR="004372DF" w:rsidRPr="00984928">
        <w:rPr>
          <w:rFonts w:ascii="Times New Roman" w:hAnsi="Times New Roman" w:cs="Times New Roman"/>
          <w:sz w:val="24"/>
          <w:szCs w:val="24"/>
        </w:rPr>
        <w:t>pro</w:t>
      </w:r>
      <w:r w:rsidR="00E52407" w:rsidRPr="00984928">
        <w:rPr>
          <w:rFonts w:ascii="Times New Roman" w:hAnsi="Times New Roman" w:cs="Times New Roman"/>
          <w:sz w:val="24"/>
          <w:szCs w:val="24"/>
        </w:rPr>
        <w:t>to</w:t>
      </w:r>
      <w:r w:rsidR="009B58DD">
        <w:rPr>
          <w:rFonts w:ascii="Times New Roman" w:hAnsi="Times New Roman" w:cs="Times New Roman"/>
          <w:sz w:val="24"/>
          <w:szCs w:val="24"/>
        </w:rPr>
        <w:t xml:space="preserve">, 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že smlouvy </w:t>
      </w:r>
      <w:r w:rsidR="006930D7" w:rsidRPr="00984928">
        <w:rPr>
          <w:rFonts w:ascii="Times New Roman" w:hAnsi="Times New Roman" w:cs="Times New Roman"/>
          <w:sz w:val="24"/>
          <w:szCs w:val="24"/>
        </w:rPr>
        <w:lastRenderedPageBreak/>
        <w:t xml:space="preserve">s dodavateli materiálu byly </w:t>
      </w:r>
      <w:r w:rsidR="009B58DD">
        <w:rPr>
          <w:rFonts w:ascii="Times New Roman" w:hAnsi="Times New Roman" w:cs="Times New Roman"/>
          <w:sz w:val="24"/>
          <w:szCs w:val="24"/>
        </w:rPr>
        <w:t xml:space="preserve">jednostranně </w:t>
      </w:r>
      <w:r w:rsidR="006930D7" w:rsidRPr="00984928">
        <w:rPr>
          <w:rFonts w:ascii="Times New Roman" w:hAnsi="Times New Roman" w:cs="Times New Roman"/>
          <w:sz w:val="24"/>
          <w:szCs w:val="24"/>
        </w:rPr>
        <w:t>ukončeny</w:t>
      </w:r>
      <w:r w:rsidR="009B58DD">
        <w:rPr>
          <w:rFonts w:ascii="Times New Roman" w:hAnsi="Times New Roman" w:cs="Times New Roman"/>
          <w:sz w:val="24"/>
          <w:szCs w:val="24"/>
        </w:rPr>
        <w:t xml:space="preserve"> ze strany dodavatelů materiálů</w:t>
      </w:r>
      <w:r w:rsidR="006930D7" w:rsidRPr="00984928">
        <w:rPr>
          <w:rFonts w:ascii="Times New Roman" w:hAnsi="Times New Roman" w:cs="Times New Roman"/>
          <w:sz w:val="24"/>
          <w:szCs w:val="24"/>
        </w:rPr>
        <w:t>.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 A zároveň, že cena, za kterou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 w:rsidR="00062CC0" w:rsidRPr="00984928">
        <w:rPr>
          <w:rFonts w:ascii="Times New Roman" w:hAnsi="Times New Roman" w:cs="Times New Roman"/>
          <w:sz w:val="24"/>
          <w:szCs w:val="24"/>
        </w:rPr>
        <w:t xml:space="preserve">hotovitel </w:t>
      </w:r>
      <w:r w:rsidR="00E95616" w:rsidRPr="00984928">
        <w:rPr>
          <w:rFonts w:ascii="Times New Roman" w:hAnsi="Times New Roman" w:cs="Times New Roman"/>
          <w:sz w:val="24"/>
          <w:szCs w:val="24"/>
        </w:rPr>
        <w:t>konkrétní materiálové skupiny po 24.2.2022 poř</w:t>
      </w:r>
      <w:r w:rsidR="00AD7A0E" w:rsidRPr="00984928">
        <w:rPr>
          <w:rFonts w:ascii="Times New Roman" w:hAnsi="Times New Roman" w:cs="Times New Roman"/>
          <w:sz w:val="24"/>
          <w:szCs w:val="24"/>
        </w:rPr>
        <w:t>izoval</w:t>
      </w:r>
      <w:r w:rsidR="00E95616" w:rsidRPr="00984928">
        <w:rPr>
          <w:rFonts w:ascii="Times New Roman" w:hAnsi="Times New Roman" w:cs="Times New Roman"/>
          <w:sz w:val="24"/>
          <w:szCs w:val="24"/>
        </w:rPr>
        <w:t>, je</w:t>
      </w:r>
      <w:r w:rsidR="00ED11A8">
        <w:rPr>
          <w:rFonts w:ascii="Times New Roman" w:hAnsi="Times New Roman" w:cs="Times New Roman"/>
          <w:sz w:val="24"/>
          <w:szCs w:val="24"/>
        </w:rPr>
        <w:t xml:space="preserve"> v průměru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 vyšší než cena, za kterou její pořízení uvažoval v nabídce na uzavření konkrétního kontraktu. Přičemž současně je tento</w:t>
      </w:r>
      <w:r w:rsidR="00ED11A8">
        <w:rPr>
          <w:rFonts w:ascii="Times New Roman" w:hAnsi="Times New Roman" w:cs="Times New Roman"/>
          <w:sz w:val="24"/>
          <w:szCs w:val="24"/>
        </w:rPr>
        <w:t xml:space="preserve"> průměrný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 rozdíl cen </w:t>
      </w:r>
      <w:r w:rsidR="00F775B8" w:rsidRPr="00984928">
        <w:rPr>
          <w:rFonts w:ascii="Times New Roman" w:hAnsi="Times New Roman" w:cs="Times New Roman"/>
          <w:sz w:val="24"/>
          <w:szCs w:val="24"/>
        </w:rPr>
        <w:t xml:space="preserve">vyšší 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než </w:t>
      </w:r>
      <w:bookmarkStart w:id="8" w:name="_Hlk119082713"/>
      <w:r w:rsidR="00F775B8" w:rsidRPr="00984928">
        <w:rPr>
          <w:rFonts w:ascii="Times New Roman" w:hAnsi="Times New Roman" w:cs="Times New Roman"/>
          <w:sz w:val="24"/>
          <w:szCs w:val="24"/>
        </w:rPr>
        <w:t xml:space="preserve">průměrná </w:t>
      </w:r>
      <w:r w:rsidR="00B478CA">
        <w:rPr>
          <w:rFonts w:ascii="Times New Roman" w:hAnsi="Times New Roman" w:cs="Times New Roman"/>
          <w:sz w:val="24"/>
          <w:szCs w:val="24"/>
        </w:rPr>
        <w:t>m</w:t>
      </w:r>
      <w:r w:rsidR="00E95616" w:rsidRPr="00984928">
        <w:rPr>
          <w:rFonts w:ascii="Times New Roman" w:hAnsi="Times New Roman" w:cs="Times New Roman"/>
          <w:sz w:val="24"/>
          <w:szCs w:val="24"/>
        </w:rPr>
        <w:t>íra změny</w:t>
      </w:r>
      <w:r w:rsidR="00ED11A8">
        <w:rPr>
          <w:rFonts w:ascii="Times New Roman" w:hAnsi="Times New Roman" w:cs="Times New Roman"/>
          <w:sz w:val="24"/>
          <w:szCs w:val="24"/>
        </w:rPr>
        <w:t xml:space="preserve"> (vypočtená podle této metodiky na základě údajů URS)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FC442B" w:rsidRPr="00984928">
        <w:rPr>
          <w:rFonts w:ascii="Times New Roman" w:hAnsi="Times New Roman" w:cs="Times New Roman"/>
          <w:sz w:val="24"/>
          <w:szCs w:val="24"/>
        </w:rPr>
        <w:t xml:space="preserve">za </w:t>
      </w:r>
      <w:r w:rsidR="00C87D8B" w:rsidRPr="00984928">
        <w:rPr>
          <w:rFonts w:ascii="Times New Roman" w:hAnsi="Times New Roman" w:cs="Times New Roman"/>
          <w:sz w:val="24"/>
          <w:szCs w:val="24"/>
        </w:rPr>
        <w:t>měsíce v kalendářním roce, ve kterých byla daná komodita</w:t>
      </w:r>
      <w:bookmarkEnd w:id="8"/>
      <w:r w:rsidR="00C87D8B" w:rsidRPr="00984928">
        <w:rPr>
          <w:rFonts w:ascii="Times New Roman" w:hAnsi="Times New Roman" w:cs="Times New Roman"/>
          <w:sz w:val="24"/>
          <w:szCs w:val="24"/>
        </w:rPr>
        <w:t xml:space="preserve"> na příslušné stavbě zabudována</w:t>
      </w:r>
      <w:r w:rsidR="00BE6537" w:rsidRPr="00984928">
        <w:rPr>
          <w:rFonts w:ascii="Times New Roman" w:hAnsi="Times New Roman" w:cs="Times New Roman"/>
          <w:sz w:val="24"/>
          <w:szCs w:val="24"/>
        </w:rPr>
        <w:t xml:space="preserve"> (tj. za které bude náležet platba)</w:t>
      </w:r>
      <w:r w:rsidR="00C87D8B" w:rsidRPr="00984928">
        <w:rPr>
          <w:rFonts w:ascii="Times New Roman" w:hAnsi="Times New Roman" w:cs="Times New Roman"/>
          <w:sz w:val="24"/>
          <w:szCs w:val="24"/>
        </w:rPr>
        <w:t>.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 Tedy, že </w:t>
      </w:r>
      <w:r w:rsidR="00BE6537" w:rsidRPr="00984928">
        <w:rPr>
          <w:rFonts w:ascii="Times New Roman" w:hAnsi="Times New Roman" w:cs="Times New Roman"/>
          <w:sz w:val="24"/>
          <w:szCs w:val="24"/>
        </w:rPr>
        <w:t xml:space="preserve">tato </w:t>
      </w:r>
      <w:r w:rsidR="00F775B8" w:rsidRPr="00984928">
        <w:rPr>
          <w:rFonts w:ascii="Times New Roman" w:hAnsi="Times New Roman" w:cs="Times New Roman"/>
          <w:sz w:val="24"/>
          <w:szCs w:val="24"/>
        </w:rPr>
        <w:t xml:space="preserve">průměrná </w:t>
      </w:r>
      <w:r w:rsidR="00062CC0">
        <w:rPr>
          <w:rFonts w:ascii="Times New Roman" w:hAnsi="Times New Roman" w:cs="Times New Roman"/>
          <w:sz w:val="24"/>
          <w:szCs w:val="24"/>
        </w:rPr>
        <w:t>m</w:t>
      </w:r>
      <w:r w:rsidR="00F775B8" w:rsidRPr="00984928">
        <w:rPr>
          <w:rFonts w:ascii="Times New Roman" w:hAnsi="Times New Roman" w:cs="Times New Roman"/>
          <w:sz w:val="24"/>
          <w:szCs w:val="24"/>
        </w:rPr>
        <w:t xml:space="preserve">íra změny v příslušném kalendářním roce </w:t>
      </w:r>
      <w:r w:rsidR="00AD7A0E" w:rsidRPr="00984928">
        <w:rPr>
          <w:rFonts w:ascii="Times New Roman" w:hAnsi="Times New Roman" w:cs="Times New Roman"/>
          <w:sz w:val="24"/>
          <w:szCs w:val="24"/>
        </w:rPr>
        <w:t>ne</w:t>
      </w:r>
      <w:r w:rsidR="00E95616" w:rsidRPr="00984928">
        <w:rPr>
          <w:rFonts w:ascii="Times New Roman" w:hAnsi="Times New Roman" w:cs="Times New Roman"/>
          <w:sz w:val="24"/>
          <w:szCs w:val="24"/>
        </w:rPr>
        <w:t>převyšuje</w:t>
      </w:r>
      <w:r w:rsidR="00ED11A8">
        <w:rPr>
          <w:rFonts w:ascii="Times New Roman" w:hAnsi="Times New Roman" w:cs="Times New Roman"/>
          <w:sz w:val="24"/>
          <w:szCs w:val="24"/>
        </w:rPr>
        <w:t xml:space="preserve"> průměrný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 rozdíl mezi </w:t>
      </w:r>
      <w:r w:rsidR="00284AFC" w:rsidRPr="00984928">
        <w:rPr>
          <w:rFonts w:ascii="Times New Roman" w:hAnsi="Times New Roman" w:cs="Times New Roman"/>
          <w:sz w:val="24"/>
          <w:szCs w:val="24"/>
        </w:rPr>
        <w:t xml:space="preserve">skutečnou </w:t>
      </w:r>
      <w:r w:rsidR="00E95616" w:rsidRPr="00984928">
        <w:rPr>
          <w:rFonts w:ascii="Times New Roman" w:hAnsi="Times New Roman" w:cs="Times New Roman"/>
          <w:sz w:val="24"/>
          <w:szCs w:val="24"/>
        </w:rPr>
        <w:t xml:space="preserve">cenou pořízení komodity a její uvažovanou cenou v nabídce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 w:rsidR="00E95616" w:rsidRPr="00984928">
        <w:rPr>
          <w:rFonts w:ascii="Times New Roman" w:hAnsi="Times New Roman" w:cs="Times New Roman"/>
          <w:sz w:val="24"/>
          <w:szCs w:val="24"/>
        </w:rPr>
        <w:t>hotovitele.</w:t>
      </w:r>
      <w:r w:rsidR="00C81DB8" w:rsidRPr="00984928">
        <w:rPr>
          <w:rFonts w:ascii="Times New Roman" w:hAnsi="Times New Roman" w:cs="Times New Roman"/>
          <w:sz w:val="24"/>
          <w:szCs w:val="24"/>
        </w:rPr>
        <w:t xml:space="preserve"> Pokud bude </w:t>
      </w:r>
      <w:r w:rsidR="00F775B8" w:rsidRPr="00984928">
        <w:rPr>
          <w:rFonts w:ascii="Times New Roman" w:hAnsi="Times New Roman" w:cs="Times New Roman"/>
          <w:sz w:val="24"/>
          <w:szCs w:val="24"/>
        </w:rPr>
        <w:t xml:space="preserve">průměrná </w:t>
      </w:r>
      <w:r w:rsidR="00062CC0">
        <w:rPr>
          <w:rFonts w:ascii="Times New Roman" w:hAnsi="Times New Roman" w:cs="Times New Roman"/>
          <w:sz w:val="24"/>
          <w:szCs w:val="24"/>
        </w:rPr>
        <w:t>m</w:t>
      </w:r>
      <w:r w:rsidR="00C81DB8" w:rsidRPr="00984928">
        <w:rPr>
          <w:rFonts w:ascii="Times New Roman" w:hAnsi="Times New Roman" w:cs="Times New Roman"/>
          <w:sz w:val="24"/>
          <w:szCs w:val="24"/>
        </w:rPr>
        <w:t>íra změny nižší, než</w:t>
      </w:r>
      <w:r w:rsidR="00ED11A8">
        <w:rPr>
          <w:rFonts w:ascii="Times New Roman" w:hAnsi="Times New Roman" w:cs="Times New Roman"/>
          <w:sz w:val="24"/>
          <w:szCs w:val="24"/>
        </w:rPr>
        <w:t xml:space="preserve"> průměrný</w:t>
      </w:r>
      <w:r w:rsidR="00C81DB8" w:rsidRPr="00984928">
        <w:rPr>
          <w:rFonts w:ascii="Times New Roman" w:hAnsi="Times New Roman" w:cs="Times New Roman"/>
          <w:sz w:val="24"/>
          <w:szCs w:val="24"/>
        </w:rPr>
        <w:t xml:space="preserve"> rozdíl </w:t>
      </w:r>
      <w:bookmarkStart w:id="9" w:name="_Hlk119082584"/>
      <w:r w:rsidR="00C81DB8" w:rsidRPr="00984928">
        <w:rPr>
          <w:rFonts w:ascii="Times New Roman" w:hAnsi="Times New Roman" w:cs="Times New Roman"/>
          <w:sz w:val="24"/>
          <w:szCs w:val="24"/>
        </w:rPr>
        <w:t xml:space="preserve">mezi cenou pořízení komodity a její uvažovanou cenou v nabídce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 w:rsidR="00C81DB8" w:rsidRPr="00984928">
        <w:rPr>
          <w:rFonts w:ascii="Times New Roman" w:hAnsi="Times New Roman" w:cs="Times New Roman"/>
          <w:sz w:val="24"/>
          <w:szCs w:val="24"/>
        </w:rPr>
        <w:t xml:space="preserve">hotovitele, může být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 w:rsidR="00C81DB8" w:rsidRPr="00984928">
        <w:rPr>
          <w:rFonts w:ascii="Times New Roman" w:hAnsi="Times New Roman" w:cs="Times New Roman"/>
          <w:sz w:val="24"/>
          <w:szCs w:val="24"/>
        </w:rPr>
        <w:t>hotoviteli poskytnutá platba dle této metodiky</w:t>
      </w:r>
      <w:bookmarkEnd w:id="9"/>
      <w:r w:rsidR="00F775B8" w:rsidRPr="00984928">
        <w:rPr>
          <w:rFonts w:ascii="Times New Roman" w:hAnsi="Times New Roman" w:cs="Times New Roman"/>
          <w:sz w:val="24"/>
          <w:szCs w:val="24"/>
        </w:rPr>
        <w:t>.</w:t>
      </w:r>
      <w:r w:rsidR="00C81DB8" w:rsidRP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E52407" w:rsidRPr="00984928">
        <w:rPr>
          <w:rFonts w:ascii="Times New Roman" w:hAnsi="Times New Roman" w:cs="Times New Roman"/>
          <w:sz w:val="24"/>
          <w:szCs w:val="24"/>
        </w:rPr>
        <w:t xml:space="preserve">Toto bude ověřeno na základě jednání se </w:t>
      </w:r>
      <w:r w:rsidR="00583302" w:rsidRPr="00984928">
        <w:rPr>
          <w:rFonts w:ascii="Times New Roman" w:hAnsi="Times New Roman" w:cs="Times New Roman"/>
          <w:sz w:val="24"/>
          <w:szCs w:val="24"/>
        </w:rPr>
        <w:t xml:space="preserve">zhotovitelem, přičemž bude ověřeno i naplnění ostatních </w:t>
      </w:r>
      <w:r w:rsidR="00D815BE">
        <w:rPr>
          <w:rFonts w:ascii="Times New Roman" w:hAnsi="Times New Roman" w:cs="Times New Roman"/>
          <w:sz w:val="24"/>
          <w:szCs w:val="24"/>
        </w:rPr>
        <w:t>obecných</w:t>
      </w:r>
      <w:r w:rsidR="00583302" w:rsidRPr="00984928">
        <w:rPr>
          <w:rFonts w:ascii="Times New Roman" w:hAnsi="Times New Roman" w:cs="Times New Roman"/>
          <w:sz w:val="24"/>
          <w:szCs w:val="24"/>
        </w:rPr>
        <w:t xml:space="preserve"> podmínek.</w:t>
      </w:r>
      <w:r w:rsidR="006930D7" w:rsidRPr="00984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70C6D" w14:textId="474D7A47" w:rsidR="00E14C2F" w:rsidRPr="00984928" w:rsidRDefault="00583302" w:rsidP="00C27D0B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984928">
        <w:rPr>
          <w:rFonts w:ascii="Times New Roman" w:hAnsi="Times New Roman" w:cs="Times New Roman"/>
          <w:sz w:val="24"/>
          <w:szCs w:val="24"/>
        </w:rPr>
        <w:t xml:space="preserve">Součástí žádosti zhotovitele o zahájení jednání o poskytnutí platby bude i </w:t>
      </w:r>
      <w:r w:rsidR="004372DF" w:rsidRPr="00984928">
        <w:rPr>
          <w:rFonts w:ascii="Times New Roman" w:hAnsi="Times New Roman" w:cs="Times New Roman"/>
          <w:sz w:val="24"/>
          <w:szCs w:val="24"/>
        </w:rPr>
        <w:t xml:space="preserve">čestné prohlášení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 w:rsidR="004372DF" w:rsidRPr="00984928">
        <w:rPr>
          <w:rFonts w:ascii="Times New Roman" w:hAnsi="Times New Roman" w:cs="Times New Roman"/>
          <w:sz w:val="24"/>
          <w:szCs w:val="24"/>
        </w:rPr>
        <w:t>hotovitele</w:t>
      </w:r>
      <w:r w:rsidRPr="00984928">
        <w:rPr>
          <w:rFonts w:ascii="Times New Roman" w:hAnsi="Times New Roman" w:cs="Times New Roman"/>
          <w:sz w:val="24"/>
          <w:szCs w:val="24"/>
        </w:rPr>
        <w:t xml:space="preserve">, jehož vzor </w:t>
      </w:r>
      <w:r w:rsidR="004372DF" w:rsidRPr="00984928">
        <w:rPr>
          <w:rFonts w:ascii="Times New Roman" w:hAnsi="Times New Roman" w:cs="Times New Roman"/>
          <w:sz w:val="24"/>
          <w:szCs w:val="24"/>
        </w:rPr>
        <w:t>je součástí této metodiky jako příloha č. 1.</w:t>
      </w:r>
      <w:r w:rsidR="008D06F7" w:rsidRPr="00984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45E42" w14:textId="226C7CE8" w:rsidR="00061AA5" w:rsidRPr="00984928" w:rsidRDefault="00061AA5" w:rsidP="00C27D0B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984928">
        <w:rPr>
          <w:rFonts w:ascii="Times New Roman" w:hAnsi="Times New Roman" w:cs="Times New Roman"/>
          <w:sz w:val="24"/>
          <w:szCs w:val="24"/>
        </w:rPr>
        <w:t xml:space="preserve">Pro kalendářní rok 2023 a </w:t>
      </w:r>
      <w:r w:rsidR="00062CC0">
        <w:rPr>
          <w:rFonts w:ascii="Times New Roman" w:hAnsi="Times New Roman" w:cs="Times New Roman"/>
          <w:sz w:val="24"/>
          <w:szCs w:val="24"/>
        </w:rPr>
        <w:t xml:space="preserve">rok </w:t>
      </w:r>
      <w:r w:rsidRPr="00984928">
        <w:rPr>
          <w:rFonts w:ascii="Times New Roman" w:hAnsi="Times New Roman" w:cs="Times New Roman"/>
          <w:sz w:val="24"/>
          <w:szCs w:val="24"/>
        </w:rPr>
        <w:t xml:space="preserve">následující platí aplikace </w:t>
      </w:r>
      <w:r w:rsidR="00D815BE">
        <w:rPr>
          <w:rFonts w:ascii="Times New Roman" w:hAnsi="Times New Roman" w:cs="Times New Roman"/>
          <w:sz w:val="24"/>
          <w:szCs w:val="24"/>
        </w:rPr>
        <w:t>obecných</w:t>
      </w:r>
      <w:r w:rsidRPr="00984928">
        <w:rPr>
          <w:rFonts w:ascii="Times New Roman" w:hAnsi="Times New Roman" w:cs="Times New Roman"/>
          <w:sz w:val="24"/>
          <w:szCs w:val="24"/>
        </w:rPr>
        <w:t xml:space="preserve"> podmínek obdobně </w:t>
      </w:r>
      <w:r w:rsidR="00CF5D64" w:rsidRPr="00984928">
        <w:rPr>
          <w:rFonts w:ascii="Times New Roman" w:hAnsi="Times New Roman" w:cs="Times New Roman"/>
          <w:sz w:val="24"/>
          <w:szCs w:val="24"/>
        </w:rPr>
        <w:t>jako pro rok 2022.</w:t>
      </w:r>
    </w:p>
    <w:p w14:paraId="2990C758" w14:textId="77777777" w:rsidR="00C81DB8" w:rsidRDefault="00C81DB8" w:rsidP="007636BE">
      <w:pPr>
        <w:pStyle w:val="textIBR"/>
        <w:tabs>
          <w:tab w:val="clear" w:pos="588"/>
          <w:tab w:val="left" w:pos="851"/>
        </w:tabs>
        <w:spacing w:after="120" w:line="276" w:lineRule="auto"/>
        <w:ind w:left="850"/>
        <w:rPr>
          <w:rFonts w:ascii="Times New Roman" w:hAnsi="Times New Roman" w:cs="Times New Roman"/>
          <w:sz w:val="24"/>
          <w:szCs w:val="24"/>
        </w:rPr>
      </w:pPr>
    </w:p>
    <w:p w14:paraId="4E328A85" w14:textId="75D0C565" w:rsidR="00C81DB8" w:rsidRDefault="00C81DB8" w:rsidP="00A105B1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podklad pro ověření splnění podmínek pro poskytnutí platby</w:t>
      </w:r>
      <w:r w:rsidR="00D815BE">
        <w:rPr>
          <w:rFonts w:ascii="Times New Roman" w:hAnsi="Times New Roman" w:cs="Times New Roman"/>
          <w:sz w:val="24"/>
          <w:szCs w:val="24"/>
        </w:rPr>
        <w:t xml:space="preserve">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hotovitel </w:t>
      </w:r>
      <w:proofErr w:type="gramStart"/>
      <w:r>
        <w:rPr>
          <w:rFonts w:ascii="Times New Roman" w:hAnsi="Times New Roman" w:cs="Times New Roman"/>
          <w:sz w:val="24"/>
          <w:szCs w:val="24"/>
        </w:rPr>
        <w:t>doloží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03F8E9A3" w14:textId="50742EF8" w:rsidR="00C81DB8" w:rsidRDefault="00C81DB8" w:rsidP="00A105B1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prokazující, jakým způsobem byla stanovena cena jednotlivých skupin materiálů (komodit), příp</w:t>
      </w:r>
      <w:r w:rsidR="00062C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základních typů výrobků v jednotlivých skupinách materiálů v rámci nabídky na uzavření konkrétního kontraktu, a to např. formou nabídky podzhotovitele</w:t>
      </w:r>
      <w:r w:rsidR="006D065D">
        <w:rPr>
          <w:rFonts w:ascii="Times New Roman" w:hAnsi="Times New Roman" w:cs="Times New Roman"/>
          <w:sz w:val="24"/>
          <w:szCs w:val="24"/>
        </w:rPr>
        <w:t xml:space="preserve"> na veřejnou zakázku</w:t>
      </w:r>
      <w:r>
        <w:rPr>
          <w:rFonts w:ascii="Times New Roman" w:hAnsi="Times New Roman" w:cs="Times New Roman"/>
          <w:sz w:val="24"/>
          <w:szCs w:val="24"/>
        </w:rPr>
        <w:t>, smlouvy s</w:t>
      </w:r>
      <w:r w:rsidR="006D06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podzhotovitelem</w:t>
      </w:r>
      <w:r w:rsidR="006D065D">
        <w:rPr>
          <w:rFonts w:ascii="Times New Roman" w:hAnsi="Times New Roman" w:cs="Times New Roman"/>
          <w:sz w:val="24"/>
          <w:szCs w:val="24"/>
        </w:rPr>
        <w:t xml:space="preserve"> </w:t>
      </w:r>
      <w:r w:rsidR="006D065D" w:rsidRPr="001F4FD0">
        <w:rPr>
          <w:rFonts w:ascii="Times New Roman" w:hAnsi="Times New Roman" w:cs="Times New Roman"/>
          <w:sz w:val="24"/>
          <w:szCs w:val="24"/>
        </w:rPr>
        <w:t>na veřejnou zakázku</w:t>
      </w:r>
      <w:r>
        <w:rPr>
          <w:rFonts w:ascii="Times New Roman" w:hAnsi="Times New Roman" w:cs="Times New Roman"/>
          <w:sz w:val="24"/>
          <w:szCs w:val="24"/>
        </w:rPr>
        <w:t>, fakturace za subdodávky nebo kalkulace ceny položky</w:t>
      </w:r>
      <w:r w:rsidR="006D065D">
        <w:rPr>
          <w:rFonts w:ascii="Times New Roman" w:hAnsi="Times New Roman" w:cs="Times New Roman"/>
          <w:sz w:val="24"/>
          <w:szCs w:val="24"/>
        </w:rPr>
        <w:t xml:space="preserve"> z doby zpracování nabídky na veřejnou zakázku</w:t>
      </w:r>
      <w:r>
        <w:rPr>
          <w:rFonts w:ascii="Times New Roman" w:hAnsi="Times New Roman" w:cs="Times New Roman"/>
          <w:sz w:val="24"/>
          <w:szCs w:val="24"/>
        </w:rPr>
        <w:t>;</w:t>
      </w:r>
      <w:r w:rsidR="00816071">
        <w:rPr>
          <w:rFonts w:ascii="Times New Roman" w:hAnsi="Times New Roman" w:cs="Times New Roman"/>
          <w:sz w:val="24"/>
          <w:szCs w:val="24"/>
        </w:rPr>
        <w:t xml:space="preserve"> doklady prokazující stanov</w:t>
      </w:r>
      <w:r w:rsidR="00062CC0">
        <w:rPr>
          <w:rFonts w:ascii="Times New Roman" w:hAnsi="Times New Roman" w:cs="Times New Roman"/>
          <w:sz w:val="24"/>
          <w:szCs w:val="24"/>
        </w:rPr>
        <w:t>e</w:t>
      </w:r>
      <w:r w:rsidR="00816071">
        <w:rPr>
          <w:rFonts w:ascii="Times New Roman" w:hAnsi="Times New Roman" w:cs="Times New Roman"/>
          <w:sz w:val="24"/>
          <w:szCs w:val="24"/>
        </w:rPr>
        <w:t xml:space="preserve">ní nabídkové ceny nesmí být starší než </w:t>
      </w:r>
      <w:r w:rsidR="002A31AB">
        <w:rPr>
          <w:rFonts w:ascii="Times New Roman" w:hAnsi="Times New Roman" w:cs="Times New Roman"/>
          <w:sz w:val="24"/>
          <w:szCs w:val="24"/>
        </w:rPr>
        <w:t>zahájení zadávacího řízení.</w:t>
      </w:r>
    </w:p>
    <w:p w14:paraId="28FA8A11" w14:textId="1AFA28BF" w:rsidR="002A31AB" w:rsidRDefault="00C81DB8" w:rsidP="002A31AB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doklady prokazující, za jakou cenu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hotovitel realizoval </w:t>
      </w:r>
      <w:r w:rsidR="006D065D">
        <w:rPr>
          <w:rFonts w:ascii="Times New Roman" w:hAnsi="Times New Roman" w:cs="Times New Roman"/>
          <w:sz w:val="24"/>
          <w:szCs w:val="24"/>
        </w:rPr>
        <w:t xml:space="preserve">od svých poddodavatelů v rámci plnění dané veřejné zakázky </w:t>
      </w:r>
      <w:r>
        <w:rPr>
          <w:rFonts w:ascii="Times New Roman" w:hAnsi="Times New Roman" w:cs="Times New Roman"/>
          <w:sz w:val="24"/>
          <w:szCs w:val="24"/>
        </w:rPr>
        <w:t>nákup jednotlivých skupin mat</w:t>
      </w:r>
      <w:r w:rsidR="006D06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riálů (komodit), pří</w:t>
      </w:r>
      <w:r w:rsidR="00062CC0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základních typů výrobků v jednotlivých skupinách materiálů v období, za které je poskytována platba, a to např. fakturace za subdodávky a dodávky materiálů</w:t>
      </w:r>
      <w:r w:rsidR="002A31AB">
        <w:rPr>
          <w:rFonts w:ascii="Times New Roman" w:hAnsi="Times New Roman" w:cs="Times New Roman"/>
          <w:sz w:val="24"/>
          <w:szCs w:val="24"/>
        </w:rPr>
        <w:t xml:space="preserve">, což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 w:rsidRPr="002A31AB">
        <w:rPr>
          <w:rFonts w:ascii="Times New Roman" w:hAnsi="Times New Roman" w:cs="Times New Roman"/>
          <w:sz w:val="24"/>
          <w:szCs w:val="24"/>
        </w:rPr>
        <w:t>hotovitel doloží alespoň v rozsahu 35% objemu množství každé z jednotlivých skupin materiálů (komodit), které bud</w:t>
      </w:r>
      <w:r w:rsidR="001C3F92" w:rsidRPr="002A31AB">
        <w:rPr>
          <w:rFonts w:ascii="Times New Roman" w:hAnsi="Times New Roman" w:cs="Times New Roman"/>
          <w:sz w:val="24"/>
          <w:szCs w:val="24"/>
        </w:rPr>
        <w:t>e</w:t>
      </w:r>
      <w:r w:rsidRPr="002A31AB">
        <w:rPr>
          <w:rFonts w:ascii="Times New Roman" w:hAnsi="Times New Roman" w:cs="Times New Roman"/>
          <w:sz w:val="24"/>
          <w:szCs w:val="24"/>
        </w:rPr>
        <w:t xml:space="preserve"> v případě konkrétního kontraktu kompenzován</w:t>
      </w:r>
      <w:r w:rsidR="001C3F92" w:rsidRPr="002A31AB">
        <w:rPr>
          <w:rFonts w:ascii="Times New Roman" w:hAnsi="Times New Roman" w:cs="Times New Roman"/>
          <w:sz w:val="24"/>
          <w:szCs w:val="24"/>
        </w:rPr>
        <w:t>o</w:t>
      </w:r>
      <w:r w:rsidR="002A31AB">
        <w:rPr>
          <w:rFonts w:ascii="Times New Roman" w:hAnsi="Times New Roman" w:cs="Times New Roman"/>
          <w:sz w:val="24"/>
          <w:szCs w:val="24"/>
        </w:rPr>
        <w:t xml:space="preserve"> v konkrétním kalendářním roce.</w:t>
      </w:r>
      <w:r w:rsidR="00B46E56">
        <w:rPr>
          <w:rFonts w:ascii="Times New Roman" w:hAnsi="Times New Roman" w:cs="Times New Roman"/>
          <w:sz w:val="24"/>
          <w:szCs w:val="24"/>
        </w:rPr>
        <w:t xml:space="preserve"> Pro výpočet rozdílu cen se využívá metody váženého průměru.</w:t>
      </w:r>
    </w:p>
    <w:p w14:paraId="310F090C" w14:textId="2E6B0581" w:rsidR="00C81DB8" w:rsidRPr="002A31AB" w:rsidRDefault="002A31AB" w:rsidP="002A31AB">
      <w:pPr>
        <w:pStyle w:val="textIBR"/>
        <w:numPr>
          <w:ilvl w:val="1"/>
          <w:numId w:val="16"/>
        </w:numPr>
        <w:tabs>
          <w:tab w:val="clear" w:pos="588"/>
          <w:tab w:val="left" w:pos="1418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81DB8" w:rsidRPr="002A31AB">
        <w:rPr>
          <w:rFonts w:ascii="Times New Roman" w:hAnsi="Times New Roman" w:cs="Times New Roman"/>
          <w:sz w:val="24"/>
          <w:szCs w:val="24"/>
        </w:rPr>
        <w:t xml:space="preserve">věření splnění předmětných </w:t>
      </w:r>
      <w:r w:rsidR="00D815BE">
        <w:rPr>
          <w:rFonts w:ascii="Times New Roman" w:hAnsi="Times New Roman" w:cs="Times New Roman"/>
          <w:sz w:val="24"/>
          <w:szCs w:val="24"/>
        </w:rPr>
        <w:t>obecných</w:t>
      </w:r>
      <w:r w:rsidR="00C81DB8" w:rsidRPr="002A31AB">
        <w:rPr>
          <w:rFonts w:ascii="Times New Roman" w:hAnsi="Times New Roman" w:cs="Times New Roman"/>
          <w:sz w:val="24"/>
          <w:szCs w:val="24"/>
        </w:rPr>
        <w:t xml:space="preserve"> podmínek v rozsahu 35</w:t>
      </w:r>
      <w:r w:rsidR="00062CC0">
        <w:rPr>
          <w:rFonts w:ascii="Times New Roman" w:hAnsi="Times New Roman" w:cs="Times New Roman"/>
          <w:sz w:val="24"/>
          <w:szCs w:val="24"/>
        </w:rPr>
        <w:t xml:space="preserve"> </w:t>
      </w:r>
      <w:r w:rsidR="00C81DB8" w:rsidRPr="002A31AB">
        <w:rPr>
          <w:rFonts w:ascii="Times New Roman" w:hAnsi="Times New Roman" w:cs="Times New Roman"/>
          <w:sz w:val="24"/>
          <w:szCs w:val="24"/>
        </w:rPr>
        <w:t>% objemu množství jednotlivých skupin materiálů je považováno pro účely aplikace této metodiky za dostatečně průkazné</w:t>
      </w:r>
      <w:r>
        <w:rPr>
          <w:rFonts w:ascii="Times New Roman" w:hAnsi="Times New Roman" w:cs="Times New Roman"/>
          <w:sz w:val="24"/>
          <w:szCs w:val="24"/>
        </w:rPr>
        <w:t xml:space="preserve"> pro výplatu kompenzace stanované na základě výpočtu podle této metodiky</w:t>
      </w:r>
      <w:r w:rsidR="003E6B9E" w:rsidRPr="002A31AB">
        <w:rPr>
          <w:rFonts w:ascii="Times New Roman" w:hAnsi="Times New Roman" w:cs="Times New Roman"/>
          <w:sz w:val="24"/>
          <w:szCs w:val="24"/>
        </w:rPr>
        <w:t>; ověření celého objemu provedených množství jednotlivých skupin materiálů není realizovatelné s ohledem na agregaci položek a povahu jednotlivých skupin materiálů, které není možné retrospektivně identifikovat.</w:t>
      </w:r>
    </w:p>
    <w:p w14:paraId="28DADD1D" w14:textId="55339514" w:rsidR="0000102E" w:rsidRPr="00AB3D26" w:rsidRDefault="00FD4FB7" w:rsidP="003330A8">
      <w:pPr>
        <w:pStyle w:val="textIBR"/>
        <w:numPr>
          <w:ilvl w:val="0"/>
          <w:numId w:val="16"/>
        </w:numPr>
        <w:tabs>
          <w:tab w:val="clear" w:pos="588"/>
          <w:tab w:val="left" w:pos="851"/>
        </w:tabs>
        <w:spacing w:after="12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0102E" w:rsidRPr="00AB3D26">
        <w:rPr>
          <w:rFonts w:ascii="Times New Roman" w:hAnsi="Times New Roman" w:cs="Times New Roman"/>
          <w:sz w:val="24"/>
          <w:szCs w:val="24"/>
        </w:rPr>
        <w:t>latb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102E" w:rsidRPr="00AB3D26">
        <w:rPr>
          <w:rFonts w:ascii="Times New Roman" w:hAnsi="Times New Roman" w:cs="Times New Roman"/>
          <w:sz w:val="24"/>
          <w:szCs w:val="24"/>
        </w:rPr>
        <w:t xml:space="preserve"> nebude přiznán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102E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062CC0">
        <w:rPr>
          <w:rFonts w:ascii="Times New Roman" w:hAnsi="Times New Roman" w:cs="Times New Roman"/>
          <w:sz w:val="24"/>
          <w:szCs w:val="24"/>
        </w:rPr>
        <w:t>z</w:t>
      </w:r>
      <w:r w:rsidR="0000102E" w:rsidRPr="00AB3D26">
        <w:rPr>
          <w:rFonts w:ascii="Times New Roman" w:hAnsi="Times New Roman" w:cs="Times New Roman"/>
          <w:sz w:val="24"/>
          <w:szCs w:val="24"/>
        </w:rPr>
        <w:t xml:space="preserve">hotoviteli, který </w:t>
      </w:r>
      <w:proofErr w:type="gramStart"/>
      <w:r w:rsidR="0000102E" w:rsidRPr="00AB3D26">
        <w:rPr>
          <w:rFonts w:ascii="Times New Roman" w:hAnsi="Times New Roman" w:cs="Times New Roman"/>
          <w:sz w:val="24"/>
          <w:szCs w:val="24"/>
        </w:rPr>
        <w:t>nedoloží</w:t>
      </w:r>
      <w:proofErr w:type="gramEnd"/>
      <w:r w:rsidR="0000102E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025CC7" w:rsidRPr="00AB3D26">
        <w:rPr>
          <w:rFonts w:ascii="Times New Roman" w:hAnsi="Times New Roman" w:cs="Times New Roman"/>
          <w:sz w:val="24"/>
          <w:szCs w:val="24"/>
        </w:rPr>
        <w:t xml:space="preserve">formou čestného prohlášení nejpozději při uplatnění nároku na kompenzaci, že:  </w:t>
      </w:r>
    </w:p>
    <w:p w14:paraId="6F616D83" w14:textId="77777777" w:rsidR="00025CC7" w:rsidRPr="00AB3D26" w:rsidRDefault="0000102E" w:rsidP="00EA7F3D">
      <w:pPr>
        <w:pStyle w:val="textIBR"/>
        <w:numPr>
          <w:ilvl w:val="1"/>
          <w:numId w:val="16"/>
        </w:numPr>
        <w:tabs>
          <w:tab w:val="clear" w:pos="588"/>
          <w:tab w:val="left" w:pos="851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ne</w:t>
      </w:r>
      <w:r w:rsidR="00025CC7" w:rsidRPr="00AB3D26">
        <w:rPr>
          <w:rFonts w:ascii="Times New Roman" w:hAnsi="Times New Roman" w:cs="Times New Roman"/>
          <w:sz w:val="24"/>
          <w:szCs w:val="24"/>
        </w:rPr>
        <w:t>ní</w:t>
      </w:r>
      <w:r w:rsidRPr="00AB3D26">
        <w:rPr>
          <w:rFonts w:ascii="Times New Roman" w:hAnsi="Times New Roman" w:cs="Times New Roman"/>
          <w:sz w:val="24"/>
          <w:szCs w:val="24"/>
        </w:rPr>
        <w:t xml:space="preserve"> osob</w:t>
      </w:r>
      <w:r w:rsidR="00025CC7" w:rsidRPr="00AB3D26">
        <w:rPr>
          <w:rFonts w:ascii="Times New Roman" w:hAnsi="Times New Roman" w:cs="Times New Roman"/>
          <w:sz w:val="24"/>
          <w:szCs w:val="24"/>
        </w:rPr>
        <w:t>ou</w:t>
      </w:r>
      <w:r w:rsidRPr="00AB3D26">
        <w:rPr>
          <w:rFonts w:ascii="Times New Roman" w:hAnsi="Times New Roman" w:cs="Times New Roman"/>
          <w:sz w:val="24"/>
          <w:szCs w:val="24"/>
        </w:rPr>
        <w:t xml:space="preserve"> uveden</w:t>
      </w:r>
      <w:r w:rsidR="00025CC7" w:rsidRPr="00AB3D26">
        <w:rPr>
          <w:rFonts w:ascii="Times New Roman" w:hAnsi="Times New Roman" w:cs="Times New Roman"/>
          <w:sz w:val="24"/>
          <w:szCs w:val="24"/>
        </w:rPr>
        <w:t>ou</w:t>
      </w:r>
      <w:r w:rsidRPr="00AB3D26">
        <w:rPr>
          <w:rFonts w:ascii="Times New Roman" w:hAnsi="Times New Roman" w:cs="Times New Roman"/>
          <w:sz w:val="24"/>
          <w:szCs w:val="24"/>
        </w:rPr>
        <w:t xml:space="preserve"> v čl. 5k nařízení Rady (EU) č. 833/2014 ze dne 31. </w:t>
      </w:r>
      <w:r w:rsidR="00400BA8" w:rsidRPr="00AB3D26">
        <w:rPr>
          <w:rFonts w:ascii="Times New Roman" w:hAnsi="Times New Roman" w:cs="Times New Roman"/>
          <w:sz w:val="24"/>
          <w:szCs w:val="24"/>
        </w:rPr>
        <w:t xml:space="preserve">července </w:t>
      </w:r>
      <w:r w:rsidRPr="00AB3D26">
        <w:rPr>
          <w:rFonts w:ascii="Times New Roman" w:hAnsi="Times New Roman" w:cs="Times New Roman"/>
          <w:sz w:val="24"/>
          <w:szCs w:val="24"/>
        </w:rPr>
        <w:t>2014 o omezujících opatřeních vzhledem k činnostem Ruska destabilizujícím situaci na Ukrajině a </w:t>
      </w:r>
    </w:p>
    <w:p w14:paraId="07B31B7A" w14:textId="77777777" w:rsidR="00EA7F3D" w:rsidRDefault="0000102E" w:rsidP="00EA7F3D">
      <w:pPr>
        <w:pStyle w:val="textIBR"/>
        <w:numPr>
          <w:ilvl w:val="1"/>
          <w:numId w:val="16"/>
        </w:numPr>
        <w:tabs>
          <w:tab w:val="clear" w:pos="588"/>
          <w:tab w:val="left" w:pos="851"/>
        </w:tabs>
        <w:spacing w:after="120" w:line="276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nepoužij</w:t>
      </w:r>
      <w:r w:rsidR="00025CC7" w:rsidRPr="00AB3D26">
        <w:rPr>
          <w:rFonts w:ascii="Times New Roman" w:hAnsi="Times New Roman" w:cs="Times New Roman"/>
          <w:sz w:val="24"/>
          <w:szCs w:val="24"/>
        </w:rPr>
        <w:t>e</w:t>
      </w:r>
      <w:r w:rsidRPr="00AB3D26">
        <w:rPr>
          <w:rFonts w:ascii="Times New Roman" w:hAnsi="Times New Roman" w:cs="Times New Roman"/>
          <w:sz w:val="24"/>
          <w:szCs w:val="24"/>
        </w:rPr>
        <w:t xml:space="preserve"> žádné finanční prostředky, které </w:t>
      </w:r>
      <w:proofErr w:type="gramStart"/>
      <w:r w:rsidRPr="00AB3D26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AB3D26">
        <w:rPr>
          <w:rFonts w:ascii="Times New Roman" w:hAnsi="Times New Roman" w:cs="Times New Roman"/>
          <w:sz w:val="24"/>
          <w:szCs w:val="24"/>
        </w:rPr>
        <w:t xml:space="preserve"> za plnění veřejné zakázky, v rozporu se sankcemi podle § 2 zákona č. 69/2006 Sb., o provádění mezinárodních sankcí, ve znění pozdějších předpisů (dále jen „Sankční zákon“), zejména že tyto finanční prostředky přímo ani nepřímo nezpřístupní osobám, subjektům či orgánům s nimi spojeným uvedeným v sankčních seznamech EU (tzv. „sankcionovaným osobám“) nebo v jejich prospěch</w:t>
      </w:r>
      <w:r w:rsidR="00EA7F3D" w:rsidRPr="00AB3D26">
        <w:rPr>
          <w:rFonts w:ascii="Times New Roman" w:hAnsi="Times New Roman" w:cs="Times New Roman"/>
          <w:sz w:val="24"/>
          <w:szCs w:val="24"/>
        </w:rPr>
        <w:t>.</w:t>
      </w:r>
    </w:p>
    <w:p w14:paraId="79748ED5" w14:textId="77777777" w:rsidR="00433706" w:rsidRPr="00AB3D26" w:rsidRDefault="00433706" w:rsidP="00433706">
      <w:pPr>
        <w:pStyle w:val="textIBR"/>
        <w:tabs>
          <w:tab w:val="clear" w:pos="588"/>
          <w:tab w:val="left" w:pos="851"/>
        </w:tabs>
        <w:spacing w:after="120" w:line="276" w:lineRule="auto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75B7BFAE" w14:textId="7E7903D5" w:rsidR="004D555C" w:rsidRDefault="00C77201" w:rsidP="00F86AD1">
      <w:pPr>
        <w:keepNext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B3D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Podmínky a postup administrace</w:t>
      </w:r>
      <w:r w:rsidR="000A184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změny</w:t>
      </w:r>
    </w:p>
    <w:p w14:paraId="07986EB4" w14:textId="36EB1574" w:rsidR="00F86AD1" w:rsidRPr="00AB3D26" w:rsidRDefault="00F86AD1" w:rsidP="00F86AD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Základní motivací, pro kterou tato metodika vzniká, je snaha stabilizovat trh dopravního stavitelství, zajistit plynulost výstavby a zabránit kolapsu </w:t>
      </w:r>
      <w:proofErr w:type="spellStart"/>
      <w:r w:rsidRPr="00AB3D26">
        <w:rPr>
          <w:rFonts w:ascii="Times New Roman" w:hAnsi="Times New Roman" w:cs="Times New Roman"/>
          <w:sz w:val="24"/>
          <w:szCs w:val="24"/>
        </w:rPr>
        <w:t>zhotovitelského</w:t>
      </w:r>
      <w:proofErr w:type="spellEnd"/>
      <w:r w:rsidRPr="00AB3D26">
        <w:rPr>
          <w:rFonts w:ascii="Times New Roman" w:hAnsi="Times New Roman" w:cs="Times New Roman"/>
          <w:sz w:val="24"/>
          <w:szCs w:val="24"/>
        </w:rPr>
        <w:t xml:space="preserve"> sektoru; kompenzace </w:t>
      </w:r>
      <w:r w:rsidR="0036475A">
        <w:rPr>
          <w:rFonts w:ascii="Times New Roman" w:hAnsi="Times New Roman" w:cs="Times New Roman"/>
          <w:sz w:val="24"/>
          <w:szCs w:val="24"/>
        </w:rPr>
        <w:t xml:space="preserve">formou změny závazku </w:t>
      </w:r>
      <w:r w:rsidRPr="00AB3D26">
        <w:rPr>
          <w:rFonts w:ascii="Times New Roman" w:hAnsi="Times New Roman" w:cs="Times New Roman"/>
          <w:sz w:val="24"/>
          <w:szCs w:val="24"/>
        </w:rPr>
        <w:t xml:space="preserve">se tedy provádí jako </w:t>
      </w:r>
      <w:r w:rsidRPr="008329A7">
        <w:rPr>
          <w:rFonts w:ascii="Times New Roman" w:hAnsi="Times New Roman" w:cs="Times New Roman"/>
          <w:sz w:val="24"/>
          <w:szCs w:val="24"/>
        </w:rPr>
        <w:t xml:space="preserve">opatření </w:t>
      </w:r>
      <w:r w:rsidRPr="00AB3D26">
        <w:rPr>
          <w:rFonts w:ascii="Times New Roman" w:hAnsi="Times New Roman" w:cs="Times New Roman"/>
          <w:sz w:val="24"/>
          <w:szCs w:val="24"/>
        </w:rPr>
        <w:t>k překonání nestandardní situace, která vznikla na trhu klíčových stavebních materiálů nezbytných pro realizaci významných dopravních staveb.</w:t>
      </w:r>
    </w:p>
    <w:p w14:paraId="7DDBA376" w14:textId="73A2E046" w:rsidR="00E56019" w:rsidRPr="00AB3D26" w:rsidRDefault="00E56019" w:rsidP="00E56019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Aplikace této metodiky Ministerstva dopravy </w:t>
      </w:r>
      <w:r w:rsidR="00062CC0">
        <w:rPr>
          <w:rFonts w:ascii="Times New Roman" w:hAnsi="Times New Roman" w:cs="Times New Roman"/>
          <w:sz w:val="24"/>
          <w:szCs w:val="24"/>
        </w:rPr>
        <w:t xml:space="preserve">ČR </w:t>
      </w:r>
      <w:r w:rsidRPr="00AB3D26">
        <w:rPr>
          <w:rFonts w:ascii="Times New Roman" w:hAnsi="Times New Roman" w:cs="Times New Roman"/>
          <w:sz w:val="24"/>
          <w:szCs w:val="24"/>
        </w:rPr>
        <w:t>pro řešení růstu cen stavebních materiálů na</w:t>
      </w:r>
      <w:r w:rsidR="00062CC0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 xml:space="preserve">stavbách dopravní infrastruktury je podmíněna </w:t>
      </w:r>
      <w:r w:rsidR="00583302">
        <w:rPr>
          <w:rFonts w:ascii="Times New Roman" w:hAnsi="Times New Roman" w:cs="Times New Roman"/>
          <w:b/>
          <w:bCs/>
          <w:sz w:val="24"/>
          <w:szCs w:val="24"/>
        </w:rPr>
        <w:t xml:space="preserve">vydáním </w:t>
      </w:r>
      <w:r w:rsidR="00B0368D"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pokynu </w:t>
      </w:r>
      <w:r w:rsidR="00F86AD1" w:rsidRPr="00AB3D26">
        <w:rPr>
          <w:rFonts w:ascii="Times New Roman" w:hAnsi="Times New Roman" w:cs="Times New Roman"/>
          <w:b/>
          <w:bCs/>
          <w:sz w:val="24"/>
          <w:szCs w:val="24"/>
        </w:rPr>
        <w:t>Ministerstva dopravy</w:t>
      </w:r>
      <w:r w:rsidR="00F86AD1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062CC0">
        <w:rPr>
          <w:rFonts w:ascii="Times New Roman" w:hAnsi="Times New Roman" w:cs="Times New Roman"/>
          <w:sz w:val="24"/>
          <w:szCs w:val="24"/>
        </w:rPr>
        <w:t xml:space="preserve">ČR </w:t>
      </w:r>
      <w:r w:rsidR="00B0368D" w:rsidRPr="00AB3D26">
        <w:rPr>
          <w:rFonts w:ascii="Times New Roman" w:hAnsi="Times New Roman" w:cs="Times New Roman"/>
          <w:sz w:val="24"/>
          <w:szCs w:val="24"/>
        </w:rPr>
        <w:t>k jejímu naplnění.</w:t>
      </w:r>
    </w:p>
    <w:p w14:paraId="6E1AEF48" w14:textId="70A0C65A" w:rsidR="002729FF" w:rsidRPr="00AB3D26" w:rsidRDefault="00F86AD1" w:rsidP="003205F5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P</w:t>
      </w:r>
      <w:r w:rsidR="003205F5" w:rsidRPr="00AB3D26">
        <w:rPr>
          <w:rFonts w:ascii="Times New Roman" w:hAnsi="Times New Roman" w:cs="Times New Roman"/>
          <w:sz w:val="24"/>
          <w:szCs w:val="24"/>
        </w:rPr>
        <w:t xml:space="preserve">okyn </w:t>
      </w:r>
      <w:r w:rsidRPr="00AB3D26">
        <w:rPr>
          <w:rFonts w:ascii="Times New Roman" w:hAnsi="Times New Roman" w:cs="Times New Roman"/>
          <w:sz w:val="24"/>
          <w:szCs w:val="24"/>
        </w:rPr>
        <w:t>k aplikaci této metodiky</w:t>
      </w:r>
      <w:r w:rsidR="003205F5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Pr="00AB3D26">
        <w:rPr>
          <w:rFonts w:ascii="Times New Roman" w:hAnsi="Times New Roman" w:cs="Times New Roman"/>
          <w:sz w:val="24"/>
          <w:szCs w:val="24"/>
        </w:rPr>
        <w:t xml:space="preserve">je </w:t>
      </w:r>
      <w:r w:rsidR="003205F5" w:rsidRPr="00AB3D26">
        <w:rPr>
          <w:rFonts w:ascii="Times New Roman" w:hAnsi="Times New Roman" w:cs="Times New Roman"/>
          <w:sz w:val="24"/>
          <w:szCs w:val="24"/>
        </w:rPr>
        <w:t>určený právnickým osobám v zakladatelské a zřizovací působnosti Ministerstva dopravy</w:t>
      </w:r>
      <w:r w:rsidR="00E16EDC">
        <w:rPr>
          <w:rFonts w:ascii="Times New Roman" w:hAnsi="Times New Roman" w:cs="Times New Roman"/>
          <w:sz w:val="24"/>
          <w:szCs w:val="24"/>
        </w:rPr>
        <w:t xml:space="preserve"> ČR</w:t>
      </w:r>
      <w:r w:rsidR="003205F5" w:rsidRPr="00AB3D26">
        <w:rPr>
          <w:rFonts w:ascii="Times New Roman" w:hAnsi="Times New Roman" w:cs="Times New Roman"/>
          <w:sz w:val="24"/>
          <w:szCs w:val="24"/>
        </w:rPr>
        <w:t>, které jsou financovány úplně nebo jen částečně z veřejných prostředků a které zabezpečují přípravu a realizaci inženýrských</w:t>
      </w:r>
      <w:r w:rsidR="00E55428" w:rsidRPr="00AB3D26">
        <w:rPr>
          <w:rFonts w:ascii="Times New Roman" w:hAnsi="Times New Roman" w:cs="Times New Roman"/>
          <w:sz w:val="24"/>
          <w:szCs w:val="24"/>
        </w:rPr>
        <w:t xml:space="preserve"> a pozemních</w:t>
      </w:r>
      <w:r w:rsidR="003205F5" w:rsidRPr="00AB3D26">
        <w:rPr>
          <w:rFonts w:ascii="Times New Roman" w:hAnsi="Times New Roman" w:cs="Times New Roman"/>
          <w:sz w:val="24"/>
          <w:szCs w:val="24"/>
        </w:rPr>
        <w:t xml:space="preserve"> staveb financovaných z veřejných prostředků – </w:t>
      </w:r>
      <w:r w:rsidR="003205F5" w:rsidRPr="00AB3D26">
        <w:rPr>
          <w:rFonts w:ascii="Times New Roman" w:hAnsi="Times New Roman" w:cs="Times New Roman"/>
          <w:b/>
          <w:bCs/>
          <w:sz w:val="24"/>
          <w:szCs w:val="24"/>
        </w:rPr>
        <w:t>Správa železnic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554A6">
        <w:rPr>
          <w:rFonts w:ascii="Times New Roman" w:hAnsi="Times New Roman" w:cs="Times New Roman"/>
          <w:b/>
          <w:bCs/>
          <w:sz w:val="24"/>
          <w:szCs w:val="24"/>
        </w:rPr>
        <w:t xml:space="preserve"> státní organizace,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 xml:space="preserve"> Ředitelství silnic a dálnic ČR, Ředitelství vodních cest</w:t>
      </w:r>
      <w:r w:rsidRPr="00AB3D26">
        <w:rPr>
          <w:rFonts w:ascii="Times New Roman" w:hAnsi="Times New Roman" w:cs="Times New Roman"/>
          <w:sz w:val="24"/>
          <w:szCs w:val="24"/>
        </w:rPr>
        <w:t xml:space="preserve"> (dále „Zadavatelé“).</w:t>
      </w:r>
    </w:p>
    <w:p w14:paraId="22171B60" w14:textId="34458CA2" w:rsidR="00E55428" w:rsidRPr="007076F8" w:rsidRDefault="00742127" w:rsidP="007076F8">
      <w:pPr>
        <w:keepNext/>
        <w:spacing w:line="276" w:lineRule="auto"/>
        <w:jc w:val="both"/>
      </w:pPr>
      <w:r w:rsidRPr="00AB3D26">
        <w:rPr>
          <w:rFonts w:ascii="Times New Roman" w:hAnsi="Times New Roman" w:cs="Times New Roman"/>
          <w:sz w:val="24"/>
          <w:szCs w:val="24"/>
        </w:rPr>
        <w:t xml:space="preserve">Tato metodika se použije pro smluvní kontrakty </w:t>
      </w:r>
      <w:r w:rsidR="00E16EDC">
        <w:rPr>
          <w:rFonts w:ascii="Times New Roman" w:hAnsi="Times New Roman" w:cs="Times New Roman"/>
          <w:sz w:val="24"/>
          <w:szCs w:val="24"/>
        </w:rPr>
        <w:t>z</w:t>
      </w:r>
      <w:r w:rsidR="00E97DE9" w:rsidRPr="00AB3D26">
        <w:rPr>
          <w:rFonts w:ascii="Times New Roman" w:hAnsi="Times New Roman" w:cs="Times New Roman"/>
          <w:sz w:val="24"/>
          <w:szCs w:val="24"/>
        </w:rPr>
        <w:t xml:space="preserve">adavatelů </w:t>
      </w:r>
      <w:r w:rsidRPr="00AB3D26">
        <w:rPr>
          <w:rFonts w:ascii="Times New Roman" w:hAnsi="Times New Roman" w:cs="Times New Roman"/>
          <w:sz w:val="24"/>
          <w:szCs w:val="24"/>
        </w:rPr>
        <w:t xml:space="preserve">uzavřené </w:t>
      </w:r>
      <w:bookmarkStart w:id="10" w:name="_Hlk112258650"/>
      <w:r w:rsidRPr="00AB3D26">
        <w:rPr>
          <w:rFonts w:ascii="Times New Roman" w:hAnsi="Times New Roman" w:cs="Times New Roman"/>
          <w:sz w:val="24"/>
          <w:szCs w:val="24"/>
        </w:rPr>
        <w:t xml:space="preserve">dle </w:t>
      </w:r>
      <w:r w:rsidR="00CA31AD" w:rsidRPr="00AB3D26">
        <w:rPr>
          <w:rFonts w:ascii="Times New Roman" w:hAnsi="Times New Roman" w:cs="Times New Roman"/>
          <w:sz w:val="24"/>
          <w:szCs w:val="24"/>
        </w:rPr>
        <w:t xml:space="preserve">smluvních podmínek pro výstavbu pozemních a inženýrských staveb projektovaných objednatelem 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 základě </w:t>
      </w:r>
      <w:r w:rsidR="00CA31AD"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červené knihy FIDIC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obecných podmínek ve znění zvláštních podmínek), 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smluvních podmínek pro stavby menšího rozsahu (na základě </w:t>
      </w:r>
      <w:r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zelené knihy FIDIC</w:t>
      </w:r>
      <w:bookmarkEnd w:id="10"/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obecných podmínek ve znění zvláštních podmínek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), smluvních podmínek pro dodávku technologických zařízení a</w:t>
      </w:r>
      <w:r w:rsidR="00A554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projektování – výstavbu elektro a strojně-technologického díla a pozemních a inženýrských staveb projektovaných zhotovitelem (na základě </w:t>
      </w:r>
      <w:r w:rsidR="00CA31AD" w:rsidRPr="00AB3D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žluté knihy FIDIC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obecných podmínek ve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 zvláštních podmínek), příp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další smluvní kontrakty </w:t>
      </w:r>
      <w:r w:rsidR="00E16ED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adavatelů na realizaci</w:t>
      </w:r>
      <w:r w:rsidR="0070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76F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ozemních staveb a inženýrských staveb</w:t>
      </w:r>
      <w:r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A31AD" w:rsidRPr="00AB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Tato metodika se nepoužije pro smluvní kontrakty zadávané formou partnerství státního a soukromého sektoru (tzv. PPP projekty).</w:t>
      </w:r>
    </w:p>
    <w:p w14:paraId="6B82068B" w14:textId="5180424A" w:rsidR="002729FF" w:rsidRPr="00AB3D26" w:rsidRDefault="00E60C44" w:rsidP="003205F5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Kompenzace na základě této metodiky bude provedena dohodou smluvních stran o změně stávající smlouvy, a to vždy ve formě 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>dodatku ke smlouvě</w:t>
      </w:r>
      <w:r w:rsidRPr="00AB3D26">
        <w:rPr>
          <w:rFonts w:ascii="Times New Roman" w:hAnsi="Times New Roman" w:cs="Times New Roman"/>
          <w:sz w:val="24"/>
          <w:szCs w:val="24"/>
        </w:rPr>
        <w:t xml:space="preserve"> uzavřeného mezi </w:t>
      </w:r>
      <w:r w:rsidR="00E16EDC">
        <w:rPr>
          <w:rFonts w:ascii="Times New Roman" w:hAnsi="Times New Roman" w:cs="Times New Roman"/>
          <w:sz w:val="24"/>
          <w:szCs w:val="24"/>
        </w:rPr>
        <w:t>z</w:t>
      </w:r>
      <w:r w:rsidRPr="00AB3D26">
        <w:rPr>
          <w:rFonts w:ascii="Times New Roman" w:hAnsi="Times New Roman" w:cs="Times New Roman"/>
          <w:sz w:val="24"/>
          <w:szCs w:val="24"/>
        </w:rPr>
        <w:t>adavatelem a</w:t>
      </w:r>
      <w:r w:rsidR="00A554A6">
        <w:rPr>
          <w:rFonts w:ascii="Times New Roman" w:hAnsi="Times New Roman" w:cs="Times New Roman"/>
          <w:sz w:val="24"/>
          <w:szCs w:val="24"/>
        </w:rPr>
        <w:t> </w:t>
      </w:r>
      <w:r w:rsidRPr="00AB3D26">
        <w:rPr>
          <w:rFonts w:ascii="Times New Roman" w:hAnsi="Times New Roman" w:cs="Times New Roman"/>
          <w:sz w:val="24"/>
          <w:szCs w:val="24"/>
        </w:rPr>
        <w:t>příslušným zhotovitelem stavby.</w:t>
      </w:r>
    </w:p>
    <w:p w14:paraId="7641E613" w14:textId="240F2BE4" w:rsidR="00C77201" w:rsidRPr="00AB3D26" w:rsidRDefault="00C77201" w:rsidP="00C77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Na základě oznámení a doložení skutečností rozhodných pro posouzení </w:t>
      </w:r>
      <w:r w:rsidR="00CA31AD" w:rsidRPr="00AB3D26">
        <w:rPr>
          <w:rFonts w:ascii="Times New Roman" w:hAnsi="Times New Roman" w:cs="Times New Roman"/>
          <w:sz w:val="24"/>
          <w:szCs w:val="24"/>
        </w:rPr>
        <w:t xml:space="preserve">možnosti poskytnutí </w:t>
      </w:r>
      <w:r w:rsidR="00CA06A3" w:rsidRPr="00AB3D26">
        <w:rPr>
          <w:rFonts w:ascii="Times New Roman" w:hAnsi="Times New Roman" w:cs="Times New Roman"/>
          <w:sz w:val="24"/>
          <w:szCs w:val="24"/>
        </w:rPr>
        <w:t>kompenzac</w:t>
      </w:r>
      <w:r w:rsidR="00CA31AD" w:rsidRPr="00AB3D26">
        <w:rPr>
          <w:rFonts w:ascii="Times New Roman" w:hAnsi="Times New Roman" w:cs="Times New Roman"/>
          <w:sz w:val="24"/>
          <w:szCs w:val="24"/>
        </w:rPr>
        <w:t>e</w:t>
      </w:r>
      <w:r w:rsidR="00CA06A3" w:rsidRPr="00AB3D26">
        <w:rPr>
          <w:rFonts w:ascii="Times New Roman" w:hAnsi="Times New Roman" w:cs="Times New Roman"/>
          <w:sz w:val="24"/>
          <w:szCs w:val="24"/>
        </w:rPr>
        <w:t xml:space="preserve"> dle této metodiky</w:t>
      </w:r>
      <w:r w:rsidRPr="00AB3D26">
        <w:rPr>
          <w:rFonts w:ascii="Times New Roman" w:hAnsi="Times New Roman" w:cs="Times New Roman"/>
          <w:sz w:val="24"/>
          <w:szCs w:val="24"/>
        </w:rPr>
        <w:t xml:space="preserve"> bude </w:t>
      </w:r>
      <w:r w:rsidR="00E16EDC">
        <w:rPr>
          <w:rFonts w:ascii="Times New Roman" w:hAnsi="Times New Roman" w:cs="Times New Roman"/>
          <w:sz w:val="24"/>
          <w:szCs w:val="24"/>
        </w:rPr>
        <w:t>z</w:t>
      </w:r>
      <w:r w:rsidR="00CA06A3" w:rsidRPr="00AB3D26">
        <w:rPr>
          <w:rFonts w:ascii="Times New Roman" w:hAnsi="Times New Roman" w:cs="Times New Roman"/>
          <w:sz w:val="24"/>
          <w:szCs w:val="24"/>
        </w:rPr>
        <w:t>adavatel</w:t>
      </w:r>
      <w:r w:rsidRPr="00AB3D26">
        <w:rPr>
          <w:rFonts w:ascii="Times New Roman" w:hAnsi="Times New Roman" w:cs="Times New Roman"/>
          <w:sz w:val="24"/>
          <w:szCs w:val="24"/>
        </w:rPr>
        <w:t xml:space="preserve"> postupovat v souladu </w:t>
      </w:r>
      <w:r w:rsidR="00CA06A3" w:rsidRPr="00AB3D26">
        <w:rPr>
          <w:rFonts w:ascii="Times New Roman" w:hAnsi="Times New Roman" w:cs="Times New Roman"/>
          <w:sz w:val="24"/>
          <w:szCs w:val="24"/>
        </w:rPr>
        <w:t>s příslušnými ustanovením</w:t>
      </w:r>
      <w:r w:rsidR="00E16EDC">
        <w:rPr>
          <w:rFonts w:ascii="Times New Roman" w:hAnsi="Times New Roman" w:cs="Times New Roman"/>
          <w:sz w:val="24"/>
          <w:szCs w:val="24"/>
        </w:rPr>
        <w:t>i</w:t>
      </w:r>
      <w:r w:rsidR="00CA06A3" w:rsidRPr="00AB3D26">
        <w:rPr>
          <w:rFonts w:ascii="Times New Roman" w:hAnsi="Times New Roman" w:cs="Times New Roman"/>
          <w:sz w:val="24"/>
          <w:szCs w:val="24"/>
        </w:rPr>
        <w:t xml:space="preserve"> smluvního kontraktu</w:t>
      </w:r>
      <w:r w:rsidR="000A1845">
        <w:rPr>
          <w:rFonts w:ascii="Times New Roman" w:hAnsi="Times New Roman" w:cs="Times New Roman"/>
          <w:sz w:val="24"/>
          <w:szCs w:val="24"/>
        </w:rPr>
        <w:t xml:space="preserve"> a příslušnými ustanoveními ZZVZ pro změny smlouvy</w:t>
      </w:r>
      <w:r w:rsidR="00CA06A3" w:rsidRPr="00AB3D26">
        <w:rPr>
          <w:rFonts w:ascii="Times New Roman" w:hAnsi="Times New Roman" w:cs="Times New Roman"/>
          <w:sz w:val="24"/>
          <w:szCs w:val="24"/>
        </w:rPr>
        <w:t>, aby</w:t>
      </w:r>
      <w:r w:rsidRPr="00AB3D26">
        <w:rPr>
          <w:rFonts w:ascii="Times New Roman" w:hAnsi="Times New Roman" w:cs="Times New Roman"/>
          <w:sz w:val="24"/>
          <w:szCs w:val="24"/>
        </w:rPr>
        <w:t xml:space="preserve"> dohodl </w:t>
      </w:r>
      <w:r w:rsidR="00CA06A3" w:rsidRPr="00AB3D26">
        <w:rPr>
          <w:rFonts w:ascii="Times New Roman" w:hAnsi="Times New Roman" w:cs="Times New Roman"/>
          <w:sz w:val="24"/>
          <w:szCs w:val="24"/>
        </w:rPr>
        <w:t>podmínky poskytnutí kompenzace dle této metodiky</w:t>
      </w:r>
      <w:r w:rsidRPr="00AB3D26">
        <w:rPr>
          <w:rFonts w:ascii="Times New Roman" w:hAnsi="Times New Roman" w:cs="Times New Roman"/>
          <w:sz w:val="24"/>
          <w:szCs w:val="24"/>
        </w:rPr>
        <w:t>.</w:t>
      </w:r>
      <w:r w:rsidR="000E4D89" w:rsidRPr="00AB3D26">
        <w:rPr>
          <w:rFonts w:ascii="Times New Roman" w:hAnsi="Times New Roman" w:cs="Times New Roman"/>
          <w:sz w:val="24"/>
          <w:szCs w:val="24"/>
        </w:rPr>
        <w:t xml:space="preserve"> Poskytnutí kompenzace na</w:t>
      </w:r>
      <w:r w:rsidR="00134D57">
        <w:rPr>
          <w:rFonts w:ascii="Times New Roman" w:hAnsi="Times New Roman" w:cs="Times New Roman"/>
          <w:sz w:val="24"/>
          <w:szCs w:val="24"/>
        </w:rPr>
        <w:t> </w:t>
      </w:r>
      <w:r w:rsidR="000E4D89" w:rsidRPr="00AB3D26">
        <w:rPr>
          <w:rFonts w:ascii="Times New Roman" w:hAnsi="Times New Roman" w:cs="Times New Roman"/>
          <w:sz w:val="24"/>
          <w:szCs w:val="24"/>
        </w:rPr>
        <w:t xml:space="preserve">základě této metodiky musí být vždy </w:t>
      </w:r>
      <w:r w:rsidR="000A1845">
        <w:rPr>
          <w:rFonts w:ascii="Times New Roman" w:hAnsi="Times New Roman" w:cs="Times New Roman"/>
          <w:sz w:val="24"/>
          <w:szCs w:val="24"/>
        </w:rPr>
        <w:t>posouzeno a následně administrováno</w:t>
      </w:r>
      <w:r w:rsidR="000E4D89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0E4D89" w:rsidRPr="00AB3D26">
        <w:rPr>
          <w:rFonts w:ascii="Times New Roman" w:hAnsi="Times New Roman" w:cs="Times New Roman"/>
          <w:b/>
          <w:bCs/>
          <w:sz w:val="24"/>
          <w:szCs w:val="24"/>
        </w:rPr>
        <w:t>v souladu se zákonem č. 134/2016 Sb., o zadávání veřejných zakázek</w:t>
      </w:r>
      <w:r w:rsidR="000E4D89" w:rsidRPr="00AB3D26">
        <w:rPr>
          <w:rFonts w:ascii="Times New Roman" w:hAnsi="Times New Roman" w:cs="Times New Roman"/>
          <w:sz w:val="24"/>
          <w:szCs w:val="24"/>
        </w:rPr>
        <w:t>.</w:t>
      </w:r>
    </w:p>
    <w:p w14:paraId="5924502D" w14:textId="7AE7FBB8" w:rsidR="00A43E46" w:rsidRPr="00AB3D26" w:rsidRDefault="00A43E46" w:rsidP="00A43E46">
      <w:pPr>
        <w:keepNext/>
        <w:spacing w:line="276" w:lineRule="auto"/>
        <w:jc w:val="both"/>
      </w:pPr>
      <w:r w:rsidRPr="00AB3D26">
        <w:rPr>
          <w:rFonts w:ascii="Times New Roman" w:hAnsi="Times New Roman" w:cs="Times New Roman"/>
          <w:sz w:val="24"/>
          <w:szCs w:val="24"/>
        </w:rPr>
        <w:t xml:space="preserve">V případě uzavřených smluv lze provádět pouze nepodstatné změny, tak jak jsou definovány v § 222 ZZVZ. Změny, které navyšují cenu veřejné zakázky (celkovou nebo jednotlivých dílčích položek), může </w:t>
      </w:r>
      <w:r w:rsidR="00134D57">
        <w:rPr>
          <w:rFonts w:ascii="Times New Roman" w:hAnsi="Times New Roman" w:cs="Times New Roman"/>
          <w:sz w:val="24"/>
          <w:szCs w:val="24"/>
        </w:rPr>
        <w:t xml:space="preserve">zadavatel </w:t>
      </w:r>
      <w:r w:rsidRPr="00AB3D26">
        <w:rPr>
          <w:rFonts w:ascii="Times New Roman" w:hAnsi="Times New Roman" w:cs="Times New Roman"/>
          <w:sz w:val="24"/>
          <w:szCs w:val="24"/>
        </w:rPr>
        <w:t>provést pouze tehdy, jestliže jsou naplněny podmínky pro jejich realizaci, které jsou stanoveny v § 222 ZZVZ.</w:t>
      </w:r>
    </w:p>
    <w:p w14:paraId="6124B021" w14:textId="0847B5BA" w:rsidR="00A43E46" w:rsidRPr="00AB3D26" w:rsidRDefault="00A43E46" w:rsidP="00A43E46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Dohoda o změně ceny musí tedy splňovat podmínky § 222 ZZVZ, tj. zadavatel nesmí umožnit podstatnou změnu závazku ze smlouvy bez provedení nového zadávacího řízení. A naopak </w:t>
      </w:r>
      <w:r w:rsidR="000A1845">
        <w:rPr>
          <w:rFonts w:ascii="Times New Roman" w:hAnsi="Times New Roman" w:cs="Times New Roman"/>
          <w:sz w:val="24"/>
          <w:szCs w:val="24"/>
        </w:rPr>
        <w:t xml:space="preserve">nepodstatné </w:t>
      </w:r>
      <w:r w:rsidRPr="00AB3D26">
        <w:rPr>
          <w:rFonts w:ascii="Times New Roman" w:hAnsi="Times New Roman" w:cs="Times New Roman"/>
          <w:sz w:val="24"/>
          <w:szCs w:val="24"/>
        </w:rPr>
        <w:t xml:space="preserve">změny umožněné v § 222 ZZVZ lze provést vždy, pokud jsou </w:t>
      </w:r>
      <w:r w:rsidR="000A1845">
        <w:rPr>
          <w:rFonts w:ascii="Times New Roman" w:hAnsi="Times New Roman" w:cs="Times New Roman"/>
          <w:sz w:val="24"/>
          <w:szCs w:val="24"/>
        </w:rPr>
        <w:t>na</w:t>
      </w:r>
      <w:r w:rsidRPr="00AB3D26">
        <w:rPr>
          <w:rFonts w:ascii="Times New Roman" w:hAnsi="Times New Roman" w:cs="Times New Roman"/>
          <w:sz w:val="24"/>
          <w:szCs w:val="24"/>
        </w:rPr>
        <w:t xml:space="preserve">plněny </w:t>
      </w:r>
      <w:r w:rsidR="000A1845">
        <w:rPr>
          <w:rFonts w:ascii="Times New Roman" w:hAnsi="Times New Roman" w:cs="Times New Roman"/>
          <w:sz w:val="24"/>
          <w:szCs w:val="24"/>
        </w:rPr>
        <w:t xml:space="preserve">zákonné </w:t>
      </w:r>
      <w:r w:rsidRPr="00AB3D26">
        <w:rPr>
          <w:rFonts w:ascii="Times New Roman" w:hAnsi="Times New Roman" w:cs="Times New Roman"/>
          <w:sz w:val="24"/>
          <w:szCs w:val="24"/>
        </w:rPr>
        <w:t>podmínky</w:t>
      </w:r>
      <w:r w:rsidR="000A1845">
        <w:rPr>
          <w:rFonts w:ascii="Times New Roman" w:hAnsi="Times New Roman" w:cs="Times New Roman"/>
          <w:sz w:val="24"/>
          <w:szCs w:val="24"/>
        </w:rPr>
        <w:t xml:space="preserve"> pro jejich umožnění</w:t>
      </w:r>
      <w:r w:rsidRPr="00AB3D26">
        <w:rPr>
          <w:rFonts w:ascii="Times New Roman" w:hAnsi="Times New Roman" w:cs="Times New Roman"/>
          <w:sz w:val="24"/>
          <w:szCs w:val="24"/>
        </w:rPr>
        <w:t xml:space="preserve"> uvedené v jednotlivých odstavcích § 222 ZZVZ. </w:t>
      </w:r>
    </w:p>
    <w:p w14:paraId="5785BD66" w14:textId="6ABE2AE9" w:rsidR="00A43E46" w:rsidRPr="00AB3D26" w:rsidRDefault="00A554A6" w:rsidP="00A43E46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3E46" w:rsidRPr="00AB3D26">
        <w:rPr>
          <w:rFonts w:ascii="Times New Roman" w:hAnsi="Times New Roman" w:cs="Times New Roman"/>
          <w:sz w:val="24"/>
          <w:szCs w:val="24"/>
        </w:rPr>
        <w:t>etodikou upraven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 kompenzace růstu cen stavebních materiálů realizovan</w:t>
      </w:r>
      <w:r w:rsidR="001B6160">
        <w:rPr>
          <w:rFonts w:ascii="Times New Roman" w:hAnsi="Times New Roman" w:cs="Times New Roman"/>
          <w:sz w:val="24"/>
          <w:szCs w:val="24"/>
        </w:rPr>
        <w:t>á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 na pokyn Ministerstva dopravy </w:t>
      </w:r>
      <w:r w:rsidR="00134D57">
        <w:rPr>
          <w:rFonts w:ascii="Times New Roman" w:hAnsi="Times New Roman" w:cs="Times New Roman"/>
          <w:sz w:val="24"/>
          <w:szCs w:val="24"/>
        </w:rPr>
        <w:t xml:space="preserve">ČR 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jednotlivým </w:t>
      </w:r>
      <w:r w:rsidR="00134D57">
        <w:rPr>
          <w:rFonts w:ascii="Times New Roman" w:hAnsi="Times New Roman" w:cs="Times New Roman"/>
          <w:sz w:val="24"/>
          <w:szCs w:val="24"/>
        </w:rPr>
        <w:t>z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adavatelům </w:t>
      </w:r>
      <w:r w:rsidR="001B6160">
        <w:rPr>
          <w:rFonts w:ascii="Times New Roman" w:hAnsi="Times New Roman" w:cs="Times New Roman"/>
          <w:sz w:val="24"/>
          <w:szCs w:val="24"/>
        </w:rPr>
        <w:t xml:space="preserve">bude poskytnuta formou </w:t>
      </w:r>
      <w:r w:rsidR="00A43E46" w:rsidRPr="00AB3D26">
        <w:rPr>
          <w:rFonts w:ascii="Times New Roman" w:hAnsi="Times New Roman" w:cs="Times New Roman"/>
          <w:sz w:val="24"/>
          <w:szCs w:val="24"/>
        </w:rPr>
        <w:t>změn</w:t>
      </w:r>
      <w:r w:rsidR="001B6160">
        <w:rPr>
          <w:rFonts w:ascii="Times New Roman" w:hAnsi="Times New Roman" w:cs="Times New Roman"/>
          <w:sz w:val="24"/>
          <w:szCs w:val="24"/>
        </w:rPr>
        <w:t>y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 závazku ze smlouvy</w:t>
      </w:r>
      <w:r w:rsid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v souladu s ustanoveními § 222 ZZVZ. </w:t>
      </w:r>
    </w:p>
    <w:p w14:paraId="1C733A09" w14:textId="1E52842B" w:rsidR="00A43E46" w:rsidRPr="00AB3D26" w:rsidRDefault="001C596B" w:rsidP="00A43E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úvahu připadá zejména podřazení prováděné změny pod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 § 222 odst. 4 ZZVZ</w:t>
      </w:r>
      <w:r>
        <w:rPr>
          <w:rFonts w:ascii="Times New Roman" w:hAnsi="Times New Roman" w:cs="Times New Roman"/>
          <w:sz w:val="24"/>
          <w:szCs w:val="24"/>
        </w:rPr>
        <w:t xml:space="preserve"> (tzv. změna </w:t>
      </w:r>
      <w:r>
        <w:rPr>
          <w:rFonts w:ascii="Times New Roman" w:hAnsi="Times New Roman" w:cs="Times New Roman"/>
          <w:i/>
          <w:sz w:val="24"/>
          <w:szCs w:val="24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3E46" w:rsidRPr="00AB3D26">
        <w:rPr>
          <w:rFonts w:ascii="Times New Roman" w:hAnsi="Times New Roman" w:cs="Times New Roman"/>
          <w:sz w:val="24"/>
          <w:szCs w:val="24"/>
        </w:rPr>
        <w:t>. U těchto změn zákon nereguluje důvod pro jejich použití, jsou však omezeny finančními limity. U veřejné zakázky na stavební práce, která není koncesí, musí být hodnota změny nižší než 15 % původní hodnoty závazku ze smlouvy a zároveň nižší než finanční limit pro nadlimitní veřejnou zakázku. Pokud</w:t>
      </w:r>
      <w:r w:rsidR="00134D57">
        <w:rPr>
          <w:rFonts w:ascii="Times New Roman" w:hAnsi="Times New Roman" w:cs="Times New Roman"/>
          <w:sz w:val="24"/>
          <w:szCs w:val="24"/>
        </w:rPr>
        <w:t xml:space="preserve">, stejně </w:t>
      </w:r>
      <w:r w:rsidR="00A43E46" w:rsidRPr="00AB3D26">
        <w:rPr>
          <w:rFonts w:ascii="Times New Roman" w:hAnsi="Times New Roman" w:cs="Times New Roman"/>
          <w:sz w:val="24"/>
          <w:szCs w:val="24"/>
        </w:rPr>
        <w:t>jako v daném případě</w:t>
      </w:r>
      <w:r w:rsidR="00134D57">
        <w:rPr>
          <w:rFonts w:ascii="Times New Roman" w:hAnsi="Times New Roman" w:cs="Times New Roman"/>
          <w:sz w:val="24"/>
          <w:szCs w:val="24"/>
        </w:rPr>
        <w:t>,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 dochází k pouhému navýšení cen jednotlivých položek, tj. bez toho, aniž by byly současně s navýšením ceny prováděny i nějaké další stavební práce či naopak některé práce by prováděny vůbec nebyly, lze mít za to, že je současně naplněna i další zákonná podmínka uvedená v § 222 odst. 4 ZZVZ, a sice</w:t>
      </w:r>
      <w:r w:rsidR="00A554A6">
        <w:rPr>
          <w:rFonts w:ascii="Times New Roman" w:hAnsi="Times New Roman" w:cs="Times New Roman"/>
          <w:sz w:val="24"/>
          <w:szCs w:val="24"/>
        </w:rPr>
        <w:t xml:space="preserve"> </w:t>
      </w:r>
      <w:r w:rsidR="00A43E46" w:rsidRPr="00AB3D26">
        <w:rPr>
          <w:rFonts w:ascii="Times New Roman" w:hAnsi="Times New Roman" w:cs="Times New Roman"/>
          <w:sz w:val="24"/>
          <w:szCs w:val="24"/>
        </w:rPr>
        <w:t>že nedochází ke změně celkové povahy veřejné zakázky.</w:t>
      </w:r>
    </w:p>
    <w:p w14:paraId="0B861B01" w14:textId="5EA5223D" w:rsidR="00A43E46" w:rsidRPr="00AB3D26" w:rsidRDefault="001C596B" w:rsidP="00A43E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lze uvažovat o využití</w:t>
      </w:r>
      <w:r w:rsidR="00A43E46" w:rsidRPr="00AB3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46" w:rsidRPr="00AB3D2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A43E46" w:rsidRPr="00AB3D26">
        <w:rPr>
          <w:rFonts w:ascii="Times New Roman" w:hAnsi="Times New Roman" w:cs="Times New Roman"/>
          <w:sz w:val="24"/>
          <w:szCs w:val="24"/>
        </w:rPr>
        <w:t>. § 222 odst. 6</w:t>
      </w:r>
      <w:r w:rsidR="00B74FF4">
        <w:rPr>
          <w:rFonts w:ascii="Times New Roman" w:hAnsi="Times New Roman" w:cs="Times New Roman"/>
          <w:sz w:val="24"/>
          <w:szCs w:val="24"/>
        </w:rPr>
        <w:t xml:space="preserve"> ZZVZ</w:t>
      </w:r>
      <w:r w:rsidR="00A43E46" w:rsidRPr="00AB3D26">
        <w:rPr>
          <w:rFonts w:ascii="Times New Roman" w:hAnsi="Times New Roman" w:cs="Times New Roman"/>
          <w:sz w:val="24"/>
          <w:szCs w:val="24"/>
        </w:rPr>
        <w:t>, dle kterého je za nepodstatnou změnu ze</w:t>
      </w:r>
      <w:r w:rsidR="00134D57">
        <w:rPr>
          <w:rFonts w:ascii="Times New Roman" w:hAnsi="Times New Roman" w:cs="Times New Roman"/>
          <w:sz w:val="24"/>
          <w:szCs w:val="24"/>
        </w:rPr>
        <w:t> </w:t>
      </w:r>
      <w:r w:rsidR="00A43E46" w:rsidRPr="00AB3D26">
        <w:rPr>
          <w:rFonts w:ascii="Times New Roman" w:hAnsi="Times New Roman" w:cs="Times New Roman"/>
          <w:sz w:val="24"/>
          <w:szCs w:val="24"/>
        </w:rPr>
        <w:t>smlouvy na veřejnou zakázku považována změna:</w:t>
      </w:r>
    </w:p>
    <w:p w14:paraId="32C69D87" w14:textId="77777777" w:rsidR="00A43E46" w:rsidRPr="00AB3D26" w:rsidRDefault="00A43E46" w:rsidP="00A43E46">
      <w:pPr>
        <w:numPr>
          <w:ilvl w:val="0"/>
          <w:numId w:val="29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jejíž potřeba vznikla v důsledku okolností, které zadavatel jednající s náležitou péčí nemohl předvídat</w:t>
      </w:r>
      <w:r w:rsidR="00CF6030" w:rsidRPr="00AB3D26">
        <w:rPr>
          <w:rFonts w:ascii="Times New Roman" w:hAnsi="Times New Roman" w:cs="Times New Roman"/>
          <w:sz w:val="24"/>
          <w:szCs w:val="24"/>
        </w:rPr>
        <w:t xml:space="preserve"> – jak již bylo uvedeno shora, excesivní a nepředvídatelný nárůst cen vybraných komodit, jsou okolnosti, které zadavatel jednající s náležitou péčí obecně nemohl předvídat; následky, které jsou v rámci posuzované změny závazku zkoumány, lze pak považovat za nepředvídatelné v příčinné souvislosti s těmito okolnostmi;</w:t>
      </w:r>
    </w:p>
    <w:p w14:paraId="0896054F" w14:textId="6692E6C9" w:rsidR="00A43E46" w:rsidRPr="00AB3D26" w:rsidRDefault="00A43E46" w:rsidP="00A43E46">
      <w:pPr>
        <w:numPr>
          <w:ilvl w:val="0"/>
          <w:numId w:val="29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lastRenderedPageBreak/>
        <w:t>nemění celkovou povahu veřejné zakázky</w:t>
      </w:r>
      <w:r w:rsidR="00A06D7F" w:rsidRPr="00AB3D26">
        <w:rPr>
          <w:rFonts w:ascii="Times New Roman" w:hAnsi="Times New Roman" w:cs="Times New Roman"/>
          <w:sz w:val="24"/>
          <w:szCs w:val="24"/>
        </w:rPr>
        <w:t xml:space="preserve"> – </w:t>
      </w:r>
      <w:r w:rsidR="00CF6030" w:rsidRPr="00AB3D26">
        <w:rPr>
          <w:rFonts w:ascii="Times New Roman" w:hAnsi="Times New Roman" w:cs="Times New Roman"/>
          <w:sz w:val="24"/>
          <w:szCs w:val="24"/>
        </w:rPr>
        <w:t>i zde platí, že p</w:t>
      </w:r>
      <w:r w:rsidRPr="00AB3D26">
        <w:rPr>
          <w:rFonts w:ascii="Times New Roman" w:hAnsi="Times New Roman" w:cs="Times New Roman"/>
          <w:sz w:val="24"/>
          <w:szCs w:val="24"/>
        </w:rPr>
        <w:t>okud v daném případě dochází k pouhému navýšení cen jednotlivých položek</w:t>
      </w:r>
      <w:r w:rsidR="00CF6030" w:rsidRPr="00AB3D26">
        <w:rPr>
          <w:rFonts w:ascii="Times New Roman" w:hAnsi="Times New Roman" w:cs="Times New Roman"/>
          <w:sz w:val="24"/>
          <w:szCs w:val="24"/>
        </w:rPr>
        <w:t>, lze mít za to, že je současně naplněna i tato zákonná podmínka;</w:t>
      </w:r>
      <w:r w:rsidR="00EA5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072AE" w14:textId="77777777" w:rsidR="00EA51DE" w:rsidRDefault="00EA51DE" w:rsidP="00C7720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66330" w14:textId="1747A4D5" w:rsidR="00953681" w:rsidRPr="00EA51DE" w:rsidRDefault="00EA51DE" w:rsidP="00EA51DE">
      <w:pPr>
        <w:pStyle w:val="Odstavecseseznamem"/>
        <w:keepNext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A43E46" w:rsidRPr="00EA51DE">
        <w:rPr>
          <w:rFonts w:ascii="Times New Roman" w:hAnsi="Times New Roman" w:cs="Times New Roman"/>
          <w:sz w:val="24"/>
          <w:szCs w:val="24"/>
        </w:rPr>
        <w:t xml:space="preserve">hodnota změny </w:t>
      </w:r>
      <w:proofErr w:type="gramStart"/>
      <w:r w:rsidR="00A43E46" w:rsidRPr="00EA51DE">
        <w:rPr>
          <w:rFonts w:ascii="Times New Roman" w:hAnsi="Times New Roman" w:cs="Times New Roman"/>
          <w:sz w:val="24"/>
          <w:szCs w:val="24"/>
        </w:rPr>
        <w:t>nepřekročí</w:t>
      </w:r>
      <w:proofErr w:type="gramEnd"/>
      <w:r w:rsidR="00A43E46" w:rsidRPr="00EA51DE">
        <w:rPr>
          <w:rFonts w:ascii="Times New Roman" w:hAnsi="Times New Roman" w:cs="Times New Roman"/>
          <w:sz w:val="24"/>
          <w:szCs w:val="24"/>
        </w:rPr>
        <w:t xml:space="preserve"> 50 % původní hodnoty závazku</w:t>
      </w:r>
      <w:r w:rsidR="00CF6030" w:rsidRPr="00EA51DE">
        <w:rPr>
          <w:rFonts w:ascii="Times New Roman" w:hAnsi="Times New Roman" w:cs="Times New Roman"/>
          <w:sz w:val="24"/>
          <w:szCs w:val="24"/>
        </w:rPr>
        <w:t xml:space="preserve"> – když tento zákonný limit bude třeba v každém individuálním případě přezkoumat, stejně jako související finanční limit dle </w:t>
      </w:r>
      <w:r w:rsidR="00A06D7F" w:rsidRPr="00EA51DE">
        <w:rPr>
          <w:rFonts w:ascii="Times New Roman" w:hAnsi="Times New Roman" w:cs="Times New Roman"/>
          <w:sz w:val="24"/>
          <w:szCs w:val="24"/>
        </w:rPr>
        <w:t>§ 222 odst. 9 ZZVZ.</w:t>
      </w:r>
      <w:r w:rsidR="00843666" w:rsidRPr="00EA51DE">
        <w:rPr>
          <w:rFonts w:ascii="Times New Roman" w:hAnsi="Times New Roman" w:cs="Times New Roman"/>
          <w:sz w:val="24"/>
          <w:szCs w:val="24"/>
        </w:rPr>
        <w:t xml:space="preserve"> </w:t>
      </w:r>
      <w:r w:rsidR="00CA06A3" w:rsidRPr="00EA51DE">
        <w:rPr>
          <w:rFonts w:ascii="Times New Roman" w:hAnsi="Times New Roman" w:cs="Times New Roman"/>
          <w:sz w:val="24"/>
          <w:szCs w:val="24"/>
        </w:rPr>
        <w:t>P</w:t>
      </w:r>
      <w:r w:rsidR="00C77201" w:rsidRPr="00EA51DE">
        <w:rPr>
          <w:rFonts w:ascii="Times New Roman" w:hAnsi="Times New Roman" w:cs="Times New Roman"/>
          <w:sz w:val="24"/>
          <w:szCs w:val="24"/>
        </w:rPr>
        <w:t xml:space="preserve">referovanou variantou administrace </w:t>
      </w:r>
      <w:r w:rsidR="00CA06A3" w:rsidRPr="00EA51DE">
        <w:rPr>
          <w:rFonts w:ascii="Times New Roman" w:hAnsi="Times New Roman" w:cs="Times New Roman"/>
          <w:sz w:val="24"/>
          <w:szCs w:val="24"/>
        </w:rPr>
        <w:t xml:space="preserve">v případě kontraktů dle smluvních podmínek FIDIC (červená, žlutá a zelená kniha) je </w:t>
      </w:r>
      <w:r w:rsidR="00C77201" w:rsidRPr="00EA51DE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CA06A3" w:rsidRPr="00EA51D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77201" w:rsidRPr="00EA51DE">
        <w:rPr>
          <w:rFonts w:ascii="Times New Roman" w:hAnsi="Times New Roman" w:cs="Times New Roman"/>
          <w:b/>
          <w:bCs/>
          <w:sz w:val="24"/>
          <w:szCs w:val="24"/>
        </w:rPr>
        <w:t>variace</w:t>
      </w:r>
      <w:r w:rsidR="00CA06A3" w:rsidRPr="00EA51DE">
        <w:rPr>
          <w:rFonts w:ascii="Times New Roman" w:hAnsi="Times New Roman" w:cs="Times New Roman"/>
          <w:sz w:val="24"/>
          <w:szCs w:val="24"/>
        </w:rPr>
        <w:t>;</w:t>
      </w:r>
      <w:r w:rsidR="00C77201" w:rsidRPr="00EA51DE">
        <w:rPr>
          <w:rFonts w:ascii="Times New Roman" w:hAnsi="Times New Roman" w:cs="Times New Roman"/>
          <w:sz w:val="24"/>
          <w:szCs w:val="24"/>
        </w:rPr>
        <w:t xml:space="preserve"> </w:t>
      </w:r>
      <w:r w:rsidR="00CA06A3" w:rsidRPr="00EA51DE">
        <w:rPr>
          <w:rFonts w:ascii="Times New Roman" w:hAnsi="Times New Roman" w:cs="Times New Roman"/>
          <w:sz w:val="24"/>
          <w:szCs w:val="24"/>
        </w:rPr>
        <w:t>případně</w:t>
      </w:r>
      <w:r w:rsidR="00C77201" w:rsidRPr="00EA51DE">
        <w:rPr>
          <w:rFonts w:ascii="Times New Roman" w:hAnsi="Times New Roman" w:cs="Times New Roman"/>
          <w:sz w:val="24"/>
          <w:szCs w:val="24"/>
        </w:rPr>
        <w:t xml:space="preserve"> obdobn</w:t>
      </w:r>
      <w:r w:rsidR="00CA06A3" w:rsidRPr="00EA51DE">
        <w:rPr>
          <w:rFonts w:ascii="Times New Roman" w:hAnsi="Times New Roman" w:cs="Times New Roman"/>
          <w:sz w:val="24"/>
          <w:szCs w:val="24"/>
        </w:rPr>
        <w:t>á</w:t>
      </w:r>
      <w:r w:rsidR="00C77201" w:rsidRPr="00EA51DE">
        <w:rPr>
          <w:rFonts w:ascii="Times New Roman" w:hAnsi="Times New Roman" w:cs="Times New Roman"/>
          <w:sz w:val="24"/>
          <w:szCs w:val="24"/>
        </w:rPr>
        <w:t xml:space="preserve"> form</w:t>
      </w:r>
      <w:r w:rsidR="00CA06A3" w:rsidRPr="00EA51DE">
        <w:rPr>
          <w:rFonts w:ascii="Times New Roman" w:hAnsi="Times New Roman" w:cs="Times New Roman"/>
          <w:sz w:val="24"/>
          <w:szCs w:val="24"/>
        </w:rPr>
        <w:t>a</w:t>
      </w:r>
      <w:r w:rsidR="00C77201" w:rsidRPr="00EA51DE">
        <w:rPr>
          <w:rFonts w:ascii="Times New Roman" w:hAnsi="Times New Roman" w:cs="Times New Roman"/>
          <w:sz w:val="24"/>
          <w:szCs w:val="24"/>
        </w:rPr>
        <w:t xml:space="preserve"> </w:t>
      </w:r>
      <w:r w:rsidR="00CA06A3" w:rsidRPr="00EA51DE">
        <w:rPr>
          <w:rFonts w:ascii="Times New Roman" w:hAnsi="Times New Roman" w:cs="Times New Roman"/>
          <w:sz w:val="24"/>
          <w:szCs w:val="24"/>
        </w:rPr>
        <w:t>v případě</w:t>
      </w:r>
      <w:r w:rsidR="00C77201" w:rsidRPr="00EA51DE">
        <w:rPr>
          <w:rFonts w:ascii="Times New Roman" w:hAnsi="Times New Roman" w:cs="Times New Roman"/>
          <w:sz w:val="24"/>
          <w:szCs w:val="24"/>
        </w:rPr>
        <w:t xml:space="preserve"> kontrakt</w:t>
      </w:r>
      <w:r w:rsidR="00CA06A3" w:rsidRPr="00EA51DE">
        <w:rPr>
          <w:rFonts w:ascii="Times New Roman" w:hAnsi="Times New Roman" w:cs="Times New Roman"/>
          <w:sz w:val="24"/>
          <w:szCs w:val="24"/>
        </w:rPr>
        <w:t>ů dle jiných smluvních podmínek</w:t>
      </w:r>
      <w:r w:rsidR="00C77201" w:rsidRPr="00EA51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8312E" w14:textId="001F55FB" w:rsidR="00C77201" w:rsidRPr="00AB3D26" w:rsidRDefault="00CA06A3" w:rsidP="00C7720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>V</w:t>
      </w:r>
      <w:r w:rsidR="00C77201" w:rsidRPr="00AB3D26">
        <w:rPr>
          <w:rFonts w:ascii="Times New Roman" w:hAnsi="Times New Roman" w:cs="Times New Roman"/>
          <w:sz w:val="24"/>
          <w:szCs w:val="24"/>
        </w:rPr>
        <w:t xml:space="preserve">ariace </w:t>
      </w:r>
      <w:r w:rsidRPr="00AB3D26">
        <w:rPr>
          <w:rFonts w:ascii="Times New Roman" w:hAnsi="Times New Roman" w:cs="Times New Roman"/>
          <w:sz w:val="24"/>
          <w:szCs w:val="24"/>
        </w:rPr>
        <w:t xml:space="preserve">by měla </w:t>
      </w:r>
      <w:r w:rsidR="00C77201" w:rsidRPr="00AB3D26">
        <w:rPr>
          <w:rFonts w:ascii="Times New Roman" w:hAnsi="Times New Roman" w:cs="Times New Roman"/>
          <w:sz w:val="24"/>
          <w:szCs w:val="24"/>
        </w:rPr>
        <w:t>b</w:t>
      </w:r>
      <w:r w:rsidRPr="00AB3D26">
        <w:rPr>
          <w:rFonts w:ascii="Times New Roman" w:hAnsi="Times New Roman" w:cs="Times New Roman"/>
          <w:sz w:val="24"/>
          <w:szCs w:val="24"/>
        </w:rPr>
        <w:t>ýt</w:t>
      </w:r>
      <w:r w:rsidR="00C77201" w:rsidRPr="00AB3D26">
        <w:rPr>
          <w:rFonts w:ascii="Times New Roman" w:hAnsi="Times New Roman" w:cs="Times New Roman"/>
          <w:sz w:val="24"/>
          <w:szCs w:val="24"/>
        </w:rPr>
        <w:t xml:space="preserve"> administrována jako</w:t>
      </w:r>
      <w:r w:rsidR="00133132" w:rsidRPr="00AB3D26">
        <w:t xml:space="preserve"> </w:t>
      </w:r>
      <w:r w:rsidR="00133132" w:rsidRPr="00AB3D26">
        <w:rPr>
          <w:rFonts w:ascii="Times New Roman" w:hAnsi="Times New Roman" w:cs="Times New Roman"/>
          <w:sz w:val="24"/>
          <w:szCs w:val="24"/>
        </w:rPr>
        <w:t xml:space="preserve">nepředvídatelná okolnost ve smyslu </w:t>
      </w:r>
      <w:proofErr w:type="spellStart"/>
      <w:r w:rsidR="00133132" w:rsidRPr="00AB3D2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33132" w:rsidRPr="00AB3D26">
        <w:rPr>
          <w:rFonts w:ascii="Times New Roman" w:hAnsi="Times New Roman" w:cs="Times New Roman"/>
          <w:sz w:val="24"/>
          <w:szCs w:val="24"/>
        </w:rPr>
        <w:t>. § 222 odst. 6 ZZVZ nebo jako</w:t>
      </w:r>
      <w:r w:rsidR="00C77201" w:rsidRPr="00AB3D26">
        <w:rPr>
          <w:rFonts w:ascii="Times New Roman" w:hAnsi="Times New Roman" w:cs="Times New Roman"/>
          <w:sz w:val="24"/>
          <w:szCs w:val="24"/>
        </w:rPr>
        <w:t xml:space="preserve"> změna závazku </w:t>
      </w:r>
      <w:r w:rsidR="00C77201" w:rsidRPr="00AB3D2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AB3D26">
        <w:rPr>
          <w:rFonts w:ascii="Times New Roman" w:hAnsi="Times New Roman" w:cs="Times New Roman"/>
          <w:sz w:val="24"/>
          <w:szCs w:val="24"/>
        </w:rPr>
        <w:t xml:space="preserve"> ve smyslu </w:t>
      </w:r>
      <w:proofErr w:type="spellStart"/>
      <w:r w:rsidRPr="00AB3D2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B3D26">
        <w:rPr>
          <w:rFonts w:ascii="Times New Roman" w:hAnsi="Times New Roman" w:cs="Times New Roman"/>
          <w:sz w:val="24"/>
          <w:szCs w:val="24"/>
        </w:rPr>
        <w:t>. § 222 odst. 4 ZZVZ</w:t>
      </w:r>
      <w:r w:rsidR="00C77201" w:rsidRPr="00AB3D26">
        <w:rPr>
          <w:rFonts w:ascii="Times New Roman" w:hAnsi="Times New Roman" w:cs="Times New Roman"/>
          <w:sz w:val="24"/>
          <w:szCs w:val="24"/>
        </w:rPr>
        <w:t>,</w:t>
      </w:r>
      <w:r w:rsidR="00664F08" w:rsidRPr="00AB3D26">
        <w:rPr>
          <w:rFonts w:ascii="Times New Roman" w:hAnsi="Times New Roman" w:cs="Times New Roman"/>
          <w:sz w:val="24"/>
          <w:szCs w:val="24"/>
        </w:rPr>
        <w:t xml:space="preserve"> případně jako nepodstatná změna dle § 222 odst. 3 ZZVZ</w:t>
      </w:r>
      <w:r w:rsidR="00C77201" w:rsidRPr="00AB3D26">
        <w:rPr>
          <w:rFonts w:ascii="Times New Roman" w:hAnsi="Times New Roman" w:cs="Times New Roman"/>
          <w:sz w:val="24"/>
          <w:szCs w:val="24"/>
        </w:rPr>
        <w:t>.</w:t>
      </w:r>
      <w:r w:rsidR="000E4D89" w:rsidRPr="00AB3D26">
        <w:t xml:space="preserve"> </w:t>
      </w:r>
      <w:r w:rsidR="000E4D89" w:rsidRPr="00AB3D26">
        <w:rPr>
          <w:rFonts w:ascii="Times New Roman" w:hAnsi="Times New Roman" w:cs="Times New Roman"/>
          <w:sz w:val="24"/>
          <w:szCs w:val="24"/>
        </w:rPr>
        <w:t>Kompenzace bude uhrazena jako část smluvní ceny na základě vyúčtování zhotovitele.</w:t>
      </w:r>
    </w:p>
    <w:p w14:paraId="47F39E95" w14:textId="5C6E9A02" w:rsidR="00C77201" w:rsidRPr="00AB3D26" w:rsidRDefault="00C77201" w:rsidP="00C7720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hAnsi="Times New Roman" w:cs="Times New Roman"/>
          <w:sz w:val="24"/>
          <w:szCs w:val="24"/>
        </w:rPr>
        <w:t xml:space="preserve">Proplácení </w:t>
      </w:r>
      <w:r w:rsidR="00CA06A3" w:rsidRPr="00AB3D26">
        <w:rPr>
          <w:rFonts w:ascii="Times New Roman" w:hAnsi="Times New Roman" w:cs="Times New Roman"/>
          <w:sz w:val="24"/>
          <w:szCs w:val="24"/>
        </w:rPr>
        <w:t>kompenzace dle této metodiky</w:t>
      </w:r>
      <w:r w:rsidRPr="00AB3D26">
        <w:rPr>
          <w:rFonts w:ascii="Times New Roman" w:hAnsi="Times New Roman" w:cs="Times New Roman"/>
          <w:sz w:val="24"/>
          <w:szCs w:val="24"/>
        </w:rPr>
        <w:t xml:space="preserve"> bude </w:t>
      </w:r>
      <w:r w:rsidR="00CA06A3" w:rsidRPr="00AB3D26">
        <w:rPr>
          <w:rFonts w:ascii="Times New Roman" w:hAnsi="Times New Roman" w:cs="Times New Roman"/>
          <w:sz w:val="24"/>
          <w:szCs w:val="24"/>
        </w:rPr>
        <w:t>za účelem zjednodušení</w:t>
      </w:r>
      <w:r w:rsidRPr="00AB3D26">
        <w:rPr>
          <w:rFonts w:ascii="Times New Roman" w:hAnsi="Times New Roman" w:cs="Times New Roman"/>
          <w:sz w:val="24"/>
          <w:szCs w:val="24"/>
        </w:rPr>
        <w:t xml:space="preserve"> administrace</w:t>
      </w:r>
      <w:r w:rsidR="00CA06A3" w:rsidRPr="00AB3D26">
        <w:rPr>
          <w:rFonts w:ascii="Times New Roman" w:hAnsi="Times New Roman" w:cs="Times New Roman"/>
          <w:sz w:val="24"/>
          <w:szCs w:val="24"/>
        </w:rPr>
        <w:t xml:space="preserve"> a</w:t>
      </w:r>
      <w:r w:rsidR="00EA51DE">
        <w:rPr>
          <w:rFonts w:ascii="Times New Roman" w:hAnsi="Times New Roman" w:cs="Times New Roman"/>
          <w:sz w:val="24"/>
          <w:szCs w:val="24"/>
        </w:rPr>
        <w:t> </w:t>
      </w:r>
      <w:r w:rsidR="00742127" w:rsidRPr="00AB3D26">
        <w:rPr>
          <w:rFonts w:ascii="Times New Roman" w:hAnsi="Times New Roman" w:cs="Times New Roman"/>
          <w:sz w:val="24"/>
          <w:szCs w:val="24"/>
        </w:rPr>
        <w:t>za</w:t>
      </w:r>
      <w:r w:rsidR="00EA51DE">
        <w:rPr>
          <w:rFonts w:ascii="Times New Roman" w:hAnsi="Times New Roman" w:cs="Times New Roman"/>
          <w:sz w:val="24"/>
          <w:szCs w:val="24"/>
        </w:rPr>
        <w:t> </w:t>
      </w:r>
      <w:r w:rsidR="00742127" w:rsidRPr="00AB3D26">
        <w:rPr>
          <w:rFonts w:ascii="Times New Roman" w:hAnsi="Times New Roman" w:cs="Times New Roman"/>
          <w:sz w:val="24"/>
          <w:szCs w:val="24"/>
        </w:rPr>
        <w:t xml:space="preserve">účelem </w:t>
      </w:r>
      <w:r w:rsidR="00CA06A3" w:rsidRPr="00AB3D26">
        <w:rPr>
          <w:rFonts w:ascii="Times New Roman" w:hAnsi="Times New Roman" w:cs="Times New Roman"/>
          <w:sz w:val="24"/>
          <w:szCs w:val="24"/>
        </w:rPr>
        <w:t>zajištění</w:t>
      </w:r>
      <w:r w:rsidR="00742127" w:rsidRPr="00AB3D26">
        <w:rPr>
          <w:rFonts w:ascii="Times New Roman" w:hAnsi="Times New Roman" w:cs="Times New Roman"/>
          <w:sz w:val="24"/>
          <w:szCs w:val="24"/>
        </w:rPr>
        <w:t xml:space="preserve"> započitatelnosti případných poklesů ceny</w:t>
      </w:r>
      <w:r w:rsidR="00CA31AD" w:rsidRPr="00AB3D26">
        <w:rPr>
          <w:rFonts w:ascii="Times New Roman" w:hAnsi="Times New Roman" w:cs="Times New Roman"/>
          <w:sz w:val="24"/>
          <w:szCs w:val="24"/>
        </w:rPr>
        <w:t xml:space="preserve"> kompenzovaných skupin materiálů</w:t>
      </w:r>
      <w:r w:rsidRPr="00AB3D26">
        <w:rPr>
          <w:rFonts w:ascii="Times New Roman" w:hAnsi="Times New Roman" w:cs="Times New Roman"/>
          <w:sz w:val="24"/>
          <w:szCs w:val="24"/>
        </w:rPr>
        <w:t xml:space="preserve"> probíhat </w:t>
      </w:r>
      <w:r w:rsidR="00742127" w:rsidRPr="00AB3D26">
        <w:rPr>
          <w:rFonts w:ascii="Times New Roman" w:hAnsi="Times New Roman" w:cs="Times New Roman"/>
          <w:sz w:val="24"/>
          <w:szCs w:val="24"/>
        </w:rPr>
        <w:t xml:space="preserve">vždy </w:t>
      </w:r>
      <w:r w:rsidRPr="00AB3D26">
        <w:rPr>
          <w:rFonts w:ascii="Times New Roman" w:hAnsi="Times New Roman" w:cs="Times New Roman"/>
          <w:b/>
          <w:bCs/>
          <w:sz w:val="24"/>
          <w:szCs w:val="24"/>
        </w:rPr>
        <w:t>jednou ročně za předchozí kalendářní rok</w:t>
      </w:r>
      <w:r w:rsidR="00CA31AD" w:rsidRPr="00AB3D26">
        <w:rPr>
          <w:rFonts w:ascii="Times New Roman" w:hAnsi="Times New Roman" w:cs="Times New Roman"/>
          <w:sz w:val="24"/>
          <w:szCs w:val="24"/>
        </w:rPr>
        <w:t>, a to nejpozději do konce měsíce dubna roku následující</w:t>
      </w:r>
      <w:r w:rsidR="00502E3B">
        <w:rPr>
          <w:rFonts w:ascii="Times New Roman" w:hAnsi="Times New Roman" w:cs="Times New Roman"/>
          <w:sz w:val="24"/>
          <w:szCs w:val="24"/>
        </w:rPr>
        <w:t>ho</w:t>
      </w:r>
      <w:r w:rsidR="00CA31AD" w:rsidRPr="00AB3D26">
        <w:rPr>
          <w:rFonts w:ascii="Times New Roman" w:hAnsi="Times New Roman" w:cs="Times New Roman"/>
          <w:sz w:val="24"/>
          <w:szCs w:val="24"/>
        </w:rPr>
        <w:t xml:space="preserve"> po roce, za který je kompenzace poskytována.</w:t>
      </w:r>
      <w:r w:rsidR="000E4D89" w:rsidRPr="00AB3D26">
        <w:rPr>
          <w:rFonts w:ascii="Times New Roman" w:hAnsi="Times New Roman" w:cs="Times New Roman"/>
          <w:sz w:val="24"/>
          <w:szCs w:val="24"/>
        </w:rPr>
        <w:t xml:space="preserve"> </w:t>
      </w:r>
      <w:r w:rsidR="000E4D89" w:rsidRPr="00AB3D26">
        <w:rPr>
          <w:rFonts w:ascii="Times New Roman" w:hAnsi="Times New Roman" w:cs="Times New Roman"/>
          <w:b/>
          <w:bCs/>
          <w:sz w:val="24"/>
          <w:szCs w:val="24"/>
        </w:rPr>
        <w:t>Lhůta pro</w:t>
      </w:r>
      <w:r w:rsidR="00EA51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E4D89" w:rsidRPr="00AB3D26">
        <w:rPr>
          <w:rFonts w:ascii="Times New Roman" w:hAnsi="Times New Roman" w:cs="Times New Roman"/>
          <w:b/>
          <w:bCs/>
          <w:sz w:val="24"/>
          <w:szCs w:val="24"/>
        </w:rPr>
        <w:t>doložení podkladů</w:t>
      </w:r>
      <w:r w:rsidR="000E4D89" w:rsidRPr="00AB3D26">
        <w:rPr>
          <w:rFonts w:ascii="Times New Roman" w:hAnsi="Times New Roman" w:cs="Times New Roman"/>
          <w:sz w:val="24"/>
          <w:szCs w:val="24"/>
        </w:rPr>
        <w:t xml:space="preserve"> pro poskytnutí kompenzace je stanovena do konce měsíce března roku následující po roce, za který je kompenzace poskytována; nedohodnou-li se </w:t>
      </w:r>
      <w:r w:rsidR="00EA51DE">
        <w:rPr>
          <w:rFonts w:ascii="Times New Roman" w:hAnsi="Times New Roman" w:cs="Times New Roman"/>
          <w:sz w:val="24"/>
          <w:szCs w:val="24"/>
        </w:rPr>
        <w:t>z</w:t>
      </w:r>
      <w:r w:rsidR="000E4D89" w:rsidRPr="00AB3D26">
        <w:rPr>
          <w:rFonts w:ascii="Times New Roman" w:hAnsi="Times New Roman" w:cs="Times New Roman"/>
          <w:sz w:val="24"/>
          <w:szCs w:val="24"/>
        </w:rPr>
        <w:t>adavatel a</w:t>
      </w:r>
      <w:r w:rsidR="00EA51DE">
        <w:rPr>
          <w:rFonts w:ascii="Times New Roman" w:hAnsi="Times New Roman" w:cs="Times New Roman"/>
          <w:sz w:val="24"/>
          <w:szCs w:val="24"/>
        </w:rPr>
        <w:t> </w:t>
      </w:r>
      <w:r w:rsidR="000E4D89" w:rsidRPr="00AB3D26">
        <w:rPr>
          <w:rFonts w:ascii="Times New Roman" w:hAnsi="Times New Roman" w:cs="Times New Roman"/>
          <w:sz w:val="24"/>
          <w:szCs w:val="24"/>
        </w:rPr>
        <w:t>příslušný zhotovitel jinak.</w:t>
      </w:r>
    </w:p>
    <w:p w14:paraId="6817910B" w14:textId="77777777" w:rsidR="002729FF" w:rsidRPr="00AB3D26" w:rsidRDefault="00E60C44" w:rsidP="00E60C44">
      <w:pPr>
        <w:spacing w:before="4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Vztah k jiným nárokům zhotovitele</w:t>
      </w:r>
    </w:p>
    <w:p w14:paraId="5BADA857" w14:textId="7DCABAC1" w:rsidR="005F14BC" w:rsidRDefault="00A95CB5" w:rsidP="005F14B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B5">
        <w:rPr>
          <w:rFonts w:ascii="Times New Roman" w:hAnsi="Times New Roman" w:cs="Times New Roman"/>
          <w:sz w:val="24"/>
          <w:szCs w:val="24"/>
        </w:rPr>
        <w:t>Kompenzace poskytnutá zadavatelem na základě této metodiky je úplnou kompenzací nákladů, které příslušnému zhotoviteli vůči zadavateli vznikly v souvislosti s realizací konkrétní veřejné zakázky v období a z důvodů, na které lze tuto metodiku vztáhnout a možnému dopadu těchto okolností na konkrétní smlouvu s ním. V případě, že příslušný zhotovitel bude dále uplatňovat po zadavateli tyto náklady nad rámec kompenzace dle této metodiky, resp. neučiní v tomto smyslu vůči zadavateli potřebná prohlášení, nebude mu kompenzace dle této metodiky zadavatelem poskytnuta.</w:t>
      </w:r>
    </w:p>
    <w:sectPr w:rsidR="005F14B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EA95" w14:textId="77777777" w:rsidR="00C60486" w:rsidRDefault="00C60486" w:rsidP="006F77D9">
      <w:pPr>
        <w:spacing w:after="0" w:line="240" w:lineRule="auto"/>
      </w:pPr>
      <w:r>
        <w:separator/>
      </w:r>
    </w:p>
  </w:endnote>
  <w:endnote w:type="continuationSeparator" w:id="0">
    <w:p w14:paraId="202263E8" w14:textId="77777777" w:rsidR="00C60486" w:rsidRDefault="00C60486" w:rsidP="006F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2629654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B68EF7D" w14:textId="2C0242D9" w:rsidR="003377F6" w:rsidRPr="006F77D9" w:rsidRDefault="003377F6">
            <w:pPr>
              <w:pStyle w:val="Zp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D9">
              <w:rPr>
                <w:rFonts w:ascii="Times New Roman" w:hAnsi="Times New Roman" w:cs="Times New Roman"/>
                <w:sz w:val="24"/>
                <w:szCs w:val="24"/>
              </w:rPr>
              <w:t xml:space="preserve">Stránka </w:t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F0F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F77D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F0F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</w:t>
            </w:r>
            <w:r w:rsidRPr="006F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84D6D" w14:textId="77777777" w:rsidR="003377F6" w:rsidRDefault="00337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6E50" w14:textId="77777777" w:rsidR="00C60486" w:rsidRDefault="00C60486" w:rsidP="006F77D9">
      <w:pPr>
        <w:spacing w:after="0" w:line="240" w:lineRule="auto"/>
      </w:pPr>
      <w:r>
        <w:separator/>
      </w:r>
    </w:p>
  </w:footnote>
  <w:footnote w:type="continuationSeparator" w:id="0">
    <w:p w14:paraId="70FED325" w14:textId="77777777" w:rsidR="00C60486" w:rsidRDefault="00C60486" w:rsidP="006F77D9">
      <w:pPr>
        <w:spacing w:after="0" w:line="240" w:lineRule="auto"/>
      </w:pPr>
      <w:r>
        <w:continuationSeparator/>
      </w:r>
    </w:p>
  </w:footnote>
  <w:footnote w:id="1">
    <w:p w14:paraId="1AB65DAB" w14:textId="0F38B5D9" w:rsidR="0026672D" w:rsidRDefault="0026672D" w:rsidP="00E16ED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Obvyklá cena je definována dvěma zákony, zákonem č. 526/1990 Sb., o cenách, a zákonem č. 151/1997 Sb., o</w:t>
      </w:r>
      <w:r w:rsidR="00C47A8F">
        <w:t> </w:t>
      </w:r>
      <w:r>
        <w:t>oceňování majetku a o změně některých zákonů (zákon o oceňování). Obvyklá cena definovaná zákonem o</w:t>
      </w:r>
      <w:r w:rsidR="00C47A8F">
        <w:t> </w:t>
      </w:r>
      <w:r>
        <w:t>oceňování majetku by se měla určit statistickým vyhodnocením již realizovaných srovnatelných staveb (historických cen), viz „Komentář k určování obvyklé ceny”, který publikovalo MF ČR. Obvyklá cena se určuje výhradně porovnáním jako statistické vyhodnocení nejčastěji se vyskytujícího prvku v dané množině skutečně realizovaných cen stejného, popřípadě obdobného majetku nebo při poskytování stejné nebo obdobné služby v</w:t>
      </w:r>
      <w:r w:rsidR="00E16EDC">
        <w:t> </w:t>
      </w:r>
      <w:r>
        <w:t xml:space="preserve">obvyklém obchodním styku v tuzemsku ke dni ocenění s vyloučením mimořádných okolností trhu. Množina prvků je stanovena z historických cen za přiměřený časový úsek. Do statistického vyhodnocení obvyklé ceny nesmějí vstupovat ceny, ve kterých jsou obsaženy mimořádné okolnosti trhu. Obvyklá cena se v praxi stanovuje analýzou, porovnáním a je středním mediánem Gaussovy křivky četnosti statistického vyhodnocení výskytu jednotlivých případů. Cena obvyklá se určuje z počtu případů malého rozmezí, ve kterém se nejčastěji vyskytuje stejná či skoro stejná cena, dosažená při realizaci stejného či obdobného majetku, nebo služby v obvyklém obchodním styku v tuzemsku ke dni ocenění. Porovnávací metoda pro odhad obvyklé ceny je využitelná pouze pro kvalitativní určení ceny, nikoli pro její exaktní určení kvantitativní. </w:t>
      </w:r>
      <w:r w:rsidRPr="0026672D">
        <w:t>V případě, že neexistuje statistický soubor skutečně realizovaných cen obdobné stavební činnosti, využívá se pro určení obvyklé ceny ustanovení §</w:t>
      </w:r>
      <w:r>
        <w:t> </w:t>
      </w:r>
      <w:r w:rsidRPr="0026672D">
        <w:t>2 zákona o cenách, zákona č. 526/1990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6DD"/>
    <w:multiLevelType w:val="hybridMultilevel"/>
    <w:tmpl w:val="18C476BA"/>
    <w:lvl w:ilvl="0" w:tplc="0405000F">
      <w:start w:val="1"/>
      <w:numFmt w:val="decimal"/>
      <w:lvlText w:val="%1."/>
      <w:lvlJc w:val="left"/>
      <w:pPr>
        <w:ind w:left="1038" w:hanging="360"/>
      </w:pPr>
    </w:lvl>
    <w:lvl w:ilvl="1" w:tplc="04050019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476429B"/>
    <w:multiLevelType w:val="hybridMultilevel"/>
    <w:tmpl w:val="2CAE86C2"/>
    <w:lvl w:ilvl="0" w:tplc="4A40D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8D0"/>
    <w:multiLevelType w:val="hybridMultilevel"/>
    <w:tmpl w:val="B1B629EA"/>
    <w:lvl w:ilvl="0" w:tplc="63F42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0E60"/>
    <w:multiLevelType w:val="hybridMultilevel"/>
    <w:tmpl w:val="AC46885A"/>
    <w:lvl w:ilvl="0" w:tplc="2876AA88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0062C9"/>
    <w:multiLevelType w:val="hybridMultilevel"/>
    <w:tmpl w:val="DCECC86E"/>
    <w:lvl w:ilvl="0" w:tplc="3710E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9EA"/>
    <w:multiLevelType w:val="hybridMultilevel"/>
    <w:tmpl w:val="23944EA8"/>
    <w:lvl w:ilvl="0" w:tplc="CE2CFE3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2638"/>
    <w:multiLevelType w:val="hybridMultilevel"/>
    <w:tmpl w:val="E33861F2"/>
    <w:lvl w:ilvl="0" w:tplc="FFFFFFFF">
      <w:start w:val="1"/>
      <w:numFmt w:val="decimal"/>
      <w:lvlText w:val="%1."/>
      <w:lvlJc w:val="left"/>
      <w:pPr>
        <w:ind w:left="1038" w:hanging="360"/>
      </w:pPr>
    </w:lvl>
    <w:lvl w:ilvl="1" w:tplc="FFFFFFFF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2658" w:hanging="36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101A57FB"/>
    <w:multiLevelType w:val="hybridMultilevel"/>
    <w:tmpl w:val="FA426548"/>
    <w:lvl w:ilvl="0" w:tplc="86E45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060E"/>
    <w:multiLevelType w:val="hybridMultilevel"/>
    <w:tmpl w:val="CBF2A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0F94"/>
    <w:multiLevelType w:val="hybridMultilevel"/>
    <w:tmpl w:val="82965472"/>
    <w:lvl w:ilvl="0" w:tplc="E342DE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46D7"/>
    <w:multiLevelType w:val="hybridMultilevel"/>
    <w:tmpl w:val="116EE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1035D"/>
    <w:multiLevelType w:val="hybridMultilevel"/>
    <w:tmpl w:val="197603BA"/>
    <w:lvl w:ilvl="0" w:tplc="FEFEF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69C5"/>
    <w:multiLevelType w:val="hybridMultilevel"/>
    <w:tmpl w:val="B3BA9244"/>
    <w:lvl w:ilvl="0" w:tplc="04050017">
      <w:start w:val="1"/>
      <w:numFmt w:val="lowerLetter"/>
      <w:lvlText w:val="%1)"/>
      <w:lvlJc w:val="left"/>
      <w:pPr>
        <w:ind w:left="1038" w:hanging="360"/>
      </w:pPr>
    </w:lvl>
    <w:lvl w:ilvl="1" w:tplc="04050019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1F7B62D9"/>
    <w:multiLevelType w:val="hybridMultilevel"/>
    <w:tmpl w:val="40EE57B4"/>
    <w:lvl w:ilvl="0" w:tplc="E7C64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25B9"/>
    <w:multiLevelType w:val="hybridMultilevel"/>
    <w:tmpl w:val="D2AA6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62CA"/>
    <w:multiLevelType w:val="hybridMultilevel"/>
    <w:tmpl w:val="5C361558"/>
    <w:lvl w:ilvl="0" w:tplc="CE2CFE3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616B"/>
    <w:multiLevelType w:val="hybridMultilevel"/>
    <w:tmpl w:val="11ECE4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D72BB"/>
    <w:multiLevelType w:val="hybridMultilevel"/>
    <w:tmpl w:val="17A69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D633E"/>
    <w:multiLevelType w:val="hybridMultilevel"/>
    <w:tmpl w:val="80A81E68"/>
    <w:lvl w:ilvl="0" w:tplc="0405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 w15:restartNumberingAfterBreak="0">
    <w:nsid w:val="2E4D0191"/>
    <w:multiLevelType w:val="hybridMultilevel"/>
    <w:tmpl w:val="88E8A8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0666910"/>
    <w:multiLevelType w:val="hybridMultilevel"/>
    <w:tmpl w:val="ABF6A43E"/>
    <w:lvl w:ilvl="0" w:tplc="1A929A22">
      <w:start w:val="5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13312"/>
    <w:multiLevelType w:val="hybridMultilevel"/>
    <w:tmpl w:val="C656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33D01"/>
    <w:multiLevelType w:val="hybridMultilevel"/>
    <w:tmpl w:val="3AE4B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A3FF4"/>
    <w:multiLevelType w:val="hybridMultilevel"/>
    <w:tmpl w:val="71789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56DF7"/>
    <w:multiLevelType w:val="hybridMultilevel"/>
    <w:tmpl w:val="D7B0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127E4"/>
    <w:multiLevelType w:val="hybridMultilevel"/>
    <w:tmpl w:val="17A69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21588"/>
    <w:multiLevelType w:val="hybridMultilevel"/>
    <w:tmpl w:val="76866718"/>
    <w:lvl w:ilvl="0" w:tplc="EB8E5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172C7"/>
    <w:multiLevelType w:val="hybridMultilevel"/>
    <w:tmpl w:val="C656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D437D"/>
    <w:multiLevelType w:val="hybridMultilevel"/>
    <w:tmpl w:val="B7269A00"/>
    <w:lvl w:ilvl="0" w:tplc="3710E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F5336"/>
    <w:multiLevelType w:val="hybridMultilevel"/>
    <w:tmpl w:val="6CF22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9334A"/>
    <w:multiLevelType w:val="hybridMultilevel"/>
    <w:tmpl w:val="C8DE8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37205">
    <w:abstractNumId w:val="4"/>
  </w:num>
  <w:num w:numId="2" w16cid:durableId="1582563826">
    <w:abstractNumId w:val="3"/>
  </w:num>
  <w:num w:numId="3" w16cid:durableId="1697343757">
    <w:abstractNumId w:val="14"/>
  </w:num>
  <w:num w:numId="4" w16cid:durableId="491065079">
    <w:abstractNumId w:val="23"/>
  </w:num>
  <w:num w:numId="5" w16cid:durableId="35393498">
    <w:abstractNumId w:val="15"/>
  </w:num>
  <w:num w:numId="6" w16cid:durableId="207843534">
    <w:abstractNumId w:val="5"/>
  </w:num>
  <w:num w:numId="7" w16cid:durableId="857230931">
    <w:abstractNumId w:val="25"/>
  </w:num>
  <w:num w:numId="8" w16cid:durableId="937372340">
    <w:abstractNumId w:val="27"/>
  </w:num>
  <w:num w:numId="9" w16cid:durableId="1230339459">
    <w:abstractNumId w:val="26"/>
  </w:num>
  <w:num w:numId="10" w16cid:durableId="421416763">
    <w:abstractNumId w:val="21"/>
  </w:num>
  <w:num w:numId="11" w16cid:durableId="306209429">
    <w:abstractNumId w:val="16"/>
  </w:num>
  <w:num w:numId="12" w16cid:durableId="869417045">
    <w:abstractNumId w:val="8"/>
  </w:num>
  <w:num w:numId="13" w16cid:durableId="512764452">
    <w:abstractNumId w:val="17"/>
  </w:num>
  <w:num w:numId="14" w16cid:durableId="1852909042">
    <w:abstractNumId w:val="7"/>
  </w:num>
  <w:num w:numId="15" w16cid:durableId="288779235">
    <w:abstractNumId w:val="0"/>
  </w:num>
  <w:num w:numId="16" w16cid:durableId="1019309422">
    <w:abstractNumId w:val="18"/>
  </w:num>
  <w:num w:numId="17" w16cid:durableId="699402063">
    <w:abstractNumId w:val="6"/>
  </w:num>
  <w:num w:numId="18" w16cid:durableId="1781609258">
    <w:abstractNumId w:val="12"/>
  </w:num>
  <w:num w:numId="19" w16cid:durableId="1596787586">
    <w:abstractNumId w:val="1"/>
  </w:num>
  <w:num w:numId="20" w16cid:durableId="2040470860">
    <w:abstractNumId w:val="9"/>
  </w:num>
  <w:num w:numId="21" w16cid:durableId="527256494">
    <w:abstractNumId w:val="2"/>
  </w:num>
  <w:num w:numId="22" w16cid:durableId="720444795">
    <w:abstractNumId w:val="20"/>
  </w:num>
  <w:num w:numId="23" w16cid:durableId="1920555253">
    <w:abstractNumId w:val="30"/>
  </w:num>
  <w:num w:numId="24" w16cid:durableId="842429026">
    <w:abstractNumId w:val="13"/>
  </w:num>
  <w:num w:numId="25" w16cid:durableId="148788791">
    <w:abstractNumId w:val="30"/>
  </w:num>
  <w:num w:numId="26" w16cid:durableId="1387804154">
    <w:abstractNumId w:val="28"/>
  </w:num>
  <w:num w:numId="27" w16cid:durableId="1016272565">
    <w:abstractNumId w:val="22"/>
  </w:num>
  <w:num w:numId="28" w16cid:durableId="116224989">
    <w:abstractNumId w:val="24"/>
  </w:num>
  <w:num w:numId="29" w16cid:durableId="1632055920">
    <w:abstractNumId w:val="10"/>
  </w:num>
  <w:num w:numId="30" w16cid:durableId="831219429">
    <w:abstractNumId w:val="29"/>
  </w:num>
  <w:num w:numId="31" w16cid:durableId="1481996027">
    <w:abstractNumId w:val="11"/>
  </w:num>
  <w:num w:numId="32" w16cid:durableId="11303165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98"/>
    <w:rsid w:val="00000FE5"/>
    <w:rsid w:val="0000102E"/>
    <w:rsid w:val="00001382"/>
    <w:rsid w:val="00001B36"/>
    <w:rsid w:val="0000292C"/>
    <w:rsid w:val="0001286A"/>
    <w:rsid w:val="00013434"/>
    <w:rsid w:val="00014B85"/>
    <w:rsid w:val="00024214"/>
    <w:rsid w:val="00025CC7"/>
    <w:rsid w:val="00026894"/>
    <w:rsid w:val="00026E04"/>
    <w:rsid w:val="000328BD"/>
    <w:rsid w:val="00032B3D"/>
    <w:rsid w:val="00036A79"/>
    <w:rsid w:val="0004225F"/>
    <w:rsid w:val="000422CC"/>
    <w:rsid w:val="00043100"/>
    <w:rsid w:val="00043B08"/>
    <w:rsid w:val="0004556F"/>
    <w:rsid w:val="000501AE"/>
    <w:rsid w:val="00050743"/>
    <w:rsid w:val="00051B1B"/>
    <w:rsid w:val="00053924"/>
    <w:rsid w:val="00061AA5"/>
    <w:rsid w:val="00062A34"/>
    <w:rsid w:val="00062CC0"/>
    <w:rsid w:val="00062E34"/>
    <w:rsid w:val="0006627A"/>
    <w:rsid w:val="00072FE2"/>
    <w:rsid w:val="00073BAF"/>
    <w:rsid w:val="000765A0"/>
    <w:rsid w:val="00083851"/>
    <w:rsid w:val="000840C0"/>
    <w:rsid w:val="00092059"/>
    <w:rsid w:val="000956DF"/>
    <w:rsid w:val="000A1845"/>
    <w:rsid w:val="000A1FE5"/>
    <w:rsid w:val="000A6947"/>
    <w:rsid w:val="000B6E6B"/>
    <w:rsid w:val="000C2CF6"/>
    <w:rsid w:val="000C3CC8"/>
    <w:rsid w:val="000C6FFC"/>
    <w:rsid w:val="000D3DC4"/>
    <w:rsid w:val="000D638C"/>
    <w:rsid w:val="000E36DE"/>
    <w:rsid w:val="000E4D89"/>
    <w:rsid w:val="000E558F"/>
    <w:rsid w:val="000F5286"/>
    <w:rsid w:val="000F76C1"/>
    <w:rsid w:val="00101563"/>
    <w:rsid w:val="00103C26"/>
    <w:rsid w:val="001058B7"/>
    <w:rsid w:val="00111FA6"/>
    <w:rsid w:val="001120F6"/>
    <w:rsid w:val="00116592"/>
    <w:rsid w:val="001173B3"/>
    <w:rsid w:val="00124B07"/>
    <w:rsid w:val="00124E58"/>
    <w:rsid w:val="00132A3E"/>
    <w:rsid w:val="00133132"/>
    <w:rsid w:val="00134D57"/>
    <w:rsid w:val="00135B73"/>
    <w:rsid w:val="001500A6"/>
    <w:rsid w:val="00152879"/>
    <w:rsid w:val="00154B64"/>
    <w:rsid w:val="00162D26"/>
    <w:rsid w:val="00167F10"/>
    <w:rsid w:val="00192F82"/>
    <w:rsid w:val="00193D11"/>
    <w:rsid w:val="001968BD"/>
    <w:rsid w:val="001B3A71"/>
    <w:rsid w:val="001B6160"/>
    <w:rsid w:val="001C3F92"/>
    <w:rsid w:val="001C4998"/>
    <w:rsid w:val="001C596B"/>
    <w:rsid w:val="001D7954"/>
    <w:rsid w:val="001F03AA"/>
    <w:rsid w:val="001F14A1"/>
    <w:rsid w:val="001F34E1"/>
    <w:rsid w:val="001F4FD0"/>
    <w:rsid w:val="001F5C52"/>
    <w:rsid w:val="001F5EC6"/>
    <w:rsid w:val="002032A5"/>
    <w:rsid w:val="00214DDF"/>
    <w:rsid w:val="00216FD5"/>
    <w:rsid w:val="0022164C"/>
    <w:rsid w:val="002301C8"/>
    <w:rsid w:val="002316CC"/>
    <w:rsid w:val="002402A7"/>
    <w:rsid w:val="00242C19"/>
    <w:rsid w:val="00243544"/>
    <w:rsid w:val="00245367"/>
    <w:rsid w:val="00252A58"/>
    <w:rsid w:val="00252BD7"/>
    <w:rsid w:val="00254317"/>
    <w:rsid w:val="00261F16"/>
    <w:rsid w:val="00262EC4"/>
    <w:rsid w:val="0026672D"/>
    <w:rsid w:val="002729FF"/>
    <w:rsid w:val="0027621F"/>
    <w:rsid w:val="00284AFC"/>
    <w:rsid w:val="00286ACC"/>
    <w:rsid w:val="0029029F"/>
    <w:rsid w:val="0029196D"/>
    <w:rsid w:val="00291D4A"/>
    <w:rsid w:val="00292CB9"/>
    <w:rsid w:val="0029487A"/>
    <w:rsid w:val="00296405"/>
    <w:rsid w:val="002A13EE"/>
    <w:rsid w:val="002A31AB"/>
    <w:rsid w:val="002A6DC4"/>
    <w:rsid w:val="002B11F2"/>
    <w:rsid w:val="002B1C72"/>
    <w:rsid w:val="002B595D"/>
    <w:rsid w:val="002C2100"/>
    <w:rsid w:val="002C71B3"/>
    <w:rsid w:val="002D0261"/>
    <w:rsid w:val="002D0A95"/>
    <w:rsid w:val="002D609C"/>
    <w:rsid w:val="002E02AC"/>
    <w:rsid w:val="002E3716"/>
    <w:rsid w:val="002E56D0"/>
    <w:rsid w:val="002F3A4C"/>
    <w:rsid w:val="002F7F8A"/>
    <w:rsid w:val="003047A0"/>
    <w:rsid w:val="00304D4F"/>
    <w:rsid w:val="00311721"/>
    <w:rsid w:val="00315E62"/>
    <w:rsid w:val="003205F5"/>
    <w:rsid w:val="0033086A"/>
    <w:rsid w:val="003330A8"/>
    <w:rsid w:val="0033359D"/>
    <w:rsid w:val="00334EC0"/>
    <w:rsid w:val="00335753"/>
    <w:rsid w:val="003377F6"/>
    <w:rsid w:val="00340B5F"/>
    <w:rsid w:val="00344F3F"/>
    <w:rsid w:val="003554EE"/>
    <w:rsid w:val="00356E59"/>
    <w:rsid w:val="00357AE1"/>
    <w:rsid w:val="00357CD5"/>
    <w:rsid w:val="003604CE"/>
    <w:rsid w:val="003609D2"/>
    <w:rsid w:val="0036475A"/>
    <w:rsid w:val="00364A1D"/>
    <w:rsid w:val="00364D36"/>
    <w:rsid w:val="0039089C"/>
    <w:rsid w:val="00391ED2"/>
    <w:rsid w:val="003A44CE"/>
    <w:rsid w:val="003A5D37"/>
    <w:rsid w:val="003A669F"/>
    <w:rsid w:val="003B027C"/>
    <w:rsid w:val="003E6B9E"/>
    <w:rsid w:val="003E7A6E"/>
    <w:rsid w:val="0040013D"/>
    <w:rsid w:val="00400814"/>
    <w:rsid w:val="00400BA8"/>
    <w:rsid w:val="00401A54"/>
    <w:rsid w:val="00402802"/>
    <w:rsid w:val="00407A5F"/>
    <w:rsid w:val="004136A3"/>
    <w:rsid w:val="00413A31"/>
    <w:rsid w:val="00415508"/>
    <w:rsid w:val="00417486"/>
    <w:rsid w:val="00421904"/>
    <w:rsid w:val="004246C1"/>
    <w:rsid w:val="00425C64"/>
    <w:rsid w:val="00433706"/>
    <w:rsid w:val="00435872"/>
    <w:rsid w:val="004372DF"/>
    <w:rsid w:val="0044698E"/>
    <w:rsid w:val="00452D62"/>
    <w:rsid w:val="0045464B"/>
    <w:rsid w:val="004565B9"/>
    <w:rsid w:val="00471E2F"/>
    <w:rsid w:val="004721A7"/>
    <w:rsid w:val="004864A9"/>
    <w:rsid w:val="004909E0"/>
    <w:rsid w:val="00494192"/>
    <w:rsid w:val="004A5853"/>
    <w:rsid w:val="004A6F69"/>
    <w:rsid w:val="004B2C68"/>
    <w:rsid w:val="004B4A95"/>
    <w:rsid w:val="004B5006"/>
    <w:rsid w:val="004C1773"/>
    <w:rsid w:val="004C394A"/>
    <w:rsid w:val="004D2A29"/>
    <w:rsid w:val="004D442D"/>
    <w:rsid w:val="004D5214"/>
    <w:rsid w:val="004D555C"/>
    <w:rsid w:val="004D5D33"/>
    <w:rsid w:val="004E23AD"/>
    <w:rsid w:val="004E7FCA"/>
    <w:rsid w:val="004F0655"/>
    <w:rsid w:val="004F1DE8"/>
    <w:rsid w:val="004F729A"/>
    <w:rsid w:val="00502E3B"/>
    <w:rsid w:val="00505BFB"/>
    <w:rsid w:val="005104E4"/>
    <w:rsid w:val="00521D69"/>
    <w:rsid w:val="0052428D"/>
    <w:rsid w:val="00526060"/>
    <w:rsid w:val="0053153E"/>
    <w:rsid w:val="00537691"/>
    <w:rsid w:val="005429AF"/>
    <w:rsid w:val="00543FDC"/>
    <w:rsid w:val="005475DD"/>
    <w:rsid w:val="0055639D"/>
    <w:rsid w:val="00556B1E"/>
    <w:rsid w:val="00563042"/>
    <w:rsid w:val="00564317"/>
    <w:rsid w:val="00564D99"/>
    <w:rsid w:val="005651C0"/>
    <w:rsid w:val="00565D68"/>
    <w:rsid w:val="00574457"/>
    <w:rsid w:val="00583302"/>
    <w:rsid w:val="00584858"/>
    <w:rsid w:val="00584C9A"/>
    <w:rsid w:val="00585ACD"/>
    <w:rsid w:val="005871CA"/>
    <w:rsid w:val="005A0A3D"/>
    <w:rsid w:val="005A5ECD"/>
    <w:rsid w:val="005A621E"/>
    <w:rsid w:val="005B689C"/>
    <w:rsid w:val="005C4366"/>
    <w:rsid w:val="005C542E"/>
    <w:rsid w:val="005D53CA"/>
    <w:rsid w:val="005E088D"/>
    <w:rsid w:val="005E251E"/>
    <w:rsid w:val="005F0315"/>
    <w:rsid w:val="005F08AE"/>
    <w:rsid w:val="005F14BC"/>
    <w:rsid w:val="005F51A6"/>
    <w:rsid w:val="005F76CE"/>
    <w:rsid w:val="00600783"/>
    <w:rsid w:val="006018F0"/>
    <w:rsid w:val="006124A4"/>
    <w:rsid w:val="00613429"/>
    <w:rsid w:val="0061687C"/>
    <w:rsid w:val="00617E2E"/>
    <w:rsid w:val="00624EF7"/>
    <w:rsid w:val="00626102"/>
    <w:rsid w:val="00626857"/>
    <w:rsid w:val="006312EE"/>
    <w:rsid w:val="006318C7"/>
    <w:rsid w:val="00632A41"/>
    <w:rsid w:val="006343EF"/>
    <w:rsid w:val="006352EA"/>
    <w:rsid w:val="00637828"/>
    <w:rsid w:val="0064604A"/>
    <w:rsid w:val="00653BF6"/>
    <w:rsid w:val="00657C6D"/>
    <w:rsid w:val="00661E9C"/>
    <w:rsid w:val="006640E7"/>
    <w:rsid w:val="00664F08"/>
    <w:rsid w:val="006679D9"/>
    <w:rsid w:val="00672ACC"/>
    <w:rsid w:val="00673F54"/>
    <w:rsid w:val="00680497"/>
    <w:rsid w:val="006805A1"/>
    <w:rsid w:val="00681591"/>
    <w:rsid w:val="006930D7"/>
    <w:rsid w:val="00694545"/>
    <w:rsid w:val="00694D6D"/>
    <w:rsid w:val="00694EA4"/>
    <w:rsid w:val="006A6A4A"/>
    <w:rsid w:val="006B52A8"/>
    <w:rsid w:val="006B7D0B"/>
    <w:rsid w:val="006C0664"/>
    <w:rsid w:val="006C4DB8"/>
    <w:rsid w:val="006D01AD"/>
    <w:rsid w:val="006D065D"/>
    <w:rsid w:val="006D6A47"/>
    <w:rsid w:val="006E1BA4"/>
    <w:rsid w:val="006E4332"/>
    <w:rsid w:val="006F065F"/>
    <w:rsid w:val="006F1D43"/>
    <w:rsid w:val="006F42AB"/>
    <w:rsid w:val="006F4451"/>
    <w:rsid w:val="006F687C"/>
    <w:rsid w:val="006F77D9"/>
    <w:rsid w:val="00704436"/>
    <w:rsid w:val="007076F8"/>
    <w:rsid w:val="00710094"/>
    <w:rsid w:val="00716654"/>
    <w:rsid w:val="007250BB"/>
    <w:rsid w:val="0072743C"/>
    <w:rsid w:val="00732AE8"/>
    <w:rsid w:val="007357B2"/>
    <w:rsid w:val="00742127"/>
    <w:rsid w:val="0074340F"/>
    <w:rsid w:val="00746D22"/>
    <w:rsid w:val="00746FCD"/>
    <w:rsid w:val="007471C3"/>
    <w:rsid w:val="0074740C"/>
    <w:rsid w:val="007516C0"/>
    <w:rsid w:val="00757C4D"/>
    <w:rsid w:val="00761D2C"/>
    <w:rsid w:val="007622BC"/>
    <w:rsid w:val="007636BE"/>
    <w:rsid w:val="0077500A"/>
    <w:rsid w:val="0078149A"/>
    <w:rsid w:val="00782C97"/>
    <w:rsid w:val="0078695E"/>
    <w:rsid w:val="0078699F"/>
    <w:rsid w:val="007913B9"/>
    <w:rsid w:val="00792F9A"/>
    <w:rsid w:val="0079331F"/>
    <w:rsid w:val="00795CCB"/>
    <w:rsid w:val="007A0767"/>
    <w:rsid w:val="007A0B55"/>
    <w:rsid w:val="007A0C76"/>
    <w:rsid w:val="007A2BE3"/>
    <w:rsid w:val="007A4CD3"/>
    <w:rsid w:val="007C16D2"/>
    <w:rsid w:val="007C1A08"/>
    <w:rsid w:val="007C2F9B"/>
    <w:rsid w:val="007D0081"/>
    <w:rsid w:val="007D55F9"/>
    <w:rsid w:val="007D6FD4"/>
    <w:rsid w:val="007E286E"/>
    <w:rsid w:val="007E3907"/>
    <w:rsid w:val="007F35B0"/>
    <w:rsid w:val="007F64ED"/>
    <w:rsid w:val="007F7BD5"/>
    <w:rsid w:val="00800B09"/>
    <w:rsid w:val="00803872"/>
    <w:rsid w:val="0080665E"/>
    <w:rsid w:val="00810382"/>
    <w:rsid w:val="00816071"/>
    <w:rsid w:val="00820354"/>
    <w:rsid w:val="0082192C"/>
    <w:rsid w:val="00823338"/>
    <w:rsid w:val="0083181C"/>
    <w:rsid w:val="008329A7"/>
    <w:rsid w:val="00833A6C"/>
    <w:rsid w:val="0083749D"/>
    <w:rsid w:val="00843666"/>
    <w:rsid w:val="00845E9D"/>
    <w:rsid w:val="00850198"/>
    <w:rsid w:val="0086339F"/>
    <w:rsid w:val="00865CD1"/>
    <w:rsid w:val="008727D5"/>
    <w:rsid w:val="00872B1E"/>
    <w:rsid w:val="0087765E"/>
    <w:rsid w:val="0088071C"/>
    <w:rsid w:val="00880C66"/>
    <w:rsid w:val="00882A3E"/>
    <w:rsid w:val="00883DB1"/>
    <w:rsid w:val="00895975"/>
    <w:rsid w:val="0089707D"/>
    <w:rsid w:val="008A18C5"/>
    <w:rsid w:val="008A1ECA"/>
    <w:rsid w:val="008A229C"/>
    <w:rsid w:val="008A43D9"/>
    <w:rsid w:val="008A5F23"/>
    <w:rsid w:val="008B52F5"/>
    <w:rsid w:val="008C170F"/>
    <w:rsid w:val="008C5264"/>
    <w:rsid w:val="008C61DB"/>
    <w:rsid w:val="008C7A3E"/>
    <w:rsid w:val="008D06F7"/>
    <w:rsid w:val="008D279B"/>
    <w:rsid w:val="008D7F53"/>
    <w:rsid w:val="008E20C6"/>
    <w:rsid w:val="008E31BF"/>
    <w:rsid w:val="008F384B"/>
    <w:rsid w:val="008F7154"/>
    <w:rsid w:val="00901911"/>
    <w:rsid w:val="00901E7F"/>
    <w:rsid w:val="0090324D"/>
    <w:rsid w:val="0090554C"/>
    <w:rsid w:val="00916B19"/>
    <w:rsid w:val="00917F4C"/>
    <w:rsid w:val="00920EDF"/>
    <w:rsid w:val="00921018"/>
    <w:rsid w:val="009213CA"/>
    <w:rsid w:val="009232BB"/>
    <w:rsid w:val="00924DB9"/>
    <w:rsid w:val="00924FCF"/>
    <w:rsid w:val="009262FD"/>
    <w:rsid w:val="00926722"/>
    <w:rsid w:val="0093188F"/>
    <w:rsid w:val="00933CA8"/>
    <w:rsid w:val="00934B57"/>
    <w:rsid w:val="00935B45"/>
    <w:rsid w:val="0094188A"/>
    <w:rsid w:val="0094222A"/>
    <w:rsid w:val="00942888"/>
    <w:rsid w:val="00942B0C"/>
    <w:rsid w:val="00943A03"/>
    <w:rsid w:val="009500AA"/>
    <w:rsid w:val="00952FD2"/>
    <w:rsid w:val="00953681"/>
    <w:rsid w:val="0096224B"/>
    <w:rsid w:val="00966316"/>
    <w:rsid w:val="00967689"/>
    <w:rsid w:val="009727C9"/>
    <w:rsid w:val="009770DA"/>
    <w:rsid w:val="00984928"/>
    <w:rsid w:val="00993A70"/>
    <w:rsid w:val="00997E52"/>
    <w:rsid w:val="009A1DD1"/>
    <w:rsid w:val="009A3FFA"/>
    <w:rsid w:val="009A4091"/>
    <w:rsid w:val="009A4FD6"/>
    <w:rsid w:val="009B340C"/>
    <w:rsid w:val="009B56FE"/>
    <w:rsid w:val="009B58DD"/>
    <w:rsid w:val="009C3C3C"/>
    <w:rsid w:val="009D0EFD"/>
    <w:rsid w:val="009D20D8"/>
    <w:rsid w:val="009D3F13"/>
    <w:rsid w:val="009E094D"/>
    <w:rsid w:val="009E0BD5"/>
    <w:rsid w:val="009E1F20"/>
    <w:rsid w:val="009F0F45"/>
    <w:rsid w:val="00A001F1"/>
    <w:rsid w:val="00A06D7F"/>
    <w:rsid w:val="00A07D6A"/>
    <w:rsid w:val="00A105B1"/>
    <w:rsid w:val="00A10A70"/>
    <w:rsid w:val="00A11FD2"/>
    <w:rsid w:val="00A12E70"/>
    <w:rsid w:val="00A1402B"/>
    <w:rsid w:val="00A143CC"/>
    <w:rsid w:val="00A169A2"/>
    <w:rsid w:val="00A16AAA"/>
    <w:rsid w:val="00A22B8F"/>
    <w:rsid w:val="00A30EF6"/>
    <w:rsid w:val="00A31A23"/>
    <w:rsid w:val="00A33D71"/>
    <w:rsid w:val="00A409C9"/>
    <w:rsid w:val="00A43D30"/>
    <w:rsid w:val="00A43E46"/>
    <w:rsid w:val="00A444AA"/>
    <w:rsid w:val="00A52508"/>
    <w:rsid w:val="00A554A6"/>
    <w:rsid w:val="00A56714"/>
    <w:rsid w:val="00A60C3D"/>
    <w:rsid w:val="00A95CB5"/>
    <w:rsid w:val="00AB2090"/>
    <w:rsid w:val="00AB215F"/>
    <w:rsid w:val="00AB3D26"/>
    <w:rsid w:val="00AC2F21"/>
    <w:rsid w:val="00AC3448"/>
    <w:rsid w:val="00AC55DB"/>
    <w:rsid w:val="00AC7671"/>
    <w:rsid w:val="00AD182F"/>
    <w:rsid w:val="00AD283B"/>
    <w:rsid w:val="00AD2A34"/>
    <w:rsid w:val="00AD352A"/>
    <w:rsid w:val="00AD7A0E"/>
    <w:rsid w:val="00AE2540"/>
    <w:rsid w:val="00AE718D"/>
    <w:rsid w:val="00AF15F1"/>
    <w:rsid w:val="00AF4E03"/>
    <w:rsid w:val="00AF65F1"/>
    <w:rsid w:val="00B0368D"/>
    <w:rsid w:val="00B05C4C"/>
    <w:rsid w:val="00B05D53"/>
    <w:rsid w:val="00B12515"/>
    <w:rsid w:val="00B12A0A"/>
    <w:rsid w:val="00B153FC"/>
    <w:rsid w:val="00B15719"/>
    <w:rsid w:val="00B26C8B"/>
    <w:rsid w:val="00B27D7A"/>
    <w:rsid w:val="00B353BE"/>
    <w:rsid w:val="00B36B8C"/>
    <w:rsid w:val="00B42E37"/>
    <w:rsid w:val="00B44548"/>
    <w:rsid w:val="00B46E56"/>
    <w:rsid w:val="00B46FCB"/>
    <w:rsid w:val="00B478CA"/>
    <w:rsid w:val="00B52645"/>
    <w:rsid w:val="00B61E5C"/>
    <w:rsid w:val="00B65609"/>
    <w:rsid w:val="00B72251"/>
    <w:rsid w:val="00B72BE8"/>
    <w:rsid w:val="00B74FF4"/>
    <w:rsid w:val="00B75508"/>
    <w:rsid w:val="00B804AA"/>
    <w:rsid w:val="00B836DF"/>
    <w:rsid w:val="00B87FB6"/>
    <w:rsid w:val="00BA35A6"/>
    <w:rsid w:val="00BB2D14"/>
    <w:rsid w:val="00BB538D"/>
    <w:rsid w:val="00BC4030"/>
    <w:rsid w:val="00BC524A"/>
    <w:rsid w:val="00BE0083"/>
    <w:rsid w:val="00BE3810"/>
    <w:rsid w:val="00BE3CE7"/>
    <w:rsid w:val="00BE50F5"/>
    <w:rsid w:val="00BE6537"/>
    <w:rsid w:val="00BF5263"/>
    <w:rsid w:val="00BF7793"/>
    <w:rsid w:val="00C01A9F"/>
    <w:rsid w:val="00C02484"/>
    <w:rsid w:val="00C1274D"/>
    <w:rsid w:val="00C21BF7"/>
    <w:rsid w:val="00C27185"/>
    <w:rsid w:val="00C27D0B"/>
    <w:rsid w:val="00C347B8"/>
    <w:rsid w:val="00C34EA7"/>
    <w:rsid w:val="00C407B6"/>
    <w:rsid w:val="00C434C3"/>
    <w:rsid w:val="00C43F9B"/>
    <w:rsid w:val="00C453C1"/>
    <w:rsid w:val="00C47A8F"/>
    <w:rsid w:val="00C47C75"/>
    <w:rsid w:val="00C53749"/>
    <w:rsid w:val="00C60150"/>
    <w:rsid w:val="00C60486"/>
    <w:rsid w:val="00C62B01"/>
    <w:rsid w:val="00C634AA"/>
    <w:rsid w:val="00C66A28"/>
    <w:rsid w:val="00C70350"/>
    <w:rsid w:val="00C7249C"/>
    <w:rsid w:val="00C7553A"/>
    <w:rsid w:val="00C76B61"/>
    <w:rsid w:val="00C77201"/>
    <w:rsid w:val="00C810D6"/>
    <w:rsid w:val="00C81DB8"/>
    <w:rsid w:val="00C8249B"/>
    <w:rsid w:val="00C87D8B"/>
    <w:rsid w:val="00C9021A"/>
    <w:rsid w:val="00C91B83"/>
    <w:rsid w:val="00C969F3"/>
    <w:rsid w:val="00CA06A3"/>
    <w:rsid w:val="00CA2FF3"/>
    <w:rsid w:val="00CA31AD"/>
    <w:rsid w:val="00CA42D2"/>
    <w:rsid w:val="00CA5C3A"/>
    <w:rsid w:val="00CA7581"/>
    <w:rsid w:val="00CA77BE"/>
    <w:rsid w:val="00CB0293"/>
    <w:rsid w:val="00CB1483"/>
    <w:rsid w:val="00CB17DD"/>
    <w:rsid w:val="00CB504C"/>
    <w:rsid w:val="00CB5918"/>
    <w:rsid w:val="00CC26BC"/>
    <w:rsid w:val="00CC3A4E"/>
    <w:rsid w:val="00CC7968"/>
    <w:rsid w:val="00CC7C50"/>
    <w:rsid w:val="00CD565F"/>
    <w:rsid w:val="00CF1891"/>
    <w:rsid w:val="00CF1D83"/>
    <w:rsid w:val="00CF4583"/>
    <w:rsid w:val="00CF564D"/>
    <w:rsid w:val="00CF5D64"/>
    <w:rsid w:val="00CF6030"/>
    <w:rsid w:val="00D057C1"/>
    <w:rsid w:val="00D12524"/>
    <w:rsid w:val="00D14622"/>
    <w:rsid w:val="00D149CA"/>
    <w:rsid w:val="00D26D01"/>
    <w:rsid w:val="00D33834"/>
    <w:rsid w:val="00D372CB"/>
    <w:rsid w:val="00D372F3"/>
    <w:rsid w:val="00D414BB"/>
    <w:rsid w:val="00D51D66"/>
    <w:rsid w:val="00D5540A"/>
    <w:rsid w:val="00D56083"/>
    <w:rsid w:val="00D7031A"/>
    <w:rsid w:val="00D7314A"/>
    <w:rsid w:val="00D815BE"/>
    <w:rsid w:val="00D91608"/>
    <w:rsid w:val="00D97CBF"/>
    <w:rsid w:val="00DA0772"/>
    <w:rsid w:val="00DA536A"/>
    <w:rsid w:val="00DC30A1"/>
    <w:rsid w:val="00DC47D8"/>
    <w:rsid w:val="00DC7692"/>
    <w:rsid w:val="00DD0697"/>
    <w:rsid w:val="00DD1AED"/>
    <w:rsid w:val="00DD3950"/>
    <w:rsid w:val="00DD3C14"/>
    <w:rsid w:val="00DD4C5E"/>
    <w:rsid w:val="00DD5295"/>
    <w:rsid w:val="00DD5540"/>
    <w:rsid w:val="00DD628E"/>
    <w:rsid w:val="00DD6D3B"/>
    <w:rsid w:val="00DE6503"/>
    <w:rsid w:val="00DF6442"/>
    <w:rsid w:val="00E02743"/>
    <w:rsid w:val="00E108D1"/>
    <w:rsid w:val="00E11D57"/>
    <w:rsid w:val="00E13091"/>
    <w:rsid w:val="00E14721"/>
    <w:rsid w:val="00E14C2F"/>
    <w:rsid w:val="00E16EDC"/>
    <w:rsid w:val="00E21335"/>
    <w:rsid w:val="00E22766"/>
    <w:rsid w:val="00E2297E"/>
    <w:rsid w:val="00E258C2"/>
    <w:rsid w:val="00E33F56"/>
    <w:rsid w:val="00E4190B"/>
    <w:rsid w:val="00E42168"/>
    <w:rsid w:val="00E461CA"/>
    <w:rsid w:val="00E478F7"/>
    <w:rsid w:val="00E519B0"/>
    <w:rsid w:val="00E52407"/>
    <w:rsid w:val="00E54E50"/>
    <w:rsid w:val="00E55428"/>
    <w:rsid w:val="00E56019"/>
    <w:rsid w:val="00E570BC"/>
    <w:rsid w:val="00E60C44"/>
    <w:rsid w:val="00E67581"/>
    <w:rsid w:val="00E67E94"/>
    <w:rsid w:val="00E71FFD"/>
    <w:rsid w:val="00E74383"/>
    <w:rsid w:val="00E95389"/>
    <w:rsid w:val="00E95616"/>
    <w:rsid w:val="00E96F58"/>
    <w:rsid w:val="00E97DE9"/>
    <w:rsid w:val="00EA2757"/>
    <w:rsid w:val="00EA32FF"/>
    <w:rsid w:val="00EA3829"/>
    <w:rsid w:val="00EA51DE"/>
    <w:rsid w:val="00EA7EBB"/>
    <w:rsid w:val="00EA7F3D"/>
    <w:rsid w:val="00EB3B09"/>
    <w:rsid w:val="00EC1E04"/>
    <w:rsid w:val="00EC6540"/>
    <w:rsid w:val="00EC780D"/>
    <w:rsid w:val="00ED11A8"/>
    <w:rsid w:val="00ED2C52"/>
    <w:rsid w:val="00EE1763"/>
    <w:rsid w:val="00EE17AE"/>
    <w:rsid w:val="00EE1D87"/>
    <w:rsid w:val="00EE30F2"/>
    <w:rsid w:val="00EE3D10"/>
    <w:rsid w:val="00EE424C"/>
    <w:rsid w:val="00EF3BED"/>
    <w:rsid w:val="00EF64A9"/>
    <w:rsid w:val="00F04E3D"/>
    <w:rsid w:val="00F059D3"/>
    <w:rsid w:val="00F112A5"/>
    <w:rsid w:val="00F172F7"/>
    <w:rsid w:val="00F17A4D"/>
    <w:rsid w:val="00F21EF9"/>
    <w:rsid w:val="00F25CCB"/>
    <w:rsid w:val="00F44281"/>
    <w:rsid w:val="00F46933"/>
    <w:rsid w:val="00F4737E"/>
    <w:rsid w:val="00F57AE0"/>
    <w:rsid w:val="00F645F1"/>
    <w:rsid w:val="00F67647"/>
    <w:rsid w:val="00F72AA3"/>
    <w:rsid w:val="00F768D6"/>
    <w:rsid w:val="00F770E9"/>
    <w:rsid w:val="00F775B8"/>
    <w:rsid w:val="00F802C6"/>
    <w:rsid w:val="00F83DCB"/>
    <w:rsid w:val="00F86AD1"/>
    <w:rsid w:val="00F86B2C"/>
    <w:rsid w:val="00F879E9"/>
    <w:rsid w:val="00F9434B"/>
    <w:rsid w:val="00FB1303"/>
    <w:rsid w:val="00FC442B"/>
    <w:rsid w:val="00FC4F22"/>
    <w:rsid w:val="00FD2735"/>
    <w:rsid w:val="00FD39AC"/>
    <w:rsid w:val="00FD41F1"/>
    <w:rsid w:val="00FD4FB7"/>
    <w:rsid w:val="00FD5365"/>
    <w:rsid w:val="00FE04D0"/>
    <w:rsid w:val="00FE2A4A"/>
    <w:rsid w:val="00FF37EC"/>
    <w:rsid w:val="00FF55C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54E4"/>
  <w15:chartTrackingRefBased/>
  <w15:docId w15:val="{605453BC-92B7-442B-B620-52297D81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1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198"/>
    <w:pPr>
      <w:ind w:left="720"/>
      <w:contextualSpacing/>
    </w:pPr>
  </w:style>
  <w:style w:type="paragraph" w:styleId="Bezmezer">
    <w:name w:val="No Spacing"/>
    <w:uiPriority w:val="1"/>
    <w:qFormat/>
    <w:rsid w:val="00850198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43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3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3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35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5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782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7D9"/>
  </w:style>
  <w:style w:type="paragraph" w:styleId="Zpat">
    <w:name w:val="footer"/>
    <w:basedOn w:val="Normln"/>
    <w:link w:val="ZpatChar"/>
    <w:uiPriority w:val="99"/>
    <w:unhideWhenUsed/>
    <w:rsid w:val="006F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7D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2A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2A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2A34"/>
    <w:rPr>
      <w:vertAlign w:val="superscript"/>
    </w:rPr>
  </w:style>
  <w:style w:type="paragraph" w:customStyle="1" w:styleId="textIBR">
    <w:name w:val="_text IBR"/>
    <w:basedOn w:val="Normln"/>
    <w:link w:val="textIBRChar"/>
    <w:qFormat/>
    <w:rsid w:val="00F72AA3"/>
    <w:pPr>
      <w:tabs>
        <w:tab w:val="left" w:pos="588"/>
      </w:tabs>
      <w:autoSpaceDE w:val="0"/>
      <w:autoSpaceDN w:val="0"/>
      <w:adjustRightInd w:val="0"/>
      <w:spacing w:after="240" w:line="240" w:lineRule="auto"/>
      <w:ind w:left="567"/>
      <w:jc w:val="both"/>
    </w:pPr>
    <w:rPr>
      <w:rFonts w:ascii="Arial" w:eastAsia="Times New Roman" w:hAnsi="Arial" w:cs="Arial"/>
      <w:bCs/>
      <w:sz w:val="17"/>
      <w:szCs w:val="17"/>
      <w:lang w:eastAsia="cs-CZ"/>
    </w:rPr>
  </w:style>
  <w:style w:type="character" w:customStyle="1" w:styleId="textIBRChar">
    <w:name w:val="_text IBR Char"/>
    <w:basedOn w:val="Standardnpsmoodstavce"/>
    <w:link w:val="textIBR"/>
    <w:rsid w:val="00F72AA3"/>
    <w:rPr>
      <w:rFonts w:ascii="Arial" w:eastAsia="Times New Roman" w:hAnsi="Arial" w:cs="Arial"/>
      <w:bCs/>
      <w:sz w:val="17"/>
      <w:szCs w:val="17"/>
      <w:lang w:eastAsia="cs-CZ"/>
    </w:rPr>
  </w:style>
  <w:style w:type="paragraph" w:styleId="Revize">
    <w:name w:val="Revision"/>
    <w:hidden/>
    <w:uiPriority w:val="99"/>
    <w:semiHidden/>
    <w:rsid w:val="00DC47D8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A2BE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1BF7"/>
    <w:rPr>
      <w:color w:val="605E5C"/>
      <w:shd w:val="clear" w:color="auto" w:fill="E1DFDD"/>
    </w:rPr>
  </w:style>
  <w:style w:type="paragraph" w:customStyle="1" w:styleId="Default">
    <w:name w:val="Default"/>
    <w:rsid w:val="00A16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st">
    <w:name w:val="odst"/>
    <w:basedOn w:val="Normln"/>
    <w:rsid w:val="000C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0C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ceny_vyrobcu_ek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cs-urs.cz/sledovani-vyvoje-cen-stavebnich-material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jpk.cz/obchodni-podmin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3522469C71F442A0ACC2AB9709AB91" ma:contentTypeVersion="14" ma:contentTypeDescription="Vytvoří nový dokument" ma:contentTypeScope="" ma:versionID="6743650ac8f105f184974e79f67e624d">
  <xsd:schema xmlns:xsd="http://www.w3.org/2001/XMLSchema" xmlns:xs="http://www.w3.org/2001/XMLSchema" xmlns:p="http://schemas.microsoft.com/office/2006/metadata/properties" xmlns:ns3="288a5ac0-9afb-4b11-b9ec-865327333699" xmlns:ns4="9dd0bc31-246f-47ff-baed-d3ddedb4cf68" targetNamespace="http://schemas.microsoft.com/office/2006/metadata/properties" ma:root="true" ma:fieldsID="8048019109403289bf484584bd3b20f8" ns3:_="" ns4:_="">
    <xsd:import namespace="288a5ac0-9afb-4b11-b9ec-865327333699"/>
    <xsd:import namespace="9dd0bc31-246f-47ff-baed-d3ddedb4c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5ac0-9afb-4b11-b9ec-865327333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bc31-246f-47ff-baed-d3ddedb4c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58974-F625-4527-B656-8E8FA5624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1E311-C47C-4F2A-A661-E64209F78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a5ac0-9afb-4b11-b9ec-865327333699"/>
    <ds:schemaRef ds:uri="9dd0bc31-246f-47ff-baed-d3ddedb4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456D1-E1AA-4ECF-ADD4-52FAE37A5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47956F-649F-4633-8F9C-AB18A54EE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5189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Karpíšek</dc:creator>
  <cp:keywords/>
  <dc:description/>
  <cp:lastModifiedBy>Ivo Hartmann</cp:lastModifiedBy>
  <cp:revision>2</cp:revision>
  <cp:lastPrinted>2022-11-09T07:27:00Z</cp:lastPrinted>
  <dcterms:created xsi:type="dcterms:W3CDTF">2022-12-17T09:19:00Z</dcterms:created>
  <dcterms:modified xsi:type="dcterms:W3CDTF">2022-12-17T09:19:00Z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27795da8-6018-46c4-9ff0-96e56e37b2f4</vt:lpwstr>
  </property>
  <property fmtid="{D5CDD505-2E9C-101B-9397-08002B2CF9AE}" pid="3" name="PraetorDocumentNumber">
    <vt:lpwstr>25402543</vt:lpwstr>
  </property>
  <property fmtid="{D5CDD505-2E9C-101B-9397-08002B2CF9AE}" pid="4" name="PraetorDocumentBarCode">
    <vt:lpwstr>25402543</vt:lpwstr>
  </property>
  <property fmtid="{D5CDD505-2E9C-101B-9397-08002B2CF9AE}" pid="5" name="PraetorFooterAdded">
    <vt:lpwstr>NotAdded</vt:lpwstr>
  </property>
  <property fmtid="{D5CDD505-2E9C-101B-9397-08002B2CF9AE}" pid="6" name="ContentTypeId">
    <vt:lpwstr>0x010100483522469C71F442A0ACC2AB9709AB91</vt:lpwstr>
  </property>
</Properties>
</file>