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88ADF" w14:textId="77777777" w:rsidR="007E5498" w:rsidRPr="00A966B6" w:rsidRDefault="00BE2CB5" w:rsidP="00422F6C">
      <w:pPr>
        <w:spacing w:after="60" w:line="300" w:lineRule="exact"/>
        <w:jc w:val="right"/>
        <w:rPr>
          <w:rFonts w:cs="Arial"/>
          <w:b/>
          <w:szCs w:val="24"/>
        </w:rPr>
      </w:pPr>
      <w:bookmarkStart w:id="0" w:name="_GoBack"/>
      <w:bookmarkEnd w:id="0"/>
      <w:r w:rsidRPr="00A966B6">
        <w:rPr>
          <w:rFonts w:cs="Arial"/>
          <w:b/>
          <w:noProof/>
          <w:szCs w:val="24"/>
        </w:rPr>
        <w:drawing>
          <wp:anchor distT="0" distB="0" distL="114300" distR="114300" simplePos="0" relativeHeight="251659264" behindDoc="0" locked="0" layoutInCell="1" allowOverlap="1" wp14:anchorId="6325CC0F" wp14:editId="3C123C42">
            <wp:simplePos x="0" y="0"/>
            <wp:positionH relativeFrom="margin">
              <wp:align>center</wp:align>
            </wp:positionH>
            <wp:positionV relativeFrom="paragraph">
              <wp:posOffset>0</wp:posOffset>
            </wp:positionV>
            <wp:extent cx="4081272" cy="4736592"/>
            <wp:effectExtent l="0" t="0" r="0" b="698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 GIBS velk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1272" cy="4736592"/>
                    </a:xfrm>
                    <a:prstGeom prst="rect">
                      <a:avLst/>
                    </a:prstGeom>
                  </pic:spPr>
                </pic:pic>
              </a:graphicData>
            </a:graphic>
          </wp:anchor>
        </w:drawing>
      </w:r>
    </w:p>
    <w:p w14:paraId="25C45505" w14:textId="77777777" w:rsidR="00356B61" w:rsidRPr="00A966B6" w:rsidRDefault="00356B61" w:rsidP="00BE2CB5">
      <w:pPr>
        <w:spacing w:after="60" w:line="240" w:lineRule="auto"/>
        <w:jc w:val="center"/>
        <w:rPr>
          <w:rFonts w:cs="Arial"/>
          <w:b/>
          <w:sz w:val="36"/>
          <w:szCs w:val="36"/>
        </w:rPr>
      </w:pPr>
      <w:r w:rsidRPr="00A966B6">
        <w:rPr>
          <w:rFonts w:cs="Arial"/>
          <w:b/>
          <w:sz w:val="36"/>
          <w:szCs w:val="36"/>
        </w:rPr>
        <w:t>ZPRÁVA O ČINNOSTI</w:t>
      </w:r>
    </w:p>
    <w:p w14:paraId="77FE69A5" w14:textId="77777777" w:rsidR="00356B61" w:rsidRPr="00A966B6" w:rsidRDefault="00356B61" w:rsidP="00BE2CB5">
      <w:pPr>
        <w:spacing w:after="60" w:line="240" w:lineRule="auto"/>
        <w:jc w:val="center"/>
        <w:rPr>
          <w:rFonts w:cs="Arial"/>
          <w:b/>
          <w:sz w:val="36"/>
          <w:szCs w:val="36"/>
        </w:rPr>
      </w:pPr>
    </w:p>
    <w:p w14:paraId="7627CE0F" w14:textId="77777777" w:rsidR="00356B61" w:rsidRPr="00A966B6" w:rsidRDefault="00356B61" w:rsidP="00BE2CB5">
      <w:pPr>
        <w:spacing w:after="60" w:line="240" w:lineRule="auto"/>
        <w:jc w:val="center"/>
        <w:rPr>
          <w:rFonts w:cs="Arial"/>
          <w:b/>
          <w:sz w:val="36"/>
          <w:szCs w:val="36"/>
        </w:rPr>
      </w:pPr>
      <w:r w:rsidRPr="00A966B6">
        <w:rPr>
          <w:rFonts w:cs="Arial"/>
          <w:b/>
          <w:sz w:val="36"/>
          <w:szCs w:val="36"/>
        </w:rPr>
        <w:t>GENERÁLNÍ INSPEKCE BEZ</w:t>
      </w:r>
      <w:r w:rsidR="00912D31" w:rsidRPr="00A966B6">
        <w:rPr>
          <w:rFonts w:cs="Arial"/>
          <w:b/>
          <w:sz w:val="36"/>
          <w:szCs w:val="36"/>
        </w:rPr>
        <w:t>P</w:t>
      </w:r>
      <w:r w:rsidRPr="00A966B6">
        <w:rPr>
          <w:rFonts w:cs="Arial"/>
          <w:b/>
          <w:sz w:val="36"/>
          <w:szCs w:val="36"/>
        </w:rPr>
        <w:t>EČNOSTNÍCH SBORŮ</w:t>
      </w:r>
    </w:p>
    <w:p w14:paraId="7018FDAC" w14:textId="77777777" w:rsidR="00356B61" w:rsidRPr="00A966B6" w:rsidRDefault="00356B61" w:rsidP="00BE2CB5">
      <w:pPr>
        <w:spacing w:after="60" w:line="240" w:lineRule="auto"/>
        <w:jc w:val="center"/>
        <w:rPr>
          <w:rFonts w:cs="Arial"/>
          <w:b/>
          <w:sz w:val="36"/>
          <w:szCs w:val="36"/>
        </w:rPr>
      </w:pPr>
    </w:p>
    <w:p w14:paraId="09C8A2CD" w14:textId="77777777" w:rsidR="00356B61" w:rsidRPr="00A966B6" w:rsidRDefault="00356B61" w:rsidP="00BE2CB5">
      <w:pPr>
        <w:spacing w:after="60" w:line="240" w:lineRule="auto"/>
        <w:jc w:val="center"/>
        <w:rPr>
          <w:rFonts w:cs="Arial"/>
          <w:b/>
          <w:sz w:val="36"/>
          <w:szCs w:val="36"/>
        </w:rPr>
      </w:pPr>
      <w:r w:rsidRPr="00A966B6">
        <w:rPr>
          <w:rFonts w:cs="Arial"/>
          <w:b/>
          <w:sz w:val="36"/>
          <w:szCs w:val="36"/>
        </w:rPr>
        <w:t>ZA ROK 201</w:t>
      </w:r>
      <w:r w:rsidR="00C6678C" w:rsidRPr="00A966B6">
        <w:rPr>
          <w:rFonts w:cs="Arial"/>
          <w:b/>
          <w:sz w:val="36"/>
          <w:szCs w:val="36"/>
        </w:rPr>
        <w:t>8</w:t>
      </w:r>
    </w:p>
    <w:p w14:paraId="711A5AED" w14:textId="77777777" w:rsidR="00356B61" w:rsidRPr="00A966B6" w:rsidRDefault="00356B61" w:rsidP="00BE2CB5">
      <w:pPr>
        <w:spacing w:after="60" w:line="240" w:lineRule="auto"/>
        <w:jc w:val="center"/>
        <w:rPr>
          <w:rFonts w:cs="Arial"/>
          <w:b/>
          <w:szCs w:val="24"/>
        </w:rPr>
      </w:pPr>
    </w:p>
    <w:p w14:paraId="1B1F28BE" w14:textId="77777777" w:rsidR="00356B61" w:rsidRPr="00A966B6" w:rsidRDefault="00356B61" w:rsidP="00BE2CB5">
      <w:pPr>
        <w:spacing w:after="60" w:line="300" w:lineRule="exact"/>
        <w:jc w:val="center"/>
        <w:rPr>
          <w:rFonts w:cs="Arial"/>
          <w:b/>
          <w:szCs w:val="24"/>
        </w:rPr>
      </w:pPr>
    </w:p>
    <w:p w14:paraId="156AB135" w14:textId="77777777" w:rsidR="00356B61" w:rsidRPr="00A966B6" w:rsidRDefault="00356B61" w:rsidP="00BE2CB5">
      <w:pPr>
        <w:spacing w:after="60" w:line="300" w:lineRule="exact"/>
        <w:jc w:val="center"/>
        <w:rPr>
          <w:rFonts w:cs="Arial"/>
          <w:b/>
          <w:szCs w:val="24"/>
        </w:rPr>
      </w:pPr>
    </w:p>
    <w:p w14:paraId="391CE9DD" w14:textId="77777777" w:rsidR="00356B61" w:rsidRPr="00A966B6" w:rsidRDefault="00356B61" w:rsidP="00422F6C">
      <w:pPr>
        <w:spacing w:after="60" w:line="300" w:lineRule="exact"/>
        <w:jc w:val="right"/>
        <w:rPr>
          <w:rFonts w:cs="Arial"/>
          <w:b/>
          <w:szCs w:val="24"/>
        </w:rPr>
      </w:pPr>
    </w:p>
    <w:p w14:paraId="25449230" w14:textId="77777777" w:rsidR="00BE2CB5" w:rsidRPr="00A966B6" w:rsidRDefault="00BE2CB5" w:rsidP="00422F6C">
      <w:pPr>
        <w:spacing w:after="60" w:line="300" w:lineRule="exact"/>
        <w:jc w:val="right"/>
        <w:rPr>
          <w:rFonts w:cs="Arial"/>
          <w:b/>
          <w:szCs w:val="24"/>
        </w:rPr>
      </w:pPr>
    </w:p>
    <w:p w14:paraId="52A8F92D" w14:textId="77777777" w:rsidR="00356B61" w:rsidRPr="00A966B6" w:rsidRDefault="00356B61" w:rsidP="00422F6C">
      <w:pPr>
        <w:spacing w:after="60" w:line="300" w:lineRule="exact"/>
        <w:jc w:val="right"/>
        <w:rPr>
          <w:rFonts w:cs="Arial"/>
          <w:b/>
          <w:szCs w:val="24"/>
        </w:rPr>
      </w:pPr>
    </w:p>
    <w:p w14:paraId="376C26F6" w14:textId="77777777" w:rsidR="00356B61" w:rsidRPr="00A966B6" w:rsidRDefault="00356B61" w:rsidP="00422F6C">
      <w:pPr>
        <w:spacing w:after="60" w:line="300" w:lineRule="exact"/>
        <w:jc w:val="right"/>
        <w:rPr>
          <w:rFonts w:cs="Arial"/>
          <w:b/>
          <w:szCs w:val="24"/>
        </w:rPr>
      </w:pPr>
    </w:p>
    <w:p w14:paraId="4B1F8F9F" w14:textId="77777777" w:rsidR="00356B61" w:rsidRPr="00A966B6" w:rsidRDefault="00356B61" w:rsidP="00422F6C">
      <w:pPr>
        <w:spacing w:after="60" w:line="300" w:lineRule="exact"/>
        <w:jc w:val="right"/>
        <w:rPr>
          <w:rFonts w:cs="Arial"/>
          <w:b/>
          <w:szCs w:val="24"/>
        </w:rPr>
      </w:pPr>
    </w:p>
    <w:p w14:paraId="14D5A1F4" w14:textId="77777777" w:rsidR="00356B61" w:rsidRPr="00A966B6" w:rsidRDefault="00356B61" w:rsidP="00422F6C">
      <w:pPr>
        <w:spacing w:after="60" w:line="300" w:lineRule="exact"/>
        <w:jc w:val="right"/>
        <w:rPr>
          <w:rFonts w:cs="Arial"/>
          <w:b/>
          <w:szCs w:val="24"/>
        </w:rPr>
      </w:pPr>
    </w:p>
    <w:p w14:paraId="62B2C34A" w14:textId="351F010B" w:rsidR="006C67F5" w:rsidRPr="00A966B6" w:rsidRDefault="00356B61" w:rsidP="005D6869">
      <w:pPr>
        <w:spacing w:after="60" w:line="300" w:lineRule="exact"/>
        <w:jc w:val="center"/>
        <w:rPr>
          <w:rFonts w:cs="Arial"/>
          <w:b/>
          <w:szCs w:val="24"/>
        </w:rPr>
      </w:pPr>
      <w:r w:rsidRPr="00A966B6">
        <w:rPr>
          <w:rFonts w:cs="Arial"/>
          <w:b/>
          <w:szCs w:val="24"/>
        </w:rPr>
        <w:t>Praha 201</w:t>
      </w:r>
      <w:r w:rsidR="00704DE0">
        <w:rPr>
          <w:rFonts w:cs="Arial"/>
          <w:b/>
          <w:szCs w:val="24"/>
        </w:rPr>
        <w:t>9</w:t>
      </w:r>
    </w:p>
    <w:p w14:paraId="7EFAC9D1" w14:textId="77777777" w:rsidR="00A0482A" w:rsidRPr="00A966B6" w:rsidRDefault="00A0482A" w:rsidP="00F73806">
      <w:pPr>
        <w:spacing w:after="60" w:line="300" w:lineRule="exact"/>
        <w:jc w:val="center"/>
        <w:rPr>
          <w:rFonts w:cs="Arial"/>
          <w:b/>
          <w:szCs w:val="24"/>
        </w:rPr>
      </w:pPr>
    </w:p>
    <w:p w14:paraId="761D5241" w14:textId="77777777" w:rsidR="00A0482A" w:rsidRPr="00A966B6" w:rsidRDefault="00A0482A" w:rsidP="00F73806">
      <w:pPr>
        <w:spacing w:after="60" w:line="300" w:lineRule="exact"/>
        <w:jc w:val="center"/>
        <w:rPr>
          <w:rFonts w:cs="Arial"/>
          <w:b/>
          <w:szCs w:val="24"/>
        </w:rPr>
        <w:sectPr w:rsidR="00A0482A" w:rsidRPr="00A966B6" w:rsidSect="00657ADA">
          <w:headerReference w:type="default" r:id="rId9"/>
          <w:footerReference w:type="default" r:id="rId10"/>
          <w:pgSz w:w="11906" w:h="16838"/>
          <w:pgMar w:top="1417" w:right="1417" w:bottom="1417" w:left="1417" w:header="708" w:footer="708" w:gutter="0"/>
          <w:cols w:space="708"/>
          <w:titlePg/>
          <w:docGrid w:linePitch="360"/>
        </w:sectPr>
      </w:pPr>
    </w:p>
    <w:sdt>
      <w:sdtPr>
        <w:rPr>
          <w:rFonts w:ascii="Calibri" w:eastAsia="Times New Roman" w:hAnsi="Calibri" w:cs="Times New Roman"/>
          <w:caps w:val="0"/>
          <w:color w:val="auto"/>
          <w:sz w:val="22"/>
          <w:szCs w:val="22"/>
        </w:rPr>
        <w:id w:val="-1409838433"/>
        <w:docPartObj>
          <w:docPartGallery w:val="Table of Contents"/>
          <w:docPartUnique/>
        </w:docPartObj>
      </w:sdtPr>
      <w:sdtEndPr>
        <w:rPr>
          <w:rFonts w:ascii="Arial" w:hAnsi="Arial"/>
          <w:b/>
          <w:bCs/>
          <w:sz w:val="24"/>
        </w:rPr>
      </w:sdtEndPr>
      <w:sdtContent>
        <w:p w14:paraId="5DE98737" w14:textId="77777777" w:rsidR="006F08AB" w:rsidRPr="00A966B6" w:rsidRDefault="006F08AB" w:rsidP="00F73806">
          <w:pPr>
            <w:pStyle w:val="Nadpisobsahu"/>
            <w:spacing w:before="0" w:after="240" w:line="300" w:lineRule="exact"/>
            <w:rPr>
              <w:rFonts w:ascii="Arial" w:hAnsi="Arial"/>
              <w:color w:val="auto"/>
              <w:sz w:val="24"/>
            </w:rPr>
          </w:pPr>
          <w:r w:rsidRPr="00A966B6">
            <w:rPr>
              <w:rFonts w:ascii="Arial" w:hAnsi="Arial"/>
              <w:color w:val="auto"/>
              <w:sz w:val="24"/>
            </w:rPr>
            <w:t>Obsah</w:t>
          </w:r>
          <w:r w:rsidR="00491CEB">
            <w:rPr>
              <w:rFonts w:ascii="Arial" w:hAnsi="Arial"/>
              <w:color w:val="auto"/>
              <w:sz w:val="24"/>
            </w:rPr>
            <w:t xml:space="preserve"> </w:t>
          </w:r>
        </w:p>
        <w:p w14:paraId="12580ECA" w14:textId="77777777" w:rsidR="00690D51" w:rsidRDefault="006F08AB">
          <w:pPr>
            <w:pStyle w:val="Obsah1"/>
            <w:rPr>
              <w:rFonts w:asciiTheme="minorHAnsi" w:eastAsiaTheme="minorEastAsia" w:hAnsiTheme="minorHAnsi" w:cstheme="minorBidi"/>
              <w:noProof/>
              <w:sz w:val="22"/>
            </w:rPr>
          </w:pPr>
          <w:r w:rsidRPr="00A966B6">
            <w:fldChar w:fldCharType="begin"/>
          </w:r>
          <w:r w:rsidRPr="00A966B6">
            <w:rPr>
              <w:rFonts w:cs="Arial"/>
              <w:szCs w:val="24"/>
            </w:rPr>
            <w:instrText xml:space="preserve"> TOC \o "1-3" \h \z \u </w:instrText>
          </w:r>
          <w:r w:rsidRPr="00A966B6">
            <w:fldChar w:fldCharType="separate"/>
          </w:r>
          <w:hyperlink w:anchor="_Toc2682543" w:history="1">
            <w:r w:rsidR="00690D51" w:rsidRPr="007E5E9E">
              <w:rPr>
                <w:rStyle w:val="Hypertextovodkaz"/>
                <w:noProof/>
              </w:rPr>
              <w:t>ÚVOD</w:t>
            </w:r>
            <w:r w:rsidR="00690D51">
              <w:rPr>
                <w:noProof/>
                <w:webHidden/>
              </w:rPr>
              <w:tab/>
            </w:r>
            <w:r w:rsidR="00690D51">
              <w:rPr>
                <w:noProof/>
                <w:webHidden/>
              </w:rPr>
              <w:fldChar w:fldCharType="begin"/>
            </w:r>
            <w:r w:rsidR="00690D51">
              <w:rPr>
                <w:noProof/>
                <w:webHidden/>
              </w:rPr>
              <w:instrText xml:space="preserve"> PAGEREF _Toc2682543 \h </w:instrText>
            </w:r>
            <w:r w:rsidR="00690D51">
              <w:rPr>
                <w:noProof/>
                <w:webHidden/>
              </w:rPr>
            </w:r>
            <w:r w:rsidR="00690D51">
              <w:rPr>
                <w:noProof/>
                <w:webHidden/>
              </w:rPr>
              <w:fldChar w:fldCharType="separate"/>
            </w:r>
            <w:r w:rsidR="00690D51">
              <w:rPr>
                <w:noProof/>
                <w:webHidden/>
              </w:rPr>
              <w:t>4</w:t>
            </w:r>
            <w:r w:rsidR="00690D51">
              <w:rPr>
                <w:noProof/>
                <w:webHidden/>
              </w:rPr>
              <w:fldChar w:fldCharType="end"/>
            </w:r>
          </w:hyperlink>
        </w:p>
        <w:p w14:paraId="573C226A" w14:textId="77777777" w:rsidR="00690D51" w:rsidRDefault="00B07D01">
          <w:pPr>
            <w:pStyle w:val="Obsah1"/>
            <w:rPr>
              <w:rFonts w:asciiTheme="minorHAnsi" w:eastAsiaTheme="minorEastAsia" w:hAnsiTheme="minorHAnsi" w:cstheme="minorBidi"/>
              <w:noProof/>
              <w:sz w:val="22"/>
            </w:rPr>
          </w:pPr>
          <w:hyperlink w:anchor="_Toc2682544" w:history="1">
            <w:r w:rsidR="00690D51" w:rsidRPr="007E5E9E">
              <w:rPr>
                <w:rStyle w:val="Hypertextovodkaz"/>
                <w:noProof/>
              </w:rPr>
              <w:t>1</w:t>
            </w:r>
            <w:r w:rsidR="00690D51">
              <w:rPr>
                <w:rFonts w:asciiTheme="minorHAnsi" w:eastAsiaTheme="minorEastAsia" w:hAnsiTheme="minorHAnsi" w:cstheme="minorBidi"/>
                <w:noProof/>
                <w:sz w:val="22"/>
              </w:rPr>
              <w:tab/>
            </w:r>
            <w:r w:rsidR="00690D51" w:rsidRPr="007E5E9E">
              <w:rPr>
                <w:rStyle w:val="Hypertextovodkaz"/>
                <w:noProof/>
              </w:rPr>
              <w:t>HLAVNÍ ÚKOLY GENERÁLNÍ INSPEKCE BEZPEČNOSTNÍCH SBORŮ</w:t>
            </w:r>
            <w:r w:rsidR="00690D51">
              <w:rPr>
                <w:noProof/>
                <w:webHidden/>
              </w:rPr>
              <w:tab/>
            </w:r>
            <w:r w:rsidR="00690D51">
              <w:rPr>
                <w:noProof/>
                <w:webHidden/>
              </w:rPr>
              <w:fldChar w:fldCharType="begin"/>
            </w:r>
            <w:r w:rsidR="00690D51">
              <w:rPr>
                <w:noProof/>
                <w:webHidden/>
              </w:rPr>
              <w:instrText xml:space="preserve"> PAGEREF _Toc2682544 \h </w:instrText>
            </w:r>
            <w:r w:rsidR="00690D51">
              <w:rPr>
                <w:noProof/>
                <w:webHidden/>
              </w:rPr>
            </w:r>
            <w:r w:rsidR="00690D51">
              <w:rPr>
                <w:noProof/>
                <w:webHidden/>
              </w:rPr>
              <w:fldChar w:fldCharType="separate"/>
            </w:r>
            <w:r w:rsidR="00690D51">
              <w:rPr>
                <w:noProof/>
                <w:webHidden/>
              </w:rPr>
              <w:t>6</w:t>
            </w:r>
            <w:r w:rsidR="00690D51">
              <w:rPr>
                <w:noProof/>
                <w:webHidden/>
              </w:rPr>
              <w:fldChar w:fldCharType="end"/>
            </w:r>
          </w:hyperlink>
        </w:p>
        <w:p w14:paraId="39011DD7" w14:textId="77777777" w:rsidR="00690D51" w:rsidRDefault="00B07D01">
          <w:pPr>
            <w:pStyle w:val="Obsah2"/>
            <w:rPr>
              <w:rFonts w:asciiTheme="minorHAnsi" w:eastAsiaTheme="minorEastAsia" w:hAnsiTheme="minorHAnsi" w:cstheme="minorBidi"/>
              <w:noProof/>
              <w:sz w:val="22"/>
            </w:rPr>
          </w:pPr>
          <w:hyperlink w:anchor="_Toc2682545" w:history="1">
            <w:r w:rsidR="00690D51" w:rsidRPr="007E5E9E">
              <w:rPr>
                <w:rStyle w:val="Hypertextovodkaz"/>
                <w:noProof/>
              </w:rPr>
              <w:t>1.1</w:t>
            </w:r>
            <w:r w:rsidR="00690D51">
              <w:rPr>
                <w:rFonts w:asciiTheme="minorHAnsi" w:eastAsiaTheme="minorEastAsia" w:hAnsiTheme="minorHAnsi" w:cstheme="minorBidi"/>
                <w:noProof/>
                <w:sz w:val="22"/>
              </w:rPr>
              <w:tab/>
            </w:r>
            <w:r w:rsidR="00690D51" w:rsidRPr="007E5E9E">
              <w:rPr>
                <w:rStyle w:val="Hypertextovodkaz"/>
                <w:noProof/>
              </w:rPr>
              <w:t>Trestní řízení</w:t>
            </w:r>
            <w:r w:rsidR="00690D51">
              <w:rPr>
                <w:noProof/>
                <w:webHidden/>
              </w:rPr>
              <w:tab/>
            </w:r>
            <w:r w:rsidR="00690D51">
              <w:rPr>
                <w:noProof/>
                <w:webHidden/>
              </w:rPr>
              <w:fldChar w:fldCharType="begin"/>
            </w:r>
            <w:r w:rsidR="00690D51">
              <w:rPr>
                <w:noProof/>
                <w:webHidden/>
              </w:rPr>
              <w:instrText xml:space="preserve"> PAGEREF _Toc2682545 \h </w:instrText>
            </w:r>
            <w:r w:rsidR="00690D51">
              <w:rPr>
                <w:noProof/>
                <w:webHidden/>
              </w:rPr>
            </w:r>
            <w:r w:rsidR="00690D51">
              <w:rPr>
                <w:noProof/>
                <w:webHidden/>
              </w:rPr>
              <w:fldChar w:fldCharType="separate"/>
            </w:r>
            <w:r w:rsidR="00690D51">
              <w:rPr>
                <w:noProof/>
                <w:webHidden/>
              </w:rPr>
              <w:t>6</w:t>
            </w:r>
            <w:r w:rsidR="00690D51">
              <w:rPr>
                <w:noProof/>
                <w:webHidden/>
              </w:rPr>
              <w:fldChar w:fldCharType="end"/>
            </w:r>
          </w:hyperlink>
        </w:p>
        <w:p w14:paraId="7AE29911" w14:textId="77777777" w:rsidR="00690D51" w:rsidRDefault="00B07D01">
          <w:pPr>
            <w:pStyle w:val="Obsah2"/>
            <w:rPr>
              <w:rFonts w:asciiTheme="minorHAnsi" w:eastAsiaTheme="minorEastAsia" w:hAnsiTheme="minorHAnsi" w:cstheme="minorBidi"/>
              <w:noProof/>
              <w:sz w:val="22"/>
            </w:rPr>
          </w:pPr>
          <w:hyperlink w:anchor="_Toc2682546" w:history="1">
            <w:r w:rsidR="00690D51" w:rsidRPr="007E5E9E">
              <w:rPr>
                <w:rStyle w:val="Hypertextovodkaz"/>
                <w:noProof/>
              </w:rPr>
              <w:t>1.2</w:t>
            </w:r>
            <w:r w:rsidR="00690D51">
              <w:rPr>
                <w:rFonts w:asciiTheme="minorHAnsi" w:eastAsiaTheme="minorEastAsia" w:hAnsiTheme="minorHAnsi" w:cstheme="minorBidi"/>
                <w:noProof/>
                <w:sz w:val="22"/>
              </w:rPr>
              <w:tab/>
            </w:r>
            <w:r w:rsidR="00690D51" w:rsidRPr="007E5E9E">
              <w:rPr>
                <w:rStyle w:val="Hypertextovodkaz"/>
                <w:noProof/>
              </w:rPr>
              <w:t>Sledované problematiky protiprávních jednání</w:t>
            </w:r>
            <w:r w:rsidR="00690D51">
              <w:rPr>
                <w:noProof/>
                <w:webHidden/>
              </w:rPr>
              <w:tab/>
            </w:r>
            <w:r w:rsidR="00690D51">
              <w:rPr>
                <w:noProof/>
                <w:webHidden/>
              </w:rPr>
              <w:fldChar w:fldCharType="begin"/>
            </w:r>
            <w:r w:rsidR="00690D51">
              <w:rPr>
                <w:noProof/>
                <w:webHidden/>
              </w:rPr>
              <w:instrText xml:space="preserve"> PAGEREF _Toc2682546 \h </w:instrText>
            </w:r>
            <w:r w:rsidR="00690D51">
              <w:rPr>
                <w:noProof/>
                <w:webHidden/>
              </w:rPr>
            </w:r>
            <w:r w:rsidR="00690D51">
              <w:rPr>
                <w:noProof/>
                <w:webHidden/>
              </w:rPr>
              <w:fldChar w:fldCharType="separate"/>
            </w:r>
            <w:r w:rsidR="00690D51">
              <w:rPr>
                <w:noProof/>
                <w:webHidden/>
              </w:rPr>
              <w:t>10</w:t>
            </w:r>
            <w:r w:rsidR="00690D51">
              <w:rPr>
                <w:noProof/>
                <w:webHidden/>
              </w:rPr>
              <w:fldChar w:fldCharType="end"/>
            </w:r>
          </w:hyperlink>
        </w:p>
        <w:p w14:paraId="62172AD1" w14:textId="77777777" w:rsidR="00690D51" w:rsidRDefault="00B07D01">
          <w:pPr>
            <w:pStyle w:val="Obsah2"/>
            <w:rPr>
              <w:rFonts w:asciiTheme="minorHAnsi" w:eastAsiaTheme="minorEastAsia" w:hAnsiTheme="minorHAnsi" w:cstheme="minorBidi"/>
              <w:noProof/>
              <w:sz w:val="22"/>
            </w:rPr>
          </w:pPr>
          <w:hyperlink w:anchor="_Toc2682547" w:history="1">
            <w:r w:rsidR="00690D51" w:rsidRPr="007E5E9E">
              <w:rPr>
                <w:rStyle w:val="Hypertextovodkaz"/>
                <w:noProof/>
              </w:rPr>
              <w:t>1.3</w:t>
            </w:r>
            <w:r w:rsidR="00690D51">
              <w:rPr>
                <w:rFonts w:asciiTheme="minorHAnsi" w:eastAsiaTheme="minorEastAsia" w:hAnsiTheme="minorHAnsi" w:cstheme="minorBidi"/>
                <w:noProof/>
                <w:sz w:val="22"/>
              </w:rPr>
              <w:tab/>
            </w:r>
            <w:r w:rsidR="00690D51" w:rsidRPr="007E5E9E">
              <w:rPr>
                <w:rStyle w:val="Hypertextovodkaz"/>
                <w:noProof/>
              </w:rPr>
              <w:t>Kriminalita v jednotlivých BS</w:t>
            </w:r>
            <w:r w:rsidR="00690D51">
              <w:rPr>
                <w:noProof/>
                <w:webHidden/>
              </w:rPr>
              <w:tab/>
            </w:r>
            <w:r w:rsidR="00690D51">
              <w:rPr>
                <w:noProof/>
                <w:webHidden/>
              </w:rPr>
              <w:fldChar w:fldCharType="begin"/>
            </w:r>
            <w:r w:rsidR="00690D51">
              <w:rPr>
                <w:noProof/>
                <w:webHidden/>
              </w:rPr>
              <w:instrText xml:space="preserve"> PAGEREF _Toc2682547 \h </w:instrText>
            </w:r>
            <w:r w:rsidR="00690D51">
              <w:rPr>
                <w:noProof/>
                <w:webHidden/>
              </w:rPr>
            </w:r>
            <w:r w:rsidR="00690D51">
              <w:rPr>
                <w:noProof/>
                <w:webHidden/>
              </w:rPr>
              <w:fldChar w:fldCharType="separate"/>
            </w:r>
            <w:r w:rsidR="00690D51">
              <w:rPr>
                <w:noProof/>
                <w:webHidden/>
              </w:rPr>
              <w:t>13</w:t>
            </w:r>
            <w:r w:rsidR="00690D51">
              <w:rPr>
                <w:noProof/>
                <w:webHidden/>
              </w:rPr>
              <w:fldChar w:fldCharType="end"/>
            </w:r>
          </w:hyperlink>
        </w:p>
        <w:p w14:paraId="2DD287B1" w14:textId="77777777" w:rsidR="00690D51" w:rsidRDefault="00B07D01">
          <w:pPr>
            <w:pStyle w:val="Obsah2"/>
            <w:rPr>
              <w:rFonts w:asciiTheme="minorHAnsi" w:eastAsiaTheme="minorEastAsia" w:hAnsiTheme="minorHAnsi" w:cstheme="minorBidi"/>
              <w:noProof/>
              <w:sz w:val="22"/>
            </w:rPr>
          </w:pPr>
          <w:hyperlink w:anchor="_Toc2682548" w:history="1">
            <w:r w:rsidR="00690D51" w:rsidRPr="007E5E9E">
              <w:rPr>
                <w:rStyle w:val="Hypertextovodkaz"/>
                <w:noProof/>
              </w:rPr>
              <w:t>1.4</w:t>
            </w:r>
            <w:r w:rsidR="00690D51">
              <w:rPr>
                <w:rFonts w:asciiTheme="minorHAnsi" w:eastAsiaTheme="minorEastAsia" w:hAnsiTheme="minorHAnsi" w:cstheme="minorBidi"/>
                <w:noProof/>
                <w:sz w:val="22"/>
              </w:rPr>
              <w:tab/>
            </w:r>
            <w:r w:rsidR="00690D51" w:rsidRPr="007E5E9E">
              <w:rPr>
                <w:rStyle w:val="Hypertextovodkaz"/>
                <w:noProof/>
              </w:rPr>
              <w:t>Zkouška spolehlivosti</w:t>
            </w:r>
            <w:r w:rsidR="00690D51">
              <w:rPr>
                <w:noProof/>
                <w:webHidden/>
              </w:rPr>
              <w:tab/>
            </w:r>
            <w:r w:rsidR="00690D51">
              <w:rPr>
                <w:noProof/>
                <w:webHidden/>
              </w:rPr>
              <w:fldChar w:fldCharType="begin"/>
            </w:r>
            <w:r w:rsidR="00690D51">
              <w:rPr>
                <w:noProof/>
                <w:webHidden/>
              </w:rPr>
              <w:instrText xml:space="preserve"> PAGEREF _Toc2682548 \h </w:instrText>
            </w:r>
            <w:r w:rsidR="00690D51">
              <w:rPr>
                <w:noProof/>
                <w:webHidden/>
              </w:rPr>
            </w:r>
            <w:r w:rsidR="00690D51">
              <w:rPr>
                <w:noProof/>
                <w:webHidden/>
              </w:rPr>
              <w:fldChar w:fldCharType="separate"/>
            </w:r>
            <w:r w:rsidR="00690D51">
              <w:rPr>
                <w:noProof/>
                <w:webHidden/>
              </w:rPr>
              <w:t>13</w:t>
            </w:r>
            <w:r w:rsidR="00690D51">
              <w:rPr>
                <w:noProof/>
                <w:webHidden/>
              </w:rPr>
              <w:fldChar w:fldCharType="end"/>
            </w:r>
          </w:hyperlink>
        </w:p>
        <w:p w14:paraId="00AC5D22" w14:textId="77777777" w:rsidR="00690D51" w:rsidRDefault="00B07D01">
          <w:pPr>
            <w:pStyle w:val="Obsah2"/>
            <w:rPr>
              <w:rFonts w:asciiTheme="minorHAnsi" w:eastAsiaTheme="minorEastAsia" w:hAnsiTheme="minorHAnsi" w:cstheme="minorBidi"/>
              <w:noProof/>
              <w:sz w:val="22"/>
            </w:rPr>
          </w:pPr>
          <w:hyperlink w:anchor="_Toc2682549" w:history="1">
            <w:r w:rsidR="00690D51" w:rsidRPr="007E5E9E">
              <w:rPr>
                <w:rStyle w:val="Hypertextovodkaz"/>
                <w:noProof/>
              </w:rPr>
              <w:t>1.5</w:t>
            </w:r>
            <w:r w:rsidR="00690D51">
              <w:rPr>
                <w:rFonts w:asciiTheme="minorHAnsi" w:eastAsiaTheme="minorEastAsia" w:hAnsiTheme="minorHAnsi" w:cstheme="minorBidi"/>
                <w:noProof/>
                <w:sz w:val="22"/>
              </w:rPr>
              <w:tab/>
            </w:r>
            <w:r w:rsidR="00690D51" w:rsidRPr="007E5E9E">
              <w:rPr>
                <w:rStyle w:val="Hypertextovodkaz"/>
                <w:noProof/>
              </w:rPr>
              <w:t>Preventivní opatření a metodická doporučení</w:t>
            </w:r>
            <w:r w:rsidR="00690D51">
              <w:rPr>
                <w:noProof/>
                <w:webHidden/>
              </w:rPr>
              <w:tab/>
            </w:r>
            <w:r w:rsidR="00690D51">
              <w:rPr>
                <w:noProof/>
                <w:webHidden/>
              </w:rPr>
              <w:fldChar w:fldCharType="begin"/>
            </w:r>
            <w:r w:rsidR="00690D51">
              <w:rPr>
                <w:noProof/>
                <w:webHidden/>
              </w:rPr>
              <w:instrText xml:space="preserve"> PAGEREF _Toc2682549 \h </w:instrText>
            </w:r>
            <w:r w:rsidR="00690D51">
              <w:rPr>
                <w:noProof/>
                <w:webHidden/>
              </w:rPr>
            </w:r>
            <w:r w:rsidR="00690D51">
              <w:rPr>
                <w:noProof/>
                <w:webHidden/>
              </w:rPr>
              <w:fldChar w:fldCharType="separate"/>
            </w:r>
            <w:r w:rsidR="00690D51">
              <w:rPr>
                <w:noProof/>
                <w:webHidden/>
              </w:rPr>
              <w:t>14</w:t>
            </w:r>
            <w:r w:rsidR="00690D51">
              <w:rPr>
                <w:noProof/>
                <w:webHidden/>
              </w:rPr>
              <w:fldChar w:fldCharType="end"/>
            </w:r>
          </w:hyperlink>
        </w:p>
        <w:p w14:paraId="6F7D8DEE" w14:textId="77777777" w:rsidR="00690D51" w:rsidRDefault="00B07D01">
          <w:pPr>
            <w:pStyle w:val="Obsah1"/>
            <w:rPr>
              <w:rFonts w:asciiTheme="minorHAnsi" w:eastAsiaTheme="minorEastAsia" w:hAnsiTheme="minorHAnsi" w:cstheme="minorBidi"/>
              <w:noProof/>
              <w:sz w:val="22"/>
            </w:rPr>
          </w:pPr>
          <w:hyperlink w:anchor="_Toc2682550" w:history="1">
            <w:r w:rsidR="00690D51" w:rsidRPr="007E5E9E">
              <w:rPr>
                <w:rStyle w:val="Hypertextovodkaz"/>
                <w:noProof/>
              </w:rPr>
              <w:t>2</w:t>
            </w:r>
            <w:r w:rsidR="00690D51">
              <w:rPr>
                <w:rFonts w:asciiTheme="minorHAnsi" w:eastAsiaTheme="minorEastAsia" w:hAnsiTheme="minorHAnsi" w:cstheme="minorBidi"/>
                <w:noProof/>
                <w:sz w:val="22"/>
              </w:rPr>
              <w:tab/>
            </w:r>
            <w:r w:rsidR="00690D51" w:rsidRPr="007E5E9E">
              <w:rPr>
                <w:rStyle w:val="Hypertextovodkaz"/>
                <w:noProof/>
              </w:rPr>
              <w:t>OCHRANA UTAJOVANÝCH INFORMACÍ</w:t>
            </w:r>
            <w:r w:rsidR="00690D51">
              <w:rPr>
                <w:noProof/>
                <w:webHidden/>
              </w:rPr>
              <w:tab/>
            </w:r>
            <w:r w:rsidR="00690D51">
              <w:rPr>
                <w:noProof/>
                <w:webHidden/>
              </w:rPr>
              <w:fldChar w:fldCharType="begin"/>
            </w:r>
            <w:r w:rsidR="00690D51">
              <w:rPr>
                <w:noProof/>
                <w:webHidden/>
              </w:rPr>
              <w:instrText xml:space="preserve"> PAGEREF _Toc2682550 \h </w:instrText>
            </w:r>
            <w:r w:rsidR="00690D51">
              <w:rPr>
                <w:noProof/>
                <w:webHidden/>
              </w:rPr>
            </w:r>
            <w:r w:rsidR="00690D51">
              <w:rPr>
                <w:noProof/>
                <w:webHidden/>
              </w:rPr>
              <w:fldChar w:fldCharType="separate"/>
            </w:r>
            <w:r w:rsidR="00690D51">
              <w:rPr>
                <w:noProof/>
                <w:webHidden/>
              </w:rPr>
              <w:t>15</w:t>
            </w:r>
            <w:r w:rsidR="00690D51">
              <w:rPr>
                <w:noProof/>
                <w:webHidden/>
              </w:rPr>
              <w:fldChar w:fldCharType="end"/>
            </w:r>
          </w:hyperlink>
        </w:p>
        <w:p w14:paraId="3EBAE696" w14:textId="77777777" w:rsidR="00690D51" w:rsidRDefault="00B07D01">
          <w:pPr>
            <w:pStyle w:val="Obsah2"/>
            <w:rPr>
              <w:rFonts w:asciiTheme="minorHAnsi" w:eastAsiaTheme="minorEastAsia" w:hAnsiTheme="minorHAnsi" w:cstheme="minorBidi"/>
              <w:noProof/>
              <w:sz w:val="22"/>
            </w:rPr>
          </w:pPr>
          <w:hyperlink w:anchor="_Toc2682551" w:history="1">
            <w:r w:rsidR="00690D51" w:rsidRPr="007E5E9E">
              <w:rPr>
                <w:rStyle w:val="Hypertextovodkaz"/>
                <w:noProof/>
              </w:rPr>
              <w:t>2.1</w:t>
            </w:r>
            <w:r w:rsidR="00690D51">
              <w:rPr>
                <w:rFonts w:asciiTheme="minorHAnsi" w:eastAsiaTheme="minorEastAsia" w:hAnsiTheme="minorHAnsi" w:cstheme="minorBidi"/>
                <w:noProof/>
                <w:sz w:val="22"/>
              </w:rPr>
              <w:tab/>
            </w:r>
            <w:r w:rsidR="00690D51" w:rsidRPr="007E5E9E">
              <w:rPr>
                <w:rStyle w:val="Hypertextovodkaz"/>
                <w:noProof/>
              </w:rPr>
              <w:t>Personální a administrativní bezpečnost</w:t>
            </w:r>
            <w:r w:rsidR="00690D51">
              <w:rPr>
                <w:noProof/>
                <w:webHidden/>
              </w:rPr>
              <w:tab/>
            </w:r>
            <w:r w:rsidR="00690D51">
              <w:rPr>
                <w:noProof/>
                <w:webHidden/>
              </w:rPr>
              <w:fldChar w:fldCharType="begin"/>
            </w:r>
            <w:r w:rsidR="00690D51">
              <w:rPr>
                <w:noProof/>
                <w:webHidden/>
              </w:rPr>
              <w:instrText xml:space="preserve"> PAGEREF _Toc2682551 \h </w:instrText>
            </w:r>
            <w:r w:rsidR="00690D51">
              <w:rPr>
                <w:noProof/>
                <w:webHidden/>
              </w:rPr>
            </w:r>
            <w:r w:rsidR="00690D51">
              <w:rPr>
                <w:noProof/>
                <w:webHidden/>
              </w:rPr>
              <w:fldChar w:fldCharType="separate"/>
            </w:r>
            <w:r w:rsidR="00690D51">
              <w:rPr>
                <w:noProof/>
                <w:webHidden/>
              </w:rPr>
              <w:t>15</w:t>
            </w:r>
            <w:r w:rsidR="00690D51">
              <w:rPr>
                <w:noProof/>
                <w:webHidden/>
              </w:rPr>
              <w:fldChar w:fldCharType="end"/>
            </w:r>
          </w:hyperlink>
        </w:p>
        <w:p w14:paraId="232CE8ED" w14:textId="77777777" w:rsidR="00690D51" w:rsidRDefault="00B07D01">
          <w:pPr>
            <w:pStyle w:val="Obsah2"/>
            <w:rPr>
              <w:rFonts w:asciiTheme="minorHAnsi" w:eastAsiaTheme="minorEastAsia" w:hAnsiTheme="minorHAnsi" w:cstheme="minorBidi"/>
              <w:noProof/>
              <w:sz w:val="22"/>
            </w:rPr>
          </w:pPr>
          <w:hyperlink w:anchor="_Toc2682552" w:history="1">
            <w:r w:rsidR="00690D51" w:rsidRPr="007E5E9E">
              <w:rPr>
                <w:rStyle w:val="Hypertextovodkaz"/>
                <w:noProof/>
              </w:rPr>
              <w:t>2.2</w:t>
            </w:r>
            <w:r w:rsidR="00690D51">
              <w:rPr>
                <w:rFonts w:asciiTheme="minorHAnsi" w:eastAsiaTheme="minorEastAsia" w:hAnsiTheme="minorHAnsi" w:cstheme="minorBidi"/>
                <w:noProof/>
                <w:sz w:val="22"/>
              </w:rPr>
              <w:tab/>
            </w:r>
            <w:r w:rsidR="00690D51" w:rsidRPr="007E5E9E">
              <w:rPr>
                <w:rStyle w:val="Hypertextovodkaz"/>
                <w:noProof/>
              </w:rPr>
              <w:t>Fyzická bezpečnost</w:t>
            </w:r>
            <w:r w:rsidR="00690D51">
              <w:rPr>
                <w:noProof/>
                <w:webHidden/>
              </w:rPr>
              <w:tab/>
            </w:r>
            <w:r w:rsidR="00690D51">
              <w:rPr>
                <w:noProof/>
                <w:webHidden/>
              </w:rPr>
              <w:fldChar w:fldCharType="begin"/>
            </w:r>
            <w:r w:rsidR="00690D51">
              <w:rPr>
                <w:noProof/>
                <w:webHidden/>
              </w:rPr>
              <w:instrText xml:space="preserve"> PAGEREF _Toc2682552 \h </w:instrText>
            </w:r>
            <w:r w:rsidR="00690D51">
              <w:rPr>
                <w:noProof/>
                <w:webHidden/>
              </w:rPr>
            </w:r>
            <w:r w:rsidR="00690D51">
              <w:rPr>
                <w:noProof/>
                <w:webHidden/>
              </w:rPr>
              <w:fldChar w:fldCharType="separate"/>
            </w:r>
            <w:r w:rsidR="00690D51">
              <w:rPr>
                <w:noProof/>
                <w:webHidden/>
              </w:rPr>
              <w:t>16</w:t>
            </w:r>
            <w:r w:rsidR="00690D51">
              <w:rPr>
                <w:noProof/>
                <w:webHidden/>
              </w:rPr>
              <w:fldChar w:fldCharType="end"/>
            </w:r>
          </w:hyperlink>
        </w:p>
        <w:p w14:paraId="0CF09D2C" w14:textId="77777777" w:rsidR="00690D51" w:rsidRDefault="00B07D01">
          <w:pPr>
            <w:pStyle w:val="Obsah2"/>
            <w:rPr>
              <w:rFonts w:asciiTheme="minorHAnsi" w:eastAsiaTheme="minorEastAsia" w:hAnsiTheme="minorHAnsi" w:cstheme="minorBidi"/>
              <w:noProof/>
              <w:sz w:val="22"/>
            </w:rPr>
          </w:pPr>
          <w:hyperlink w:anchor="_Toc2682553" w:history="1">
            <w:r w:rsidR="00690D51" w:rsidRPr="007E5E9E">
              <w:rPr>
                <w:rStyle w:val="Hypertextovodkaz"/>
                <w:noProof/>
              </w:rPr>
              <w:t>2.3</w:t>
            </w:r>
            <w:r w:rsidR="00690D51">
              <w:rPr>
                <w:rFonts w:asciiTheme="minorHAnsi" w:eastAsiaTheme="minorEastAsia" w:hAnsiTheme="minorHAnsi" w:cstheme="minorBidi"/>
                <w:noProof/>
                <w:sz w:val="22"/>
              </w:rPr>
              <w:tab/>
            </w:r>
            <w:r w:rsidR="00690D51" w:rsidRPr="007E5E9E">
              <w:rPr>
                <w:rStyle w:val="Hypertextovodkaz"/>
                <w:noProof/>
              </w:rPr>
              <w:t>Bezpečnost informačních a komunikačních systémů</w:t>
            </w:r>
            <w:r w:rsidR="00690D51">
              <w:rPr>
                <w:noProof/>
                <w:webHidden/>
              </w:rPr>
              <w:tab/>
            </w:r>
            <w:r w:rsidR="00690D51">
              <w:rPr>
                <w:noProof/>
                <w:webHidden/>
              </w:rPr>
              <w:fldChar w:fldCharType="begin"/>
            </w:r>
            <w:r w:rsidR="00690D51">
              <w:rPr>
                <w:noProof/>
                <w:webHidden/>
              </w:rPr>
              <w:instrText xml:space="preserve"> PAGEREF _Toc2682553 \h </w:instrText>
            </w:r>
            <w:r w:rsidR="00690D51">
              <w:rPr>
                <w:noProof/>
                <w:webHidden/>
              </w:rPr>
            </w:r>
            <w:r w:rsidR="00690D51">
              <w:rPr>
                <w:noProof/>
                <w:webHidden/>
              </w:rPr>
              <w:fldChar w:fldCharType="separate"/>
            </w:r>
            <w:r w:rsidR="00690D51">
              <w:rPr>
                <w:noProof/>
                <w:webHidden/>
              </w:rPr>
              <w:t>16</w:t>
            </w:r>
            <w:r w:rsidR="00690D51">
              <w:rPr>
                <w:noProof/>
                <w:webHidden/>
              </w:rPr>
              <w:fldChar w:fldCharType="end"/>
            </w:r>
          </w:hyperlink>
        </w:p>
        <w:p w14:paraId="05CA68FF" w14:textId="77777777" w:rsidR="00690D51" w:rsidRDefault="00B07D01">
          <w:pPr>
            <w:pStyle w:val="Obsah2"/>
            <w:rPr>
              <w:rFonts w:asciiTheme="minorHAnsi" w:eastAsiaTheme="minorEastAsia" w:hAnsiTheme="minorHAnsi" w:cstheme="minorBidi"/>
              <w:noProof/>
              <w:sz w:val="22"/>
            </w:rPr>
          </w:pPr>
          <w:hyperlink w:anchor="_Toc2682554" w:history="1">
            <w:r w:rsidR="00690D51" w:rsidRPr="007E5E9E">
              <w:rPr>
                <w:rStyle w:val="Hypertextovodkaz"/>
                <w:noProof/>
              </w:rPr>
              <w:t>2.4</w:t>
            </w:r>
            <w:r w:rsidR="00690D51">
              <w:rPr>
                <w:rFonts w:asciiTheme="minorHAnsi" w:eastAsiaTheme="minorEastAsia" w:hAnsiTheme="minorHAnsi" w:cstheme="minorBidi"/>
                <w:noProof/>
                <w:sz w:val="22"/>
              </w:rPr>
              <w:tab/>
            </w:r>
            <w:r w:rsidR="00690D51" w:rsidRPr="007E5E9E">
              <w:rPr>
                <w:rStyle w:val="Hypertextovodkaz"/>
                <w:noProof/>
              </w:rPr>
              <w:t>Vzdělávání a preventivní činnost</w:t>
            </w:r>
            <w:r w:rsidR="00690D51">
              <w:rPr>
                <w:noProof/>
                <w:webHidden/>
              </w:rPr>
              <w:tab/>
            </w:r>
            <w:r w:rsidR="00690D51">
              <w:rPr>
                <w:noProof/>
                <w:webHidden/>
              </w:rPr>
              <w:fldChar w:fldCharType="begin"/>
            </w:r>
            <w:r w:rsidR="00690D51">
              <w:rPr>
                <w:noProof/>
                <w:webHidden/>
              </w:rPr>
              <w:instrText xml:space="preserve"> PAGEREF _Toc2682554 \h </w:instrText>
            </w:r>
            <w:r w:rsidR="00690D51">
              <w:rPr>
                <w:noProof/>
                <w:webHidden/>
              </w:rPr>
            </w:r>
            <w:r w:rsidR="00690D51">
              <w:rPr>
                <w:noProof/>
                <w:webHidden/>
              </w:rPr>
              <w:fldChar w:fldCharType="separate"/>
            </w:r>
            <w:r w:rsidR="00690D51">
              <w:rPr>
                <w:noProof/>
                <w:webHidden/>
              </w:rPr>
              <w:t>17</w:t>
            </w:r>
            <w:r w:rsidR="00690D51">
              <w:rPr>
                <w:noProof/>
                <w:webHidden/>
              </w:rPr>
              <w:fldChar w:fldCharType="end"/>
            </w:r>
          </w:hyperlink>
        </w:p>
        <w:p w14:paraId="412AA11B" w14:textId="77777777" w:rsidR="00690D51" w:rsidRDefault="00B07D01">
          <w:pPr>
            <w:pStyle w:val="Obsah1"/>
            <w:rPr>
              <w:rFonts w:asciiTheme="minorHAnsi" w:eastAsiaTheme="minorEastAsia" w:hAnsiTheme="minorHAnsi" w:cstheme="minorBidi"/>
              <w:noProof/>
              <w:sz w:val="22"/>
            </w:rPr>
          </w:pPr>
          <w:hyperlink w:anchor="_Toc2682555" w:history="1">
            <w:r w:rsidR="00690D51" w:rsidRPr="007E5E9E">
              <w:rPr>
                <w:rStyle w:val="Hypertextovodkaz"/>
                <w:noProof/>
              </w:rPr>
              <w:t>3</w:t>
            </w:r>
            <w:r w:rsidR="00690D51">
              <w:rPr>
                <w:rFonts w:asciiTheme="minorHAnsi" w:eastAsiaTheme="minorEastAsia" w:hAnsiTheme="minorHAnsi" w:cstheme="minorBidi"/>
                <w:noProof/>
                <w:sz w:val="22"/>
              </w:rPr>
              <w:tab/>
            </w:r>
            <w:r w:rsidR="00690D51" w:rsidRPr="007E5E9E">
              <w:rPr>
                <w:rStyle w:val="Hypertextovodkaz"/>
                <w:noProof/>
              </w:rPr>
              <w:t>KONTROLA V GENERÁLNÍ INSPEKCI BEZPEČNOSTNÍCH SBORŮ</w:t>
            </w:r>
            <w:r w:rsidR="00690D51">
              <w:rPr>
                <w:noProof/>
                <w:webHidden/>
              </w:rPr>
              <w:tab/>
            </w:r>
            <w:r w:rsidR="00690D51">
              <w:rPr>
                <w:noProof/>
                <w:webHidden/>
              </w:rPr>
              <w:fldChar w:fldCharType="begin"/>
            </w:r>
            <w:r w:rsidR="00690D51">
              <w:rPr>
                <w:noProof/>
                <w:webHidden/>
              </w:rPr>
              <w:instrText xml:space="preserve"> PAGEREF _Toc2682555 \h </w:instrText>
            </w:r>
            <w:r w:rsidR="00690D51">
              <w:rPr>
                <w:noProof/>
                <w:webHidden/>
              </w:rPr>
            </w:r>
            <w:r w:rsidR="00690D51">
              <w:rPr>
                <w:noProof/>
                <w:webHidden/>
              </w:rPr>
              <w:fldChar w:fldCharType="separate"/>
            </w:r>
            <w:r w:rsidR="00690D51">
              <w:rPr>
                <w:noProof/>
                <w:webHidden/>
              </w:rPr>
              <w:t>18</w:t>
            </w:r>
            <w:r w:rsidR="00690D51">
              <w:rPr>
                <w:noProof/>
                <w:webHidden/>
              </w:rPr>
              <w:fldChar w:fldCharType="end"/>
            </w:r>
          </w:hyperlink>
        </w:p>
        <w:p w14:paraId="1B735191" w14:textId="77777777" w:rsidR="00690D51" w:rsidRDefault="00B07D01">
          <w:pPr>
            <w:pStyle w:val="Obsah2"/>
            <w:rPr>
              <w:rFonts w:asciiTheme="minorHAnsi" w:eastAsiaTheme="minorEastAsia" w:hAnsiTheme="minorHAnsi" w:cstheme="minorBidi"/>
              <w:noProof/>
              <w:sz w:val="22"/>
            </w:rPr>
          </w:pPr>
          <w:hyperlink w:anchor="_Toc2682556" w:history="1">
            <w:r w:rsidR="00690D51" w:rsidRPr="007E5E9E">
              <w:rPr>
                <w:rStyle w:val="Hypertextovodkaz"/>
                <w:noProof/>
              </w:rPr>
              <w:t>3.1</w:t>
            </w:r>
            <w:r w:rsidR="00690D51">
              <w:rPr>
                <w:rFonts w:asciiTheme="minorHAnsi" w:eastAsiaTheme="minorEastAsia" w:hAnsiTheme="minorHAnsi" w:cstheme="minorBidi"/>
                <w:noProof/>
                <w:sz w:val="22"/>
              </w:rPr>
              <w:tab/>
            </w:r>
            <w:r w:rsidR="00690D51" w:rsidRPr="007E5E9E">
              <w:rPr>
                <w:rStyle w:val="Hypertextovodkaz"/>
                <w:noProof/>
              </w:rPr>
              <w:t>Vnější kontrola</w:t>
            </w:r>
            <w:r w:rsidR="00690D51">
              <w:rPr>
                <w:noProof/>
                <w:webHidden/>
              </w:rPr>
              <w:tab/>
            </w:r>
            <w:r w:rsidR="00690D51">
              <w:rPr>
                <w:noProof/>
                <w:webHidden/>
              </w:rPr>
              <w:fldChar w:fldCharType="begin"/>
            </w:r>
            <w:r w:rsidR="00690D51">
              <w:rPr>
                <w:noProof/>
                <w:webHidden/>
              </w:rPr>
              <w:instrText xml:space="preserve"> PAGEREF _Toc2682556 \h </w:instrText>
            </w:r>
            <w:r w:rsidR="00690D51">
              <w:rPr>
                <w:noProof/>
                <w:webHidden/>
              </w:rPr>
            </w:r>
            <w:r w:rsidR="00690D51">
              <w:rPr>
                <w:noProof/>
                <w:webHidden/>
              </w:rPr>
              <w:fldChar w:fldCharType="separate"/>
            </w:r>
            <w:r w:rsidR="00690D51">
              <w:rPr>
                <w:noProof/>
                <w:webHidden/>
              </w:rPr>
              <w:t>18</w:t>
            </w:r>
            <w:r w:rsidR="00690D51">
              <w:rPr>
                <w:noProof/>
                <w:webHidden/>
              </w:rPr>
              <w:fldChar w:fldCharType="end"/>
            </w:r>
          </w:hyperlink>
        </w:p>
        <w:p w14:paraId="320CE977" w14:textId="77777777" w:rsidR="00690D51" w:rsidRDefault="00B07D01">
          <w:pPr>
            <w:pStyle w:val="Obsah2"/>
            <w:rPr>
              <w:rFonts w:asciiTheme="minorHAnsi" w:eastAsiaTheme="minorEastAsia" w:hAnsiTheme="minorHAnsi" w:cstheme="minorBidi"/>
              <w:noProof/>
              <w:sz w:val="22"/>
            </w:rPr>
          </w:pPr>
          <w:hyperlink w:anchor="_Toc2682557" w:history="1">
            <w:r w:rsidR="00690D51" w:rsidRPr="007E5E9E">
              <w:rPr>
                <w:rStyle w:val="Hypertextovodkaz"/>
                <w:noProof/>
              </w:rPr>
              <w:t>3.2.</w:t>
            </w:r>
            <w:r w:rsidR="00690D51">
              <w:rPr>
                <w:rFonts w:asciiTheme="minorHAnsi" w:eastAsiaTheme="minorEastAsia" w:hAnsiTheme="minorHAnsi" w:cstheme="minorBidi"/>
                <w:noProof/>
                <w:sz w:val="22"/>
              </w:rPr>
              <w:tab/>
            </w:r>
            <w:r w:rsidR="00690D51" w:rsidRPr="007E5E9E">
              <w:rPr>
                <w:rStyle w:val="Hypertextovodkaz"/>
                <w:noProof/>
              </w:rPr>
              <w:t>Vnitřní kontrola</w:t>
            </w:r>
            <w:r w:rsidR="00690D51">
              <w:rPr>
                <w:noProof/>
                <w:webHidden/>
              </w:rPr>
              <w:tab/>
            </w:r>
            <w:r w:rsidR="00690D51">
              <w:rPr>
                <w:noProof/>
                <w:webHidden/>
              </w:rPr>
              <w:fldChar w:fldCharType="begin"/>
            </w:r>
            <w:r w:rsidR="00690D51">
              <w:rPr>
                <w:noProof/>
                <w:webHidden/>
              </w:rPr>
              <w:instrText xml:space="preserve"> PAGEREF _Toc2682557 \h </w:instrText>
            </w:r>
            <w:r w:rsidR="00690D51">
              <w:rPr>
                <w:noProof/>
                <w:webHidden/>
              </w:rPr>
            </w:r>
            <w:r w:rsidR="00690D51">
              <w:rPr>
                <w:noProof/>
                <w:webHidden/>
              </w:rPr>
              <w:fldChar w:fldCharType="separate"/>
            </w:r>
            <w:r w:rsidR="00690D51">
              <w:rPr>
                <w:noProof/>
                <w:webHidden/>
              </w:rPr>
              <w:t>18</w:t>
            </w:r>
            <w:r w:rsidR="00690D51">
              <w:rPr>
                <w:noProof/>
                <w:webHidden/>
              </w:rPr>
              <w:fldChar w:fldCharType="end"/>
            </w:r>
          </w:hyperlink>
        </w:p>
        <w:p w14:paraId="34654024" w14:textId="77777777" w:rsidR="00690D51" w:rsidRDefault="00B07D01">
          <w:pPr>
            <w:pStyle w:val="Obsah1"/>
            <w:rPr>
              <w:rFonts w:asciiTheme="minorHAnsi" w:eastAsiaTheme="minorEastAsia" w:hAnsiTheme="minorHAnsi" w:cstheme="minorBidi"/>
              <w:noProof/>
              <w:sz w:val="22"/>
            </w:rPr>
          </w:pPr>
          <w:hyperlink w:anchor="_Toc2682558" w:history="1">
            <w:r w:rsidR="00690D51" w:rsidRPr="007E5E9E">
              <w:rPr>
                <w:rStyle w:val="Hypertextovodkaz"/>
                <w:noProof/>
              </w:rPr>
              <w:t>4</w:t>
            </w:r>
            <w:r w:rsidR="00690D51">
              <w:rPr>
                <w:rFonts w:asciiTheme="minorHAnsi" w:eastAsiaTheme="minorEastAsia" w:hAnsiTheme="minorHAnsi" w:cstheme="minorBidi"/>
                <w:noProof/>
                <w:sz w:val="22"/>
              </w:rPr>
              <w:tab/>
            </w:r>
            <w:r w:rsidR="00690D51" w:rsidRPr="007E5E9E">
              <w:rPr>
                <w:rStyle w:val="Hypertextovodkaz"/>
                <w:noProof/>
              </w:rPr>
              <w:t>SPOLUPRÁCE</w:t>
            </w:r>
            <w:r w:rsidR="00690D51">
              <w:rPr>
                <w:noProof/>
                <w:webHidden/>
              </w:rPr>
              <w:tab/>
            </w:r>
            <w:r w:rsidR="00690D51">
              <w:rPr>
                <w:noProof/>
                <w:webHidden/>
              </w:rPr>
              <w:fldChar w:fldCharType="begin"/>
            </w:r>
            <w:r w:rsidR="00690D51">
              <w:rPr>
                <w:noProof/>
                <w:webHidden/>
              </w:rPr>
              <w:instrText xml:space="preserve"> PAGEREF _Toc2682558 \h </w:instrText>
            </w:r>
            <w:r w:rsidR="00690D51">
              <w:rPr>
                <w:noProof/>
                <w:webHidden/>
              </w:rPr>
            </w:r>
            <w:r w:rsidR="00690D51">
              <w:rPr>
                <w:noProof/>
                <w:webHidden/>
              </w:rPr>
              <w:fldChar w:fldCharType="separate"/>
            </w:r>
            <w:r w:rsidR="00690D51">
              <w:rPr>
                <w:noProof/>
                <w:webHidden/>
              </w:rPr>
              <w:t>21</w:t>
            </w:r>
            <w:r w:rsidR="00690D51">
              <w:rPr>
                <w:noProof/>
                <w:webHidden/>
              </w:rPr>
              <w:fldChar w:fldCharType="end"/>
            </w:r>
          </w:hyperlink>
        </w:p>
        <w:p w14:paraId="2B5A6A9D" w14:textId="77777777" w:rsidR="00690D51" w:rsidRDefault="00B07D01">
          <w:pPr>
            <w:pStyle w:val="Obsah2"/>
            <w:rPr>
              <w:rFonts w:asciiTheme="minorHAnsi" w:eastAsiaTheme="minorEastAsia" w:hAnsiTheme="minorHAnsi" w:cstheme="minorBidi"/>
              <w:noProof/>
              <w:sz w:val="22"/>
            </w:rPr>
          </w:pPr>
          <w:hyperlink w:anchor="_Toc2682559" w:history="1">
            <w:r w:rsidR="00690D51" w:rsidRPr="007E5E9E">
              <w:rPr>
                <w:rStyle w:val="Hypertextovodkaz"/>
                <w:noProof/>
              </w:rPr>
              <w:t>4.1</w:t>
            </w:r>
            <w:r w:rsidR="00690D51">
              <w:rPr>
                <w:rFonts w:asciiTheme="minorHAnsi" w:eastAsiaTheme="minorEastAsia" w:hAnsiTheme="minorHAnsi" w:cstheme="minorBidi"/>
                <w:noProof/>
                <w:sz w:val="22"/>
              </w:rPr>
              <w:tab/>
            </w:r>
            <w:r w:rsidR="00690D51" w:rsidRPr="007E5E9E">
              <w:rPr>
                <w:rStyle w:val="Hypertextovodkaz"/>
                <w:noProof/>
              </w:rPr>
              <w:t>Bezpečnostní sbory</w:t>
            </w:r>
            <w:r w:rsidR="00690D51">
              <w:rPr>
                <w:noProof/>
                <w:webHidden/>
              </w:rPr>
              <w:tab/>
            </w:r>
            <w:r w:rsidR="00690D51">
              <w:rPr>
                <w:noProof/>
                <w:webHidden/>
              </w:rPr>
              <w:fldChar w:fldCharType="begin"/>
            </w:r>
            <w:r w:rsidR="00690D51">
              <w:rPr>
                <w:noProof/>
                <w:webHidden/>
              </w:rPr>
              <w:instrText xml:space="preserve"> PAGEREF _Toc2682559 \h </w:instrText>
            </w:r>
            <w:r w:rsidR="00690D51">
              <w:rPr>
                <w:noProof/>
                <w:webHidden/>
              </w:rPr>
            </w:r>
            <w:r w:rsidR="00690D51">
              <w:rPr>
                <w:noProof/>
                <w:webHidden/>
              </w:rPr>
              <w:fldChar w:fldCharType="separate"/>
            </w:r>
            <w:r w:rsidR="00690D51">
              <w:rPr>
                <w:noProof/>
                <w:webHidden/>
              </w:rPr>
              <w:t>21</w:t>
            </w:r>
            <w:r w:rsidR="00690D51">
              <w:rPr>
                <w:noProof/>
                <w:webHidden/>
              </w:rPr>
              <w:fldChar w:fldCharType="end"/>
            </w:r>
          </w:hyperlink>
        </w:p>
        <w:p w14:paraId="46B8D217" w14:textId="77777777" w:rsidR="00690D51" w:rsidRDefault="00B07D01">
          <w:pPr>
            <w:pStyle w:val="Obsah2"/>
            <w:rPr>
              <w:rFonts w:asciiTheme="minorHAnsi" w:eastAsiaTheme="minorEastAsia" w:hAnsiTheme="minorHAnsi" w:cstheme="minorBidi"/>
              <w:noProof/>
              <w:sz w:val="22"/>
            </w:rPr>
          </w:pPr>
          <w:hyperlink w:anchor="_Toc2682560" w:history="1">
            <w:r w:rsidR="00690D51" w:rsidRPr="007E5E9E">
              <w:rPr>
                <w:rStyle w:val="Hypertextovodkaz"/>
                <w:noProof/>
              </w:rPr>
              <w:t>4.2</w:t>
            </w:r>
            <w:r w:rsidR="00690D51">
              <w:rPr>
                <w:rFonts w:asciiTheme="minorHAnsi" w:eastAsiaTheme="minorEastAsia" w:hAnsiTheme="minorHAnsi" w:cstheme="minorBidi"/>
                <w:noProof/>
                <w:sz w:val="22"/>
              </w:rPr>
              <w:tab/>
            </w:r>
            <w:r w:rsidR="00690D51" w:rsidRPr="007E5E9E">
              <w:rPr>
                <w:rStyle w:val="Hypertextovodkaz"/>
                <w:noProof/>
              </w:rPr>
              <w:t>Státní zastupitelství</w:t>
            </w:r>
            <w:r w:rsidR="00690D51">
              <w:rPr>
                <w:noProof/>
                <w:webHidden/>
              </w:rPr>
              <w:tab/>
            </w:r>
            <w:r w:rsidR="00690D51">
              <w:rPr>
                <w:noProof/>
                <w:webHidden/>
              </w:rPr>
              <w:fldChar w:fldCharType="begin"/>
            </w:r>
            <w:r w:rsidR="00690D51">
              <w:rPr>
                <w:noProof/>
                <w:webHidden/>
              </w:rPr>
              <w:instrText xml:space="preserve"> PAGEREF _Toc2682560 \h </w:instrText>
            </w:r>
            <w:r w:rsidR="00690D51">
              <w:rPr>
                <w:noProof/>
                <w:webHidden/>
              </w:rPr>
            </w:r>
            <w:r w:rsidR="00690D51">
              <w:rPr>
                <w:noProof/>
                <w:webHidden/>
              </w:rPr>
              <w:fldChar w:fldCharType="separate"/>
            </w:r>
            <w:r w:rsidR="00690D51">
              <w:rPr>
                <w:noProof/>
                <w:webHidden/>
              </w:rPr>
              <w:t>21</w:t>
            </w:r>
            <w:r w:rsidR="00690D51">
              <w:rPr>
                <w:noProof/>
                <w:webHidden/>
              </w:rPr>
              <w:fldChar w:fldCharType="end"/>
            </w:r>
          </w:hyperlink>
        </w:p>
        <w:p w14:paraId="3B609A04" w14:textId="77777777" w:rsidR="00690D51" w:rsidRDefault="00B07D01">
          <w:pPr>
            <w:pStyle w:val="Obsah2"/>
            <w:rPr>
              <w:rFonts w:asciiTheme="minorHAnsi" w:eastAsiaTheme="minorEastAsia" w:hAnsiTheme="minorHAnsi" w:cstheme="minorBidi"/>
              <w:noProof/>
              <w:sz w:val="22"/>
            </w:rPr>
          </w:pPr>
          <w:hyperlink w:anchor="_Toc2682561" w:history="1">
            <w:r w:rsidR="00690D51" w:rsidRPr="007E5E9E">
              <w:rPr>
                <w:rStyle w:val="Hypertextovodkaz"/>
                <w:noProof/>
              </w:rPr>
              <w:t>4.3</w:t>
            </w:r>
            <w:r w:rsidR="00690D51">
              <w:rPr>
                <w:rFonts w:asciiTheme="minorHAnsi" w:eastAsiaTheme="minorEastAsia" w:hAnsiTheme="minorHAnsi" w:cstheme="minorBidi"/>
                <w:noProof/>
                <w:sz w:val="22"/>
              </w:rPr>
              <w:tab/>
            </w:r>
            <w:r w:rsidR="00690D51" w:rsidRPr="007E5E9E">
              <w:rPr>
                <w:rStyle w:val="Hypertextovodkaz"/>
                <w:noProof/>
              </w:rPr>
              <w:t>Spolupráce s ostatními subjekty</w:t>
            </w:r>
            <w:r w:rsidR="00690D51">
              <w:rPr>
                <w:noProof/>
                <w:webHidden/>
              </w:rPr>
              <w:tab/>
            </w:r>
            <w:r w:rsidR="00690D51">
              <w:rPr>
                <w:noProof/>
                <w:webHidden/>
              </w:rPr>
              <w:fldChar w:fldCharType="begin"/>
            </w:r>
            <w:r w:rsidR="00690D51">
              <w:rPr>
                <w:noProof/>
                <w:webHidden/>
              </w:rPr>
              <w:instrText xml:space="preserve"> PAGEREF _Toc2682561 \h </w:instrText>
            </w:r>
            <w:r w:rsidR="00690D51">
              <w:rPr>
                <w:noProof/>
                <w:webHidden/>
              </w:rPr>
            </w:r>
            <w:r w:rsidR="00690D51">
              <w:rPr>
                <w:noProof/>
                <w:webHidden/>
              </w:rPr>
              <w:fldChar w:fldCharType="separate"/>
            </w:r>
            <w:r w:rsidR="00690D51">
              <w:rPr>
                <w:noProof/>
                <w:webHidden/>
              </w:rPr>
              <w:t>22</w:t>
            </w:r>
            <w:r w:rsidR="00690D51">
              <w:rPr>
                <w:noProof/>
                <w:webHidden/>
              </w:rPr>
              <w:fldChar w:fldCharType="end"/>
            </w:r>
          </w:hyperlink>
        </w:p>
        <w:p w14:paraId="0401673F" w14:textId="77777777" w:rsidR="00690D51" w:rsidRDefault="00B07D01">
          <w:pPr>
            <w:pStyle w:val="Obsah2"/>
            <w:rPr>
              <w:rFonts w:asciiTheme="minorHAnsi" w:eastAsiaTheme="minorEastAsia" w:hAnsiTheme="minorHAnsi" w:cstheme="minorBidi"/>
              <w:noProof/>
              <w:sz w:val="22"/>
            </w:rPr>
          </w:pPr>
          <w:hyperlink w:anchor="_Toc2682562" w:history="1">
            <w:r w:rsidR="00690D51" w:rsidRPr="007E5E9E">
              <w:rPr>
                <w:rStyle w:val="Hypertextovodkaz"/>
                <w:noProof/>
              </w:rPr>
              <w:t>4.4</w:t>
            </w:r>
            <w:r w:rsidR="00690D51">
              <w:rPr>
                <w:rFonts w:asciiTheme="minorHAnsi" w:eastAsiaTheme="minorEastAsia" w:hAnsiTheme="minorHAnsi" w:cstheme="minorBidi"/>
                <w:noProof/>
                <w:sz w:val="22"/>
              </w:rPr>
              <w:tab/>
            </w:r>
            <w:r w:rsidR="00690D51" w:rsidRPr="007E5E9E">
              <w:rPr>
                <w:rStyle w:val="Hypertextovodkaz"/>
                <w:noProof/>
              </w:rPr>
              <w:t>Mezinárodní spolupráce</w:t>
            </w:r>
            <w:r w:rsidR="00690D51">
              <w:rPr>
                <w:noProof/>
                <w:webHidden/>
              </w:rPr>
              <w:tab/>
            </w:r>
            <w:r w:rsidR="00690D51">
              <w:rPr>
                <w:noProof/>
                <w:webHidden/>
              </w:rPr>
              <w:fldChar w:fldCharType="begin"/>
            </w:r>
            <w:r w:rsidR="00690D51">
              <w:rPr>
                <w:noProof/>
                <w:webHidden/>
              </w:rPr>
              <w:instrText xml:space="preserve"> PAGEREF _Toc2682562 \h </w:instrText>
            </w:r>
            <w:r w:rsidR="00690D51">
              <w:rPr>
                <w:noProof/>
                <w:webHidden/>
              </w:rPr>
            </w:r>
            <w:r w:rsidR="00690D51">
              <w:rPr>
                <w:noProof/>
                <w:webHidden/>
              </w:rPr>
              <w:fldChar w:fldCharType="separate"/>
            </w:r>
            <w:r w:rsidR="00690D51">
              <w:rPr>
                <w:noProof/>
                <w:webHidden/>
              </w:rPr>
              <w:t>22</w:t>
            </w:r>
            <w:r w:rsidR="00690D51">
              <w:rPr>
                <w:noProof/>
                <w:webHidden/>
              </w:rPr>
              <w:fldChar w:fldCharType="end"/>
            </w:r>
          </w:hyperlink>
        </w:p>
        <w:p w14:paraId="44E27C8E" w14:textId="77777777" w:rsidR="00690D51" w:rsidRDefault="00B07D01">
          <w:pPr>
            <w:pStyle w:val="Obsah2"/>
            <w:rPr>
              <w:rFonts w:asciiTheme="minorHAnsi" w:eastAsiaTheme="minorEastAsia" w:hAnsiTheme="minorHAnsi" w:cstheme="minorBidi"/>
              <w:noProof/>
              <w:sz w:val="22"/>
            </w:rPr>
          </w:pPr>
          <w:hyperlink w:anchor="_Toc2682563" w:history="1">
            <w:r w:rsidR="00690D51" w:rsidRPr="007E5E9E">
              <w:rPr>
                <w:rStyle w:val="Hypertextovodkaz"/>
                <w:noProof/>
              </w:rPr>
              <w:t>4.5</w:t>
            </w:r>
            <w:r w:rsidR="00690D51">
              <w:rPr>
                <w:rFonts w:asciiTheme="minorHAnsi" w:eastAsiaTheme="minorEastAsia" w:hAnsiTheme="minorHAnsi" w:cstheme="minorBidi"/>
                <w:noProof/>
                <w:sz w:val="22"/>
              </w:rPr>
              <w:tab/>
            </w:r>
            <w:r w:rsidR="00690D51" w:rsidRPr="007E5E9E">
              <w:rPr>
                <w:rStyle w:val="Hypertextovodkaz"/>
                <w:noProof/>
              </w:rPr>
              <w:t>Poskytování informací podle zákona č. 106/1999 Sb., o svobodném přístupu k informacím</w:t>
            </w:r>
            <w:r w:rsidR="00690D51">
              <w:rPr>
                <w:noProof/>
                <w:webHidden/>
              </w:rPr>
              <w:tab/>
            </w:r>
            <w:r w:rsidR="00690D51">
              <w:rPr>
                <w:noProof/>
                <w:webHidden/>
              </w:rPr>
              <w:fldChar w:fldCharType="begin"/>
            </w:r>
            <w:r w:rsidR="00690D51">
              <w:rPr>
                <w:noProof/>
                <w:webHidden/>
              </w:rPr>
              <w:instrText xml:space="preserve"> PAGEREF _Toc2682563 \h </w:instrText>
            </w:r>
            <w:r w:rsidR="00690D51">
              <w:rPr>
                <w:noProof/>
                <w:webHidden/>
              </w:rPr>
            </w:r>
            <w:r w:rsidR="00690D51">
              <w:rPr>
                <w:noProof/>
                <w:webHidden/>
              </w:rPr>
              <w:fldChar w:fldCharType="separate"/>
            </w:r>
            <w:r w:rsidR="00690D51">
              <w:rPr>
                <w:noProof/>
                <w:webHidden/>
              </w:rPr>
              <w:t>22</w:t>
            </w:r>
            <w:r w:rsidR="00690D51">
              <w:rPr>
                <w:noProof/>
                <w:webHidden/>
              </w:rPr>
              <w:fldChar w:fldCharType="end"/>
            </w:r>
          </w:hyperlink>
        </w:p>
        <w:p w14:paraId="3FD134EB" w14:textId="77777777" w:rsidR="00690D51" w:rsidRDefault="00B07D01">
          <w:pPr>
            <w:pStyle w:val="Obsah2"/>
            <w:rPr>
              <w:rFonts w:asciiTheme="minorHAnsi" w:eastAsiaTheme="minorEastAsia" w:hAnsiTheme="minorHAnsi" w:cstheme="minorBidi"/>
              <w:noProof/>
              <w:sz w:val="22"/>
            </w:rPr>
          </w:pPr>
          <w:hyperlink w:anchor="_Toc2682564" w:history="1">
            <w:r w:rsidR="00690D51" w:rsidRPr="007E5E9E">
              <w:rPr>
                <w:rStyle w:val="Hypertextovodkaz"/>
                <w:noProof/>
              </w:rPr>
              <w:t>4.6</w:t>
            </w:r>
            <w:r w:rsidR="00690D51">
              <w:rPr>
                <w:rFonts w:asciiTheme="minorHAnsi" w:eastAsiaTheme="minorEastAsia" w:hAnsiTheme="minorHAnsi" w:cstheme="minorBidi"/>
                <w:noProof/>
                <w:sz w:val="22"/>
              </w:rPr>
              <w:tab/>
            </w:r>
            <w:r w:rsidR="00690D51" w:rsidRPr="007E5E9E">
              <w:rPr>
                <w:rStyle w:val="Hypertextovodkaz"/>
                <w:noProof/>
              </w:rPr>
              <w:t>Vztahy s veřejností a médii</w:t>
            </w:r>
            <w:r w:rsidR="00690D51">
              <w:rPr>
                <w:noProof/>
                <w:webHidden/>
              </w:rPr>
              <w:tab/>
            </w:r>
            <w:r w:rsidR="00690D51">
              <w:rPr>
                <w:noProof/>
                <w:webHidden/>
              </w:rPr>
              <w:fldChar w:fldCharType="begin"/>
            </w:r>
            <w:r w:rsidR="00690D51">
              <w:rPr>
                <w:noProof/>
                <w:webHidden/>
              </w:rPr>
              <w:instrText xml:space="preserve"> PAGEREF _Toc2682564 \h </w:instrText>
            </w:r>
            <w:r w:rsidR="00690D51">
              <w:rPr>
                <w:noProof/>
                <w:webHidden/>
              </w:rPr>
            </w:r>
            <w:r w:rsidR="00690D51">
              <w:rPr>
                <w:noProof/>
                <w:webHidden/>
              </w:rPr>
              <w:fldChar w:fldCharType="separate"/>
            </w:r>
            <w:r w:rsidR="00690D51">
              <w:rPr>
                <w:noProof/>
                <w:webHidden/>
              </w:rPr>
              <w:t>24</w:t>
            </w:r>
            <w:r w:rsidR="00690D51">
              <w:rPr>
                <w:noProof/>
                <w:webHidden/>
              </w:rPr>
              <w:fldChar w:fldCharType="end"/>
            </w:r>
          </w:hyperlink>
        </w:p>
        <w:p w14:paraId="57E7F356" w14:textId="77777777" w:rsidR="00690D51" w:rsidRDefault="00B07D01">
          <w:pPr>
            <w:pStyle w:val="Obsah1"/>
            <w:rPr>
              <w:rFonts w:asciiTheme="minorHAnsi" w:eastAsiaTheme="minorEastAsia" w:hAnsiTheme="minorHAnsi" w:cstheme="minorBidi"/>
              <w:noProof/>
              <w:sz w:val="22"/>
            </w:rPr>
          </w:pPr>
          <w:hyperlink w:anchor="_Toc2682565" w:history="1">
            <w:r w:rsidR="00690D51" w:rsidRPr="007E5E9E">
              <w:rPr>
                <w:rStyle w:val="Hypertextovodkaz"/>
                <w:noProof/>
              </w:rPr>
              <w:t>5</w:t>
            </w:r>
            <w:r w:rsidR="00690D51">
              <w:rPr>
                <w:rFonts w:asciiTheme="minorHAnsi" w:eastAsiaTheme="minorEastAsia" w:hAnsiTheme="minorHAnsi" w:cstheme="minorBidi"/>
                <w:noProof/>
                <w:sz w:val="22"/>
              </w:rPr>
              <w:tab/>
            </w:r>
            <w:r w:rsidR="00690D51" w:rsidRPr="007E5E9E">
              <w:rPr>
                <w:rStyle w:val="Hypertextovodkaz"/>
                <w:noProof/>
              </w:rPr>
              <w:t>EKONOMIKA A PERSONALISTIKA</w:t>
            </w:r>
            <w:r w:rsidR="00690D51">
              <w:rPr>
                <w:noProof/>
                <w:webHidden/>
              </w:rPr>
              <w:tab/>
            </w:r>
            <w:r w:rsidR="00690D51">
              <w:rPr>
                <w:noProof/>
                <w:webHidden/>
              </w:rPr>
              <w:fldChar w:fldCharType="begin"/>
            </w:r>
            <w:r w:rsidR="00690D51">
              <w:rPr>
                <w:noProof/>
                <w:webHidden/>
              </w:rPr>
              <w:instrText xml:space="preserve"> PAGEREF _Toc2682565 \h </w:instrText>
            </w:r>
            <w:r w:rsidR="00690D51">
              <w:rPr>
                <w:noProof/>
                <w:webHidden/>
              </w:rPr>
            </w:r>
            <w:r w:rsidR="00690D51">
              <w:rPr>
                <w:noProof/>
                <w:webHidden/>
              </w:rPr>
              <w:fldChar w:fldCharType="separate"/>
            </w:r>
            <w:r w:rsidR="00690D51">
              <w:rPr>
                <w:noProof/>
                <w:webHidden/>
              </w:rPr>
              <w:t>25</w:t>
            </w:r>
            <w:r w:rsidR="00690D51">
              <w:rPr>
                <w:noProof/>
                <w:webHidden/>
              </w:rPr>
              <w:fldChar w:fldCharType="end"/>
            </w:r>
          </w:hyperlink>
        </w:p>
        <w:p w14:paraId="786F0D85" w14:textId="77777777" w:rsidR="00690D51" w:rsidRDefault="00B07D01">
          <w:pPr>
            <w:pStyle w:val="Obsah2"/>
            <w:rPr>
              <w:rFonts w:asciiTheme="minorHAnsi" w:eastAsiaTheme="minorEastAsia" w:hAnsiTheme="minorHAnsi" w:cstheme="minorBidi"/>
              <w:noProof/>
              <w:sz w:val="22"/>
            </w:rPr>
          </w:pPr>
          <w:hyperlink w:anchor="_Toc2682566" w:history="1">
            <w:r w:rsidR="00690D51" w:rsidRPr="007E5E9E">
              <w:rPr>
                <w:rStyle w:val="Hypertextovodkaz"/>
                <w:noProof/>
              </w:rPr>
              <w:t>5.1</w:t>
            </w:r>
            <w:r w:rsidR="00690D51">
              <w:rPr>
                <w:rFonts w:asciiTheme="minorHAnsi" w:eastAsiaTheme="minorEastAsia" w:hAnsiTheme="minorHAnsi" w:cstheme="minorBidi"/>
                <w:noProof/>
                <w:sz w:val="22"/>
              </w:rPr>
              <w:tab/>
            </w:r>
            <w:r w:rsidR="00690D51" w:rsidRPr="007E5E9E">
              <w:rPr>
                <w:rStyle w:val="Hypertextovodkaz"/>
                <w:noProof/>
              </w:rPr>
              <w:t>Rozpočet</w:t>
            </w:r>
            <w:r w:rsidR="00690D51">
              <w:rPr>
                <w:noProof/>
                <w:webHidden/>
              </w:rPr>
              <w:tab/>
            </w:r>
            <w:r w:rsidR="00690D51">
              <w:rPr>
                <w:noProof/>
                <w:webHidden/>
              </w:rPr>
              <w:fldChar w:fldCharType="begin"/>
            </w:r>
            <w:r w:rsidR="00690D51">
              <w:rPr>
                <w:noProof/>
                <w:webHidden/>
              </w:rPr>
              <w:instrText xml:space="preserve"> PAGEREF _Toc2682566 \h </w:instrText>
            </w:r>
            <w:r w:rsidR="00690D51">
              <w:rPr>
                <w:noProof/>
                <w:webHidden/>
              </w:rPr>
            </w:r>
            <w:r w:rsidR="00690D51">
              <w:rPr>
                <w:noProof/>
                <w:webHidden/>
              </w:rPr>
              <w:fldChar w:fldCharType="separate"/>
            </w:r>
            <w:r w:rsidR="00690D51">
              <w:rPr>
                <w:noProof/>
                <w:webHidden/>
              </w:rPr>
              <w:t>25</w:t>
            </w:r>
            <w:r w:rsidR="00690D51">
              <w:rPr>
                <w:noProof/>
                <w:webHidden/>
              </w:rPr>
              <w:fldChar w:fldCharType="end"/>
            </w:r>
          </w:hyperlink>
        </w:p>
        <w:p w14:paraId="57669B01" w14:textId="77777777" w:rsidR="00690D51" w:rsidRDefault="00B07D01">
          <w:pPr>
            <w:pStyle w:val="Obsah2"/>
            <w:rPr>
              <w:rFonts w:asciiTheme="minorHAnsi" w:eastAsiaTheme="minorEastAsia" w:hAnsiTheme="minorHAnsi" w:cstheme="minorBidi"/>
              <w:noProof/>
              <w:sz w:val="22"/>
            </w:rPr>
          </w:pPr>
          <w:hyperlink w:anchor="_Toc2682567" w:history="1">
            <w:r w:rsidR="00690D51" w:rsidRPr="007E5E9E">
              <w:rPr>
                <w:rStyle w:val="Hypertextovodkaz"/>
                <w:noProof/>
              </w:rPr>
              <w:t>5.2</w:t>
            </w:r>
            <w:r w:rsidR="00690D51">
              <w:rPr>
                <w:rFonts w:asciiTheme="minorHAnsi" w:eastAsiaTheme="minorEastAsia" w:hAnsiTheme="minorHAnsi" w:cstheme="minorBidi"/>
                <w:noProof/>
                <w:sz w:val="22"/>
              </w:rPr>
              <w:tab/>
            </w:r>
            <w:r w:rsidR="00690D51" w:rsidRPr="007E5E9E">
              <w:rPr>
                <w:rStyle w:val="Hypertextovodkaz"/>
                <w:noProof/>
              </w:rPr>
              <w:t>Veřejné zakázky</w:t>
            </w:r>
            <w:r w:rsidR="00690D51">
              <w:rPr>
                <w:noProof/>
                <w:webHidden/>
              </w:rPr>
              <w:tab/>
            </w:r>
            <w:r w:rsidR="00690D51">
              <w:rPr>
                <w:noProof/>
                <w:webHidden/>
              </w:rPr>
              <w:fldChar w:fldCharType="begin"/>
            </w:r>
            <w:r w:rsidR="00690D51">
              <w:rPr>
                <w:noProof/>
                <w:webHidden/>
              </w:rPr>
              <w:instrText xml:space="preserve"> PAGEREF _Toc2682567 \h </w:instrText>
            </w:r>
            <w:r w:rsidR="00690D51">
              <w:rPr>
                <w:noProof/>
                <w:webHidden/>
              </w:rPr>
            </w:r>
            <w:r w:rsidR="00690D51">
              <w:rPr>
                <w:noProof/>
                <w:webHidden/>
              </w:rPr>
              <w:fldChar w:fldCharType="separate"/>
            </w:r>
            <w:r w:rsidR="00690D51">
              <w:rPr>
                <w:noProof/>
                <w:webHidden/>
              </w:rPr>
              <w:t>31</w:t>
            </w:r>
            <w:r w:rsidR="00690D51">
              <w:rPr>
                <w:noProof/>
                <w:webHidden/>
              </w:rPr>
              <w:fldChar w:fldCharType="end"/>
            </w:r>
          </w:hyperlink>
        </w:p>
        <w:p w14:paraId="16556097" w14:textId="77777777" w:rsidR="00690D51" w:rsidRDefault="00B07D01">
          <w:pPr>
            <w:pStyle w:val="Obsah2"/>
            <w:rPr>
              <w:rFonts w:asciiTheme="minorHAnsi" w:eastAsiaTheme="minorEastAsia" w:hAnsiTheme="minorHAnsi" w:cstheme="minorBidi"/>
              <w:noProof/>
              <w:sz w:val="22"/>
            </w:rPr>
          </w:pPr>
          <w:hyperlink w:anchor="_Toc2682568" w:history="1">
            <w:r w:rsidR="00690D51" w:rsidRPr="007E5E9E">
              <w:rPr>
                <w:rStyle w:val="Hypertextovodkaz"/>
                <w:noProof/>
              </w:rPr>
              <w:t>5.3</w:t>
            </w:r>
            <w:r w:rsidR="00690D51">
              <w:rPr>
                <w:rFonts w:asciiTheme="minorHAnsi" w:eastAsiaTheme="minorEastAsia" w:hAnsiTheme="minorHAnsi" w:cstheme="minorBidi"/>
                <w:noProof/>
                <w:sz w:val="22"/>
              </w:rPr>
              <w:tab/>
            </w:r>
            <w:r w:rsidR="00690D51" w:rsidRPr="007E5E9E">
              <w:rPr>
                <w:rStyle w:val="Hypertextovodkaz"/>
                <w:noProof/>
              </w:rPr>
              <w:t>Personální záležitosti a vzdělávání</w:t>
            </w:r>
            <w:r w:rsidR="00690D51">
              <w:rPr>
                <w:noProof/>
                <w:webHidden/>
              </w:rPr>
              <w:tab/>
            </w:r>
            <w:r w:rsidR="00690D51">
              <w:rPr>
                <w:noProof/>
                <w:webHidden/>
              </w:rPr>
              <w:fldChar w:fldCharType="begin"/>
            </w:r>
            <w:r w:rsidR="00690D51">
              <w:rPr>
                <w:noProof/>
                <w:webHidden/>
              </w:rPr>
              <w:instrText xml:space="preserve"> PAGEREF _Toc2682568 \h </w:instrText>
            </w:r>
            <w:r w:rsidR="00690D51">
              <w:rPr>
                <w:noProof/>
                <w:webHidden/>
              </w:rPr>
            </w:r>
            <w:r w:rsidR="00690D51">
              <w:rPr>
                <w:noProof/>
                <w:webHidden/>
              </w:rPr>
              <w:fldChar w:fldCharType="separate"/>
            </w:r>
            <w:r w:rsidR="00690D51">
              <w:rPr>
                <w:noProof/>
                <w:webHidden/>
              </w:rPr>
              <w:t>32</w:t>
            </w:r>
            <w:r w:rsidR="00690D51">
              <w:rPr>
                <w:noProof/>
                <w:webHidden/>
              </w:rPr>
              <w:fldChar w:fldCharType="end"/>
            </w:r>
          </w:hyperlink>
        </w:p>
        <w:p w14:paraId="6467318F" w14:textId="77777777" w:rsidR="00690D51" w:rsidRDefault="00B07D01">
          <w:pPr>
            <w:pStyle w:val="Obsah1"/>
            <w:rPr>
              <w:rFonts w:asciiTheme="minorHAnsi" w:eastAsiaTheme="minorEastAsia" w:hAnsiTheme="minorHAnsi" w:cstheme="minorBidi"/>
              <w:noProof/>
              <w:sz w:val="22"/>
            </w:rPr>
          </w:pPr>
          <w:hyperlink w:anchor="_Toc2682569" w:history="1">
            <w:r w:rsidR="00690D51" w:rsidRPr="007E5E9E">
              <w:rPr>
                <w:rStyle w:val="Hypertextovodkaz"/>
                <w:noProof/>
              </w:rPr>
              <w:t>ZÁVĚR</w:t>
            </w:r>
            <w:r w:rsidR="00690D51">
              <w:rPr>
                <w:noProof/>
                <w:webHidden/>
              </w:rPr>
              <w:tab/>
            </w:r>
            <w:r w:rsidR="00690D51">
              <w:rPr>
                <w:noProof/>
                <w:webHidden/>
              </w:rPr>
              <w:fldChar w:fldCharType="begin"/>
            </w:r>
            <w:r w:rsidR="00690D51">
              <w:rPr>
                <w:noProof/>
                <w:webHidden/>
              </w:rPr>
              <w:instrText xml:space="preserve"> PAGEREF _Toc2682569 \h </w:instrText>
            </w:r>
            <w:r w:rsidR="00690D51">
              <w:rPr>
                <w:noProof/>
                <w:webHidden/>
              </w:rPr>
            </w:r>
            <w:r w:rsidR="00690D51">
              <w:rPr>
                <w:noProof/>
                <w:webHidden/>
              </w:rPr>
              <w:fldChar w:fldCharType="separate"/>
            </w:r>
            <w:r w:rsidR="00690D51">
              <w:rPr>
                <w:noProof/>
                <w:webHidden/>
              </w:rPr>
              <w:t>35</w:t>
            </w:r>
            <w:r w:rsidR="00690D51">
              <w:rPr>
                <w:noProof/>
                <w:webHidden/>
              </w:rPr>
              <w:fldChar w:fldCharType="end"/>
            </w:r>
          </w:hyperlink>
        </w:p>
        <w:p w14:paraId="1686A412" w14:textId="77777777" w:rsidR="00ED7A69" w:rsidRPr="00A966B6" w:rsidRDefault="006F08AB" w:rsidP="00F73806">
          <w:pPr>
            <w:spacing w:after="180" w:line="300" w:lineRule="exact"/>
          </w:pPr>
          <w:r w:rsidRPr="00A966B6">
            <w:rPr>
              <w:b/>
            </w:rPr>
            <w:fldChar w:fldCharType="end"/>
          </w:r>
        </w:p>
      </w:sdtContent>
    </w:sdt>
    <w:p w14:paraId="4650F9A4" w14:textId="77777777" w:rsidR="003B3374" w:rsidRPr="00A966B6" w:rsidRDefault="00394012" w:rsidP="00F73806">
      <w:pPr>
        <w:pStyle w:val="Nadpis1"/>
        <w:numPr>
          <w:ilvl w:val="0"/>
          <w:numId w:val="0"/>
        </w:numPr>
        <w:spacing w:before="0" w:after="251" w:line="300" w:lineRule="exact"/>
      </w:pPr>
      <w:bookmarkStart w:id="1" w:name="_Toc2085161"/>
      <w:bookmarkStart w:id="2" w:name="_Toc2682543"/>
      <w:r w:rsidRPr="00A966B6">
        <w:lastRenderedPageBreak/>
        <w:t>ÚVOD</w:t>
      </w:r>
      <w:bookmarkEnd w:id="1"/>
      <w:bookmarkEnd w:id="2"/>
    </w:p>
    <w:p w14:paraId="2B85DDC6" w14:textId="12077468" w:rsidR="00E607B5" w:rsidRPr="00A966B6" w:rsidRDefault="00704DE0" w:rsidP="00F73806">
      <w:pPr>
        <w:autoSpaceDE w:val="0"/>
        <w:autoSpaceDN w:val="0"/>
        <w:adjustRightInd w:val="0"/>
        <w:spacing w:after="251" w:line="300" w:lineRule="exact"/>
        <w:jc w:val="both"/>
        <w:rPr>
          <w:rFonts w:cs="Arial"/>
          <w:szCs w:val="24"/>
        </w:rPr>
      </w:pPr>
      <w:r>
        <w:rPr>
          <w:rFonts w:cs="Arial"/>
          <w:szCs w:val="24"/>
        </w:rPr>
        <w:t xml:space="preserve">Zpráva o činnosti </w:t>
      </w:r>
      <w:r w:rsidR="00802E88">
        <w:rPr>
          <w:rFonts w:cs="Arial"/>
          <w:szCs w:val="24"/>
        </w:rPr>
        <w:t>G</w:t>
      </w:r>
      <w:r>
        <w:rPr>
          <w:rFonts w:cs="Arial"/>
          <w:szCs w:val="24"/>
        </w:rPr>
        <w:t>e</w:t>
      </w:r>
      <w:r w:rsidRPr="00A966B6">
        <w:rPr>
          <w:rFonts w:cs="Arial"/>
          <w:szCs w:val="24"/>
        </w:rPr>
        <w:t>nerální inspekce bezpečnostních sborů</w:t>
      </w:r>
      <w:r>
        <w:rPr>
          <w:rFonts w:cs="Arial"/>
          <w:szCs w:val="24"/>
        </w:rPr>
        <w:t xml:space="preserve"> </w:t>
      </w:r>
      <w:r w:rsidRPr="00A966B6">
        <w:rPr>
          <w:rFonts w:cs="Arial"/>
          <w:szCs w:val="24"/>
        </w:rPr>
        <w:t>(dále jen „GIBS“)</w:t>
      </w:r>
      <w:r>
        <w:rPr>
          <w:rFonts w:cs="Arial"/>
          <w:szCs w:val="24"/>
        </w:rPr>
        <w:t xml:space="preserve"> za rok 2018 byla vypracována na základě poznatků z výkonu její působnosti a statistických údajů.  V </w:t>
      </w:r>
      <w:r w:rsidR="008829A6">
        <w:rPr>
          <w:rFonts w:cs="Arial"/>
          <w:szCs w:val="24"/>
        </w:rPr>
        <w:t>ú</w:t>
      </w:r>
      <w:r w:rsidR="00C35095">
        <w:rPr>
          <w:rFonts w:cs="Arial"/>
          <w:szCs w:val="24"/>
        </w:rPr>
        <w:t>vodu je třeba uvést,</w:t>
      </w:r>
      <w:r>
        <w:rPr>
          <w:rFonts w:cs="Arial"/>
          <w:szCs w:val="24"/>
        </w:rPr>
        <w:t xml:space="preserve"> že </w:t>
      </w:r>
      <w:r w:rsidR="004112BC" w:rsidRPr="00A966B6">
        <w:rPr>
          <w:rFonts w:cs="Arial"/>
          <w:szCs w:val="24"/>
        </w:rPr>
        <w:t xml:space="preserve">GIBS </w:t>
      </w:r>
      <w:r w:rsidR="001454F5" w:rsidRPr="00A966B6">
        <w:rPr>
          <w:rFonts w:cs="Arial"/>
          <w:szCs w:val="24"/>
        </w:rPr>
        <w:t>j</w:t>
      </w:r>
      <w:r w:rsidR="003B3374" w:rsidRPr="00A966B6">
        <w:rPr>
          <w:rFonts w:cs="Arial"/>
          <w:szCs w:val="24"/>
        </w:rPr>
        <w:t xml:space="preserve">e ozbrojeným </w:t>
      </w:r>
      <w:r w:rsidR="00EA0647" w:rsidRPr="00A966B6">
        <w:rPr>
          <w:rFonts w:cs="Arial"/>
          <w:szCs w:val="24"/>
        </w:rPr>
        <w:t xml:space="preserve">bezpečnostním </w:t>
      </w:r>
      <w:r w:rsidR="003B3374" w:rsidRPr="00A966B6">
        <w:rPr>
          <w:rFonts w:cs="Arial"/>
          <w:szCs w:val="24"/>
        </w:rPr>
        <w:t>sborem České republiky</w:t>
      </w:r>
      <w:r w:rsidR="004112BC" w:rsidRPr="00A966B6">
        <w:rPr>
          <w:rFonts w:cs="Arial"/>
          <w:szCs w:val="24"/>
        </w:rPr>
        <w:t xml:space="preserve"> (dále jen „ČR“)</w:t>
      </w:r>
      <w:r w:rsidR="003B3374" w:rsidRPr="00A966B6">
        <w:rPr>
          <w:rFonts w:cs="Arial"/>
          <w:szCs w:val="24"/>
        </w:rPr>
        <w:t>, jehož vznik je zakotven v zákoně č. 341/2011 Sb.,</w:t>
      </w:r>
      <w:r w:rsidR="004112BC" w:rsidRPr="00A966B6">
        <w:rPr>
          <w:rFonts w:cs="Arial"/>
          <w:szCs w:val="24"/>
        </w:rPr>
        <w:t xml:space="preserve"> </w:t>
      </w:r>
      <w:r w:rsidR="003B3374" w:rsidRPr="00A966B6">
        <w:rPr>
          <w:rFonts w:cs="Arial"/>
          <w:szCs w:val="24"/>
        </w:rPr>
        <w:t>o Generální inspekci bezpečnostních sborů a o změně souvisejících zákonů</w:t>
      </w:r>
      <w:r w:rsidR="00356502" w:rsidRPr="00A966B6">
        <w:rPr>
          <w:rFonts w:cs="Arial"/>
          <w:szCs w:val="24"/>
        </w:rPr>
        <w:t>, ve znění pozdějších předpisů</w:t>
      </w:r>
      <w:r w:rsidR="00173714" w:rsidRPr="00A966B6">
        <w:rPr>
          <w:rFonts w:cs="Arial"/>
          <w:szCs w:val="24"/>
        </w:rPr>
        <w:t xml:space="preserve"> </w:t>
      </w:r>
      <w:r w:rsidR="003B3374" w:rsidRPr="00A966B6">
        <w:rPr>
          <w:rFonts w:cs="Arial"/>
          <w:szCs w:val="24"/>
        </w:rPr>
        <w:t>(</w:t>
      </w:r>
      <w:r w:rsidR="00EA0647" w:rsidRPr="00A966B6">
        <w:rPr>
          <w:rFonts w:cs="Arial"/>
          <w:szCs w:val="24"/>
        </w:rPr>
        <w:t>dále jen „</w:t>
      </w:r>
      <w:r w:rsidR="003B3374" w:rsidRPr="00A966B6">
        <w:rPr>
          <w:rFonts w:cs="Arial"/>
          <w:szCs w:val="24"/>
        </w:rPr>
        <w:t>zákon o GIBS</w:t>
      </w:r>
      <w:r w:rsidR="00EA0647" w:rsidRPr="00A966B6">
        <w:rPr>
          <w:rFonts w:cs="Arial"/>
          <w:szCs w:val="24"/>
        </w:rPr>
        <w:t>“</w:t>
      </w:r>
      <w:r w:rsidR="003B3374" w:rsidRPr="00A966B6">
        <w:rPr>
          <w:rFonts w:cs="Arial"/>
          <w:szCs w:val="24"/>
        </w:rPr>
        <w:t xml:space="preserve">). </w:t>
      </w:r>
    </w:p>
    <w:p w14:paraId="4999BC90" w14:textId="0589F61B" w:rsidR="003B3374" w:rsidRPr="00A966B6" w:rsidRDefault="00BA0FF1" w:rsidP="00F73806">
      <w:pPr>
        <w:autoSpaceDE w:val="0"/>
        <w:autoSpaceDN w:val="0"/>
        <w:adjustRightInd w:val="0"/>
        <w:spacing w:after="251" w:line="300" w:lineRule="exact"/>
        <w:jc w:val="both"/>
        <w:rPr>
          <w:rFonts w:cs="Arial"/>
          <w:szCs w:val="24"/>
        </w:rPr>
      </w:pPr>
      <w:r w:rsidRPr="00A966B6">
        <w:rPr>
          <w:rFonts w:cs="Arial"/>
          <w:szCs w:val="24"/>
        </w:rPr>
        <w:t>GIBS</w:t>
      </w:r>
      <w:r w:rsidR="003B3374" w:rsidRPr="00A966B6">
        <w:rPr>
          <w:rFonts w:cs="Arial"/>
          <w:szCs w:val="24"/>
        </w:rPr>
        <w:t xml:space="preserve"> je </w:t>
      </w:r>
      <w:proofErr w:type="gramStart"/>
      <w:r w:rsidR="003B3374" w:rsidRPr="00A966B6">
        <w:rPr>
          <w:rFonts w:cs="Arial"/>
          <w:szCs w:val="24"/>
        </w:rPr>
        <w:t xml:space="preserve">dle </w:t>
      </w:r>
      <w:r w:rsidR="00C35095">
        <w:rPr>
          <w:rFonts w:cs="Arial"/>
          <w:szCs w:val="24"/>
        </w:rPr>
        <w:t xml:space="preserve"> §</w:t>
      </w:r>
      <w:proofErr w:type="gramEnd"/>
      <w:r w:rsidR="00C35095">
        <w:rPr>
          <w:rFonts w:cs="Arial"/>
          <w:szCs w:val="24"/>
        </w:rPr>
        <w:t xml:space="preserve"> 12 odst. 2 písm. b) </w:t>
      </w:r>
      <w:r w:rsidR="003B3374" w:rsidRPr="00A966B6">
        <w:rPr>
          <w:rFonts w:cs="Arial"/>
          <w:szCs w:val="24"/>
        </w:rPr>
        <w:t>zákona č. 141/1961 Sb., o trestním řízení soudním</w:t>
      </w:r>
      <w:r w:rsidR="00356502" w:rsidRPr="00A966B6">
        <w:rPr>
          <w:rFonts w:cs="Arial"/>
          <w:szCs w:val="24"/>
        </w:rPr>
        <w:t>, trestní řád,</w:t>
      </w:r>
      <w:r w:rsidR="00173714" w:rsidRPr="00A966B6">
        <w:rPr>
          <w:rFonts w:cs="Arial"/>
          <w:szCs w:val="24"/>
        </w:rPr>
        <w:t xml:space="preserve"> </w:t>
      </w:r>
      <w:r w:rsidR="00356502" w:rsidRPr="00A966B6">
        <w:rPr>
          <w:rFonts w:cs="Arial"/>
          <w:szCs w:val="24"/>
        </w:rPr>
        <w:t>ve znění pozdějších předpisů,</w:t>
      </w:r>
      <w:r w:rsidR="003B3374" w:rsidRPr="00A966B6">
        <w:rPr>
          <w:rFonts w:cs="Arial"/>
          <w:szCs w:val="24"/>
        </w:rPr>
        <w:t xml:space="preserve"> policejním orgánem</w:t>
      </w:r>
      <w:r w:rsidR="001454F5" w:rsidRPr="00A966B6">
        <w:rPr>
          <w:rFonts w:cs="Arial"/>
          <w:szCs w:val="24"/>
        </w:rPr>
        <w:t>.</w:t>
      </w:r>
      <w:r w:rsidR="003B3374" w:rsidRPr="00A966B6">
        <w:rPr>
          <w:rFonts w:cs="Arial"/>
          <w:szCs w:val="24"/>
        </w:rPr>
        <w:t xml:space="preserve"> </w:t>
      </w:r>
      <w:r w:rsidR="001454F5" w:rsidRPr="00A966B6">
        <w:rPr>
          <w:rFonts w:cs="Arial"/>
          <w:szCs w:val="24"/>
        </w:rPr>
        <w:t>U</w:t>
      </w:r>
      <w:r w:rsidR="003B3374" w:rsidRPr="00A966B6">
        <w:rPr>
          <w:rFonts w:cs="Arial"/>
          <w:szCs w:val="24"/>
        </w:rPr>
        <w:t xml:space="preserve">stanovení § 2 zákona o GIBS </w:t>
      </w:r>
      <w:r w:rsidR="001454F5" w:rsidRPr="00A966B6">
        <w:rPr>
          <w:rFonts w:cs="Arial"/>
          <w:szCs w:val="24"/>
        </w:rPr>
        <w:t xml:space="preserve">stanovuje </w:t>
      </w:r>
      <w:r w:rsidR="003B3374" w:rsidRPr="00A966B6">
        <w:rPr>
          <w:rFonts w:cs="Arial"/>
          <w:szCs w:val="24"/>
        </w:rPr>
        <w:t xml:space="preserve">primární úkoly, kterými jsou </w:t>
      </w:r>
      <w:r w:rsidR="00EA0647" w:rsidRPr="00A966B6">
        <w:rPr>
          <w:rFonts w:cs="Arial"/>
          <w:szCs w:val="24"/>
        </w:rPr>
        <w:t>vyhledávání</w:t>
      </w:r>
      <w:r w:rsidR="003B3374" w:rsidRPr="00A966B6">
        <w:rPr>
          <w:rFonts w:cs="Arial"/>
          <w:szCs w:val="24"/>
        </w:rPr>
        <w:t xml:space="preserve">, odhalování a prověřování skutečností nasvědčujících tomu, že byl </w:t>
      </w:r>
      <w:r w:rsidR="00EA0647" w:rsidRPr="00A966B6">
        <w:rPr>
          <w:rFonts w:cs="Arial"/>
          <w:szCs w:val="24"/>
        </w:rPr>
        <w:t xml:space="preserve">spáchán </w:t>
      </w:r>
      <w:r w:rsidR="003B3374" w:rsidRPr="00A966B6">
        <w:rPr>
          <w:rFonts w:cs="Arial"/>
          <w:szCs w:val="24"/>
        </w:rPr>
        <w:t xml:space="preserve">trestný čin, jehož pachatelem je </w:t>
      </w:r>
      <w:r w:rsidR="001454F5" w:rsidRPr="00A966B6">
        <w:rPr>
          <w:rFonts w:cs="Arial"/>
          <w:szCs w:val="24"/>
        </w:rPr>
        <w:t xml:space="preserve">osoba </w:t>
      </w:r>
      <w:r w:rsidR="000B2ECC" w:rsidRPr="00A966B6">
        <w:rPr>
          <w:rFonts w:cs="Arial"/>
          <w:szCs w:val="24"/>
        </w:rPr>
        <w:t xml:space="preserve">vymezená </w:t>
      </w:r>
      <w:r w:rsidR="003B3374" w:rsidRPr="00A966B6">
        <w:rPr>
          <w:rFonts w:cs="Arial"/>
          <w:szCs w:val="24"/>
        </w:rPr>
        <w:t>v </w:t>
      </w:r>
      <w:r w:rsidR="000B2ECC" w:rsidRPr="00A966B6">
        <w:rPr>
          <w:rFonts w:cs="Arial"/>
          <w:szCs w:val="24"/>
        </w:rPr>
        <w:t xml:space="preserve">§ 2 </w:t>
      </w:r>
      <w:r w:rsidR="003B3374" w:rsidRPr="00A966B6">
        <w:rPr>
          <w:rFonts w:cs="Arial"/>
          <w:szCs w:val="24"/>
        </w:rPr>
        <w:t>odst. 1</w:t>
      </w:r>
      <w:r w:rsidR="000B2ECC" w:rsidRPr="00A966B6">
        <w:rPr>
          <w:rFonts w:cs="Arial"/>
          <w:szCs w:val="24"/>
        </w:rPr>
        <w:t>,</w:t>
      </w:r>
      <w:r w:rsidR="001E2F29">
        <w:rPr>
          <w:rFonts w:cs="Arial"/>
          <w:szCs w:val="24"/>
        </w:rPr>
        <w:t xml:space="preserve"> což je příslušník Policie ČR (dále jen „P ČR“), </w:t>
      </w:r>
      <w:r w:rsidR="000A48EF">
        <w:rPr>
          <w:rFonts w:cs="Arial"/>
          <w:szCs w:val="24"/>
        </w:rPr>
        <w:t xml:space="preserve">Celní správy ČR (dále jen „CS ČR“), příslušník Vězeňské služby ČR (dále jen „VS ČR“) a nebo příslušník </w:t>
      </w:r>
      <w:r w:rsidR="00476685">
        <w:rPr>
          <w:rFonts w:cs="Arial"/>
          <w:szCs w:val="24"/>
        </w:rPr>
        <w:t>GIBS a</w:t>
      </w:r>
      <w:r w:rsidR="00476685" w:rsidRPr="00476685">
        <w:rPr>
          <w:rFonts w:cs="Arial"/>
          <w:szCs w:val="24"/>
        </w:rPr>
        <w:t xml:space="preserve"> </w:t>
      </w:r>
      <w:r w:rsidR="00476685">
        <w:rPr>
          <w:rFonts w:cs="Arial"/>
          <w:szCs w:val="24"/>
        </w:rPr>
        <w:t>také proti zaměstnancům P ČR a proti zaměstnancům CS ČR, VS ČR a GIBS pouze v souvislosti s plněním jejich pracovních úkolů</w:t>
      </w:r>
      <w:r w:rsidR="000A48EF">
        <w:rPr>
          <w:rFonts w:cs="Arial"/>
          <w:szCs w:val="24"/>
        </w:rPr>
        <w:t xml:space="preserve">. Úkolem GIBS je </w:t>
      </w:r>
      <w:r w:rsidR="00E2731E" w:rsidRPr="00A966B6">
        <w:rPr>
          <w:rFonts w:cs="Arial"/>
          <w:szCs w:val="24"/>
        </w:rPr>
        <w:t>vést vyšetřování p</w:t>
      </w:r>
      <w:r w:rsidR="003B3374" w:rsidRPr="00A966B6">
        <w:rPr>
          <w:rFonts w:cs="Arial"/>
          <w:szCs w:val="24"/>
        </w:rPr>
        <w:t xml:space="preserve">roti </w:t>
      </w:r>
      <w:r w:rsidR="00476685">
        <w:rPr>
          <w:rFonts w:cs="Arial"/>
          <w:szCs w:val="24"/>
        </w:rPr>
        <w:t>těmto příslušníkům a zaměstnancům vyjma příslušníků a zaměstnanců GIBS, které provádí státní zástupce.</w:t>
      </w:r>
    </w:p>
    <w:p w14:paraId="29E3ACAB" w14:textId="0191F1DC" w:rsidR="003B3374" w:rsidRPr="00A966B6" w:rsidRDefault="003B3374" w:rsidP="00F73806">
      <w:pPr>
        <w:spacing w:after="251" w:line="300" w:lineRule="exact"/>
        <w:jc w:val="both"/>
        <w:rPr>
          <w:rFonts w:cs="Arial"/>
          <w:szCs w:val="24"/>
        </w:rPr>
      </w:pPr>
      <w:r w:rsidRPr="00A966B6">
        <w:rPr>
          <w:rFonts w:cs="Arial"/>
          <w:szCs w:val="24"/>
        </w:rPr>
        <w:t>K dalším úkolům patří provádění zkoušek spolehlivosti</w:t>
      </w:r>
      <w:r w:rsidR="00A61737" w:rsidRPr="00A966B6">
        <w:rPr>
          <w:rFonts w:cs="Arial"/>
          <w:szCs w:val="24"/>
        </w:rPr>
        <w:t xml:space="preserve"> </w:t>
      </w:r>
      <w:r w:rsidRPr="00A966B6">
        <w:rPr>
          <w:rFonts w:cs="Arial"/>
          <w:szCs w:val="24"/>
        </w:rPr>
        <w:t xml:space="preserve">vůči </w:t>
      </w:r>
      <w:r w:rsidR="00D41823">
        <w:rPr>
          <w:rFonts w:cs="Arial"/>
          <w:szCs w:val="24"/>
        </w:rPr>
        <w:t>výše uvedeným osobám</w:t>
      </w:r>
      <w:r w:rsidRPr="00A966B6">
        <w:rPr>
          <w:rFonts w:cs="Arial"/>
          <w:szCs w:val="24"/>
        </w:rPr>
        <w:t>,</w:t>
      </w:r>
      <w:r w:rsidR="00D41823">
        <w:rPr>
          <w:rFonts w:cs="Arial"/>
          <w:szCs w:val="24"/>
        </w:rPr>
        <w:t xml:space="preserve"> dále</w:t>
      </w:r>
      <w:r w:rsidRPr="00A966B6">
        <w:rPr>
          <w:rFonts w:cs="Arial"/>
          <w:szCs w:val="24"/>
        </w:rPr>
        <w:t xml:space="preserve"> sledování</w:t>
      </w:r>
      <w:r w:rsidR="00356502" w:rsidRPr="00A966B6">
        <w:rPr>
          <w:rFonts w:cs="Arial"/>
          <w:szCs w:val="24"/>
        </w:rPr>
        <w:t xml:space="preserve"> </w:t>
      </w:r>
      <w:r w:rsidRPr="00A966B6">
        <w:rPr>
          <w:rFonts w:cs="Arial"/>
          <w:szCs w:val="24"/>
        </w:rPr>
        <w:t xml:space="preserve">a vyhodnocování informací o protiprávní činnosti příslušníků </w:t>
      </w:r>
      <w:r w:rsidR="00D41823">
        <w:rPr>
          <w:rFonts w:cs="Arial"/>
          <w:szCs w:val="24"/>
        </w:rPr>
        <w:t>jednotlivých bezpečnostních sborů (dále jen „BS“)</w:t>
      </w:r>
      <w:r w:rsidR="0087409E">
        <w:rPr>
          <w:rFonts w:cs="Arial"/>
          <w:szCs w:val="24"/>
        </w:rPr>
        <w:t>, navrhování opatření pro předcházení protiprávní činnosti</w:t>
      </w:r>
      <w:r w:rsidR="00D41823" w:rsidRPr="00A966B6">
        <w:rPr>
          <w:rFonts w:cs="Arial"/>
          <w:szCs w:val="24"/>
        </w:rPr>
        <w:t xml:space="preserve"> </w:t>
      </w:r>
      <w:r w:rsidRPr="00A966B6">
        <w:rPr>
          <w:rFonts w:cs="Arial"/>
          <w:szCs w:val="24"/>
        </w:rPr>
        <w:t>a vydávání metodických</w:t>
      </w:r>
      <w:r w:rsidR="00356502" w:rsidRPr="00A966B6">
        <w:rPr>
          <w:rFonts w:cs="Arial"/>
          <w:szCs w:val="24"/>
        </w:rPr>
        <w:t xml:space="preserve"> </w:t>
      </w:r>
      <w:r w:rsidRPr="00A966B6">
        <w:rPr>
          <w:rFonts w:cs="Arial"/>
          <w:szCs w:val="24"/>
        </w:rPr>
        <w:t>doporučení</w:t>
      </w:r>
      <w:r w:rsidR="00927606">
        <w:rPr>
          <w:rFonts w:cs="Arial"/>
          <w:szCs w:val="24"/>
        </w:rPr>
        <w:t>.</w:t>
      </w:r>
      <w:r w:rsidRPr="00A966B6">
        <w:rPr>
          <w:rFonts w:cs="Arial"/>
          <w:szCs w:val="24"/>
        </w:rPr>
        <w:t xml:space="preserve"> </w:t>
      </w:r>
    </w:p>
    <w:p w14:paraId="6A0061F6" w14:textId="3E5564DB" w:rsidR="006F6E86" w:rsidRPr="00AE06EF" w:rsidRDefault="006F6E86" w:rsidP="00F73806">
      <w:pPr>
        <w:autoSpaceDE w:val="0"/>
        <w:autoSpaceDN w:val="0"/>
        <w:adjustRightInd w:val="0"/>
        <w:spacing w:after="251" w:line="300" w:lineRule="exact"/>
        <w:jc w:val="both"/>
        <w:rPr>
          <w:rFonts w:cs="Arial"/>
          <w:szCs w:val="24"/>
        </w:rPr>
      </w:pPr>
      <w:r w:rsidRPr="00AE06EF">
        <w:rPr>
          <w:rFonts w:cs="Arial"/>
          <w:szCs w:val="24"/>
        </w:rPr>
        <w:t xml:space="preserve">Organizační struktura GIBS v roce 2018 spadající pod náměstka pro trestní řízení byla rozdělena na oddělení, které se zabývalo prověřováním a oddělení, které se zabývalo následným vyšetřováním. </w:t>
      </w:r>
      <w:r w:rsidR="005C65C1" w:rsidRPr="00AE06EF">
        <w:rPr>
          <w:rFonts w:cs="Arial"/>
          <w:szCs w:val="24"/>
        </w:rPr>
        <w:t xml:space="preserve">Vyšetřovatelé byli ještě rozděleni do třech oblastí, kde spadali pod koordinátory trestního řízení. Současně však byli všichni pracovníci zařazeni na teritoriálních </w:t>
      </w:r>
      <w:r w:rsidR="00AE06EF" w:rsidRPr="00AE06EF">
        <w:rPr>
          <w:rFonts w:cs="Arial"/>
          <w:szCs w:val="24"/>
        </w:rPr>
        <w:t>pracovištích, které řídil vedoucí</w:t>
      </w:r>
      <w:r w:rsidR="00546AB4">
        <w:rPr>
          <w:rFonts w:cs="Arial"/>
          <w:szCs w:val="24"/>
        </w:rPr>
        <w:t xml:space="preserve"> teritoriálního</w:t>
      </w:r>
      <w:r w:rsidR="00AE06EF" w:rsidRPr="00AE06EF">
        <w:rPr>
          <w:rFonts w:cs="Arial"/>
          <w:szCs w:val="24"/>
        </w:rPr>
        <w:t xml:space="preserve"> pracoviště. </w:t>
      </w:r>
      <w:r w:rsidR="00546AB4">
        <w:rPr>
          <w:rFonts w:cs="Arial"/>
          <w:szCs w:val="24"/>
        </w:rPr>
        <w:t>Rozdělení manažerských funkcí mezi 4 různé</w:t>
      </w:r>
      <w:r w:rsidR="008829A6">
        <w:rPr>
          <w:rFonts w:cs="Arial"/>
          <w:szCs w:val="24"/>
        </w:rPr>
        <w:t xml:space="preserve"> vedoucí, kteří byli dislokováni</w:t>
      </w:r>
      <w:r w:rsidR="00546AB4">
        <w:rPr>
          <w:rFonts w:cs="Arial"/>
          <w:szCs w:val="24"/>
        </w:rPr>
        <w:t xml:space="preserve"> v odlišných místech republiky, v praxi přinášelo časté problémy.</w:t>
      </w:r>
      <w:r w:rsidR="005C65C1" w:rsidRPr="00AE06EF">
        <w:rPr>
          <w:rFonts w:cs="Arial"/>
          <w:szCs w:val="24"/>
        </w:rPr>
        <w:t xml:space="preserve"> </w:t>
      </w:r>
      <w:r w:rsidRPr="00AE06EF">
        <w:rPr>
          <w:rFonts w:cs="Arial"/>
          <w:szCs w:val="24"/>
        </w:rPr>
        <w:t>Taková systemizace byla</w:t>
      </w:r>
      <w:r w:rsidRPr="00546AB4">
        <w:rPr>
          <w:rFonts w:cs="Arial"/>
          <w:szCs w:val="24"/>
        </w:rPr>
        <w:t xml:space="preserve"> velmi neefektivní, a proto byla vedením</w:t>
      </w:r>
      <w:r w:rsidR="00F15935">
        <w:rPr>
          <w:rFonts w:cs="Arial"/>
          <w:szCs w:val="24"/>
        </w:rPr>
        <w:t xml:space="preserve"> </w:t>
      </w:r>
      <w:r w:rsidR="00F15935" w:rsidRPr="00F772AE">
        <w:rPr>
          <w:rFonts w:cs="Arial"/>
          <w:szCs w:val="24"/>
        </w:rPr>
        <w:t>jmenovaným od 1.9.2018</w:t>
      </w:r>
      <w:r w:rsidRPr="00546AB4">
        <w:rPr>
          <w:rFonts w:cs="Arial"/>
          <w:szCs w:val="24"/>
        </w:rPr>
        <w:t xml:space="preserve"> </w:t>
      </w:r>
      <w:r w:rsidR="00F772AE">
        <w:rPr>
          <w:rFonts w:cs="Arial"/>
          <w:szCs w:val="24"/>
        </w:rPr>
        <w:t xml:space="preserve">provedena </w:t>
      </w:r>
      <w:r w:rsidRPr="00546AB4">
        <w:rPr>
          <w:rFonts w:cs="Arial"/>
          <w:szCs w:val="24"/>
        </w:rPr>
        <w:t xml:space="preserve">změna kompletní organizační </w:t>
      </w:r>
      <w:r w:rsidR="00F15935">
        <w:rPr>
          <w:rFonts w:cs="Arial"/>
          <w:szCs w:val="24"/>
        </w:rPr>
        <w:t xml:space="preserve">struktury, která byla </w:t>
      </w:r>
      <w:r w:rsidR="00F15935" w:rsidRPr="00F772AE">
        <w:rPr>
          <w:rFonts w:cs="Arial"/>
          <w:szCs w:val="24"/>
        </w:rPr>
        <w:t xml:space="preserve">následně služebním </w:t>
      </w:r>
      <w:proofErr w:type="gramStart"/>
      <w:r w:rsidR="00F15935" w:rsidRPr="00F772AE">
        <w:rPr>
          <w:rFonts w:cs="Arial"/>
          <w:szCs w:val="24"/>
        </w:rPr>
        <w:t>funkcionářem - předsedou</w:t>
      </w:r>
      <w:proofErr w:type="gramEnd"/>
      <w:r w:rsidR="00F15935" w:rsidRPr="00F772AE">
        <w:rPr>
          <w:rFonts w:cs="Arial"/>
          <w:szCs w:val="24"/>
        </w:rPr>
        <w:t xml:space="preserve"> vlády</w:t>
      </w:r>
      <w:r w:rsidRPr="00F772AE">
        <w:rPr>
          <w:rFonts w:cs="Arial"/>
          <w:szCs w:val="24"/>
        </w:rPr>
        <w:t xml:space="preserve"> ČR </w:t>
      </w:r>
      <w:r w:rsidRPr="00546AB4">
        <w:rPr>
          <w:rFonts w:cs="Arial"/>
          <w:szCs w:val="24"/>
        </w:rPr>
        <w:t>schválena</w:t>
      </w:r>
      <w:r w:rsidR="00F15935">
        <w:rPr>
          <w:rFonts w:cs="Arial"/>
          <w:szCs w:val="24"/>
        </w:rPr>
        <w:t xml:space="preserve"> s účinností k 1.1.2019</w:t>
      </w:r>
      <w:r w:rsidRPr="00546AB4">
        <w:rPr>
          <w:rFonts w:cs="Arial"/>
          <w:szCs w:val="24"/>
        </w:rPr>
        <w:t>.</w:t>
      </w:r>
    </w:p>
    <w:p w14:paraId="7FAD9B1B" w14:textId="62AE3CDE" w:rsidR="00F56EDC" w:rsidRPr="00AE06EF" w:rsidRDefault="00A61737" w:rsidP="00F73806">
      <w:pPr>
        <w:spacing w:after="251" w:line="300" w:lineRule="exact"/>
        <w:jc w:val="both"/>
        <w:rPr>
          <w:rFonts w:cs="Arial"/>
          <w:szCs w:val="24"/>
        </w:rPr>
      </w:pPr>
      <w:r w:rsidRPr="00AE06EF">
        <w:rPr>
          <w:rFonts w:cs="Arial"/>
          <w:szCs w:val="24"/>
        </w:rPr>
        <w:t>Mezi hlavní úkoly</w:t>
      </w:r>
      <w:r w:rsidR="00AE06EF" w:rsidRPr="00AE06EF">
        <w:rPr>
          <w:rFonts w:cs="Arial"/>
          <w:szCs w:val="24"/>
        </w:rPr>
        <w:t xml:space="preserve"> stanovené</w:t>
      </w:r>
      <w:r w:rsidRPr="00AE06EF">
        <w:rPr>
          <w:rFonts w:cs="Arial"/>
          <w:szCs w:val="24"/>
        </w:rPr>
        <w:t xml:space="preserve"> </w:t>
      </w:r>
      <w:r w:rsidR="00F15935">
        <w:rPr>
          <w:rFonts w:cs="Arial"/>
          <w:szCs w:val="24"/>
        </w:rPr>
        <w:t xml:space="preserve">od </w:t>
      </w:r>
      <w:r w:rsidR="00F15935" w:rsidRPr="00F772AE">
        <w:rPr>
          <w:rFonts w:cs="Arial"/>
          <w:szCs w:val="24"/>
        </w:rPr>
        <w:t>1.9.</w:t>
      </w:r>
      <w:r w:rsidR="00555916" w:rsidRPr="00F772AE">
        <w:rPr>
          <w:rFonts w:cs="Arial"/>
          <w:szCs w:val="24"/>
        </w:rPr>
        <w:t>2018</w:t>
      </w:r>
      <w:r w:rsidR="00555916" w:rsidRPr="00AE06EF">
        <w:rPr>
          <w:rFonts w:cs="Arial"/>
          <w:szCs w:val="24"/>
        </w:rPr>
        <w:t xml:space="preserve"> patřila zejména </w:t>
      </w:r>
      <w:r w:rsidR="00555916" w:rsidRPr="00546AB4">
        <w:rPr>
          <w:rFonts w:cs="Arial"/>
          <w:szCs w:val="24"/>
        </w:rPr>
        <w:t xml:space="preserve">personální optimalizace organizační struktury GIBS, </w:t>
      </w:r>
      <w:r w:rsidR="00F15935">
        <w:rPr>
          <w:rFonts w:cs="Arial"/>
          <w:szCs w:val="24"/>
        </w:rPr>
        <w:t xml:space="preserve">analýza činností a jejich efektivita v trestním řízení </w:t>
      </w:r>
      <w:r w:rsidR="00555916" w:rsidRPr="00546AB4">
        <w:rPr>
          <w:rFonts w:cs="Arial"/>
          <w:szCs w:val="24"/>
        </w:rPr>
        <w:t>a přijetí o</w:t>
      </w:r>
      <w:r w:rsidR="00555916" w:rsidRPr="00AE06EF">
        <w:rPr>
          <w:rFonts w:cs="Arial"/>
          <w:szCs w:val="24"/>
        </w:rPr>
        <w:t xml:space="preserve">patření směřujících ke zrychlení prověřování a snížení počtu rozpracovaných spisů. </w:t>
      </w:r>
      <w:r w:rsidR="00F56EDC" w:rsidRPr="00AE06EF">
        <w:rPr>
          <w:rFonts w:cs="Arial"/>
          <w:szCs w:val="24"/>
        </w:rPr>
        <w:t xml:space="preserve">Na základě shora uvedených cílů v závěru roku 2018 byla </w:t>
      </w:r>
      <w:r w:rsidR="006F6E86" w:rsidRPr="00AE06EF">
        <w:rPr>
          <w:rFonts w:cs="Arial"/>
          <w:szCs w:val="24"/>
        </w:rPr>
        <w:t>nařízením</w:t>
      </w:r>
      <w:r w:rsidR="00F56EDC" w:rsidRPr="00AE06EF">
        <w:rPr>
          <w:rFonts w:cs="Arial"/>
          <w:szCs w:val="24"/>
        </w:rPr>
        <w:t xml:space="preserve"> ředitele GIBS č. 39/2018 uskutečněna reorganizace útvaru. Stěžejním bodem změny organizační struktury bylo zrušení dvoukolejnosti řízení činnosti GIBS v rámci trestního řízení. </w:t>
      </w:r>
      <w:r w:rsidR="00457DC6" w:rsidRPr="00457DC6">
        <w:rPr>
          <w:rFonts w:cs="Arial"/>
          <w:szCs w:val="24"/>
        </w:rPr>
        <w:t xml:space="preserve">Dosud rozdělené linie prověřování a vyšetřování byly sloučeny do odpovědnosti vždy jen </w:t>
      </w:r>
      <w:r w:rsidR="00F56EDC" w:rsidRPr="00AE06EF">
        <w:rPr>
          <w:rFonts w:cs="Arial"/>
          <w:szCs w:val="24"/>
        </w:rPr>
        <w:t xml:space="preserve">jednoho </w:t>
      </w:r>
      <w:r w:rsidR="00AE06EF">
        <w:rPr>
          <w:rFonts w:cs="Arial"/>
          <w:szCs w:val="24"/>
        </w:rPr>
        <w:t xml:space="preserve">teritoriálního </w:t>
      </w:r>
      <w:r w:rsidR="00F56EDC" w:rsidRPr="00AE06EF">
        <w:rPr>
          <w:rFonts w:cs="Arial"/>
          <w:szCs w:val="24"/>
        </w:rPr>
        <w:t>oddělení. V souvislosti s tímto došlo též k posílení pravomocí vedoucích</w:t>
      </w:r>
      <w:r w:rsidR="005777FD">
        <w:rPr>
          <w:rFonts w:cs="Arial"/>
          <w:szCs w:val="24"/>
        </w:rPr>
        <w:t xml:space="preserve"> teritoriálních oddělení</w:t>
      </w:r>
      <w:r w:rsidR="00F56EDC" w:rsidRPr="00AE06EF">
        <w:rPr>
          <w:rFonts w:cs="Arial"/>
          <w:szCs w:val="24"/>
        </w:rPr>
        <w:t xml:space="preserve">. Tato </w:t>
      </w:r>
      <w:r w:rsidR="005777FD">
        <w:rPr>
          <w:rFonts w:cs="Arial"/>
          <w:szCs w:val="24"/>
        </w:rPr>
        <w:t>organizační opatření</w:t>
      </w:r>
      <w:r w:rsidR="00F56EDC" w:rsidRPr="00AE06EF">
        <w:rPr>
          <w:rFonts w:cs="Arial"/>
          <w:szCs w:val="24"/>
        </w:rPr>
        <w:t xml:space="preserve"> by měla vést mimo jiné i k zefektivnění kontroly, ke zrychlení trestního řízení a tím pádem i ke snížení počtu rozpracovaných trestních spisů.</w:t>
      </w:r>
    </w:p>
    <w:p w14:paraId="7E2063F8" w14:textId="3CE39F9B" w:rsidR="00457DC6" w:rsidRDefault="00457DC6" w:rsidP="00F73806">
      <w:pPr>
        <w:spacing w:after="251" w:line="300" w:lineRule="exact"/>
        <w:jc w:val="both"/>
        <w:rPr>
          <w:rFonts w:cs="Arial"/>
          <w:szCs w:val="24"/>
        </w:rPr>
      </w:pPr>
      <w:r w:rsidRPr="00457DC6">
        <w:rPr>
          <w:rFonts w:cs="Arial"/>
          <w:szCs w:val="24"/>
        </w:rPr>
        <w:lastRenderedPageBreak/>
        <w:t xml:space="preserve">V průběhu roku 2018 došlo k obměně ředitelů GIBS, přičemž v meziobdobí, kdy docházelo k výběru nového ředitele, byla GIBS řízena pověřenou ředitelkou. Fakticky to znamenalo, že každé čtyři měsíce tohoto roku měla GIBS jiného ředitele, což mělo spolu s vyšším počtem odchodů příslušníků v tomto roce neblahý vliv nejen na samotný chod organizace, ale také na trestní řízení a další činnosti GIBS. </w:t>
      </w:r>
    </w:p>
    <w:p w14:paraId="3C7EB9B9" w14:textId="7E4B9FAD" w:rsidR="00555916" w:rsidRDefault="00555916" w:rsidP="00F73806">
      <w:pPr>
        <w:spacing w:after="251" w:line="300" w:lineRule="exact"/>
        <w:jc w:val="both"/>
        <w:rPr>
          <w:rFonts w:cs="Arial"/>
          <w:szCs w:val="24"/>
        </w:rPr>
      </w:pPr>
      <w:r>
        <w:rPr>
          <w:rFonts w:cs="Arial"/>
          <w:szCs w:val="24"/>
        </w:rPr>
        <w:t>V roce 2018 musela</w:t>
      </w:r>
      <w:r w:rsidR="00D62CCE">
        <w:rPr>
          <w:rFonts w:cs="Arial"/>
          <w:szCs w:val="24"/>
        </w:rPr>
        <w:t xml:space="preserve"> </w:t>
      </w:r>
      <w:r w:rsidRPr="008C0623">
        <w:rPr>
          <w:rFonts w:cs="Arial"/>
          <w:szCs w:val="24"/>
        </w:rPr>
        <w:t xml:space="preserve">GIBS </w:t>
      </w:r>
      <w:r w:rsidR="00D62CCE">
        <w:rPr>
          <w:rFonts w:cs="Arial"/>
          <w:szCs w:val="24"/>
        </w:rPr>
        <w:t>také</w:t>
      </w:r>
      <w:r w:rsidR="00D62CCE" w:rsidRPr="008C0623">
        <w:rPr>
          <w:rFonts w:cs="Arial"/>
          <w:szCs w:val="24"/>
        </w:rPr>
        <w:t xml:space="preserve"> </w:t>
      </w:r>
      <w:r w:rsidRPr="008C0623">
        <w:rPr>
          <w:rFonts w:cs="Arial"/>
          <w:szCs w:val="24"/>
        </w:rPr>
        <w:t xml:space="preserve">reagovat na legislativní změny </w:t>
      </w:r>
      <w:r>
        <w:rPr>
          <w:rFonts w:cs="Arial"/>
          <w:szCs w:val="24"/>
        </w:rPr>
        <w:t>týkající se kybernetické ochrany a ochrany osobních údajů a</w:t>
      </w:r>
      <w:r w:rsidR="00045881">
        <w:rPr>
          <w:rFonts w:cs="Arial"/>
          <w:szCs w:val="24"/>
        </w:rPr>
        <w:t xml:space="preserve"> v této souvislosti</w:t>
      </w:r>
      <w:r>
        <w:rPr>
          <w:rFonts w:cs="Arial"/>
          <w:szCs w:val="24"/>
        </w:rPr>
        <w:t xml:space="preserve"> byla</w:t>
      </w:r>
      <w:r w:rsidR="00045881">
        <w:rPr>
          <w:rFonts w:cs="Arial"/>
          <w:szCs w:val="24"/>
        </w:rPr>
        <w:t xml:space="preserve"> </w:t>
      </w:r>
      <w:r>
        <w:rPr>
          <w:rFonts w:cs="Arial"/>
          <w:szCs w:val="24"/>
        </w:rPr>
        <w:t>zřízena</w:t>
      </w:r>
      <w:r w:rsidR="00D01CF1">
        <w:rPr>
          <w:rFonts w:cs="Arial"/>
          <w:szCs w:val="24"/>
        </w:rPr>
        <w:t xml:space="preserve"> funkce pověřence pro</w:t>
      </w:r>
      <w:r w:rsidRPr="008C0623">
        <w:rPr>
          <w:rFonts w:cs="Arial"/>
          <w:szCs w:val="24"/>
        </w:rPr>
        <w:t xml:space="preserve"> ochranu osobních údajů</w:t>
      </w:r>
      <w:r w:rsidR="00D87DFE">
        <w:rPr>
          <w:rFonts w:cs="Arial"/>
          <w:szCs w:val="24"/>
        </w:rPr>
        <w:t>.</w:t>
      </w:r>
    </w:p>
    <w:p w14:paraId="106AEBCC" w14:textId="77777777" w:rsidR="00555916" w:rsidRDefault="00555916" w:rsidP="00F73806">
      <w:pPr>
        <w:spacing w:after="251" w:line="300" w:lineRule="exact"/>
        <w:jc w:val="both"/>
        <w:rPr>
          <w:rFonts w:cs="Arial"/>
          <w:szCs w:val="24"/>
        </w:rPr>
      </w:pPr>
    </w:p>
    <w:p w14:paraId="4A6D8B1E" w14:textId="278BFCB5" w:rsidR="00D8202F" w:rsidRPr="00A966B6" w:rsidRDefault="00D8202F" w:rsidP="00F73806">
      <w:pPr>
        <w:spacing w:after="251" w:line="300" w:lineRule="exact"/>
        <w:jc w:val="both"/>
        <w:rPr>
          <w:rFonts w:cs="Arial"/>
          <w:szCs w:val="24"/>
        </w:rPr>
      </w:pPr>
    </w:p>
    <w:p w14:paraId="677EE3F3" w14:textId="77777777" w:rsidR="00B840BB" w:rsidRPr="00A966B6" w:rsidRDefault="00B840BB" w:rsidP="00B840BB">
      <w:pPr>
        <w:pStyle w:val="Nadpis1"/>
        <w:spacing w:before="0" w:after="251" w:line="300" w:lineRule="exact"/>
      </w:pPr>
      <w:bookmarkStart w:id="3" w:name="_Toc488929336"/>
      <w:bookmarkStart w:id="4" w:name="_Toc488929609"/>
      <w:bookmarkStart w:id="5" w:name="_Toc488929781"/>
      <w:bookmarkStart w:id="6" w:name="_Toc488929834"/>
      <w:bookmarkStart w:id="7" w:name="_Toc488929873"/>
      <w:bookmarkStart w:id="8" w:name="_Toc488930974"/>
      <w:bookmarkStart w:id="9" w:name="_Toc488993752"/>
      <w:bookmarkStart w:id="10" w:name="_Toc488994463"/>
      <w:bookmarkStart w:id="11" w:name="_Toc488994777"/>
      <w:bookmarkStart w:id="12" w:name="_Toc488929337"/>
      <w:bookmarkStart w:id="13" w:name="_Toc488929610"/>
      <w:bookmarkStart w:id="14" w:name="_Toc488929782"/>
      <w:bookmarkStart w:id="15" w:name="_Toc488929835"/>
      <w:bookmarkStart w:id="16" w:name="_Toc488929874"/>
      <w:bookmarkStart w:id="17" w:name="_Toc488930975"/>
      <w:bookmarkStart w:id="18" w:name="_Toc488993753"/>
      <w:bookmarkStart w:id="19" w:name="_Toc488994464"/>
      <w:bookmarkStart w:id="20" w:name="_Toc488994778"/>
      <w:bookmarkStart w:id="21" w:name="_Toc488929338"/>
      <w:bookmarkStart w:id="22" w:name="_Toc488929611"/>
      <w:bookmarkStart w:id="23" w:name="_Toc488929783"/>
      <w:bookmarkStart w:id="24" w:name="_Toc488929836"/>
      <w:bookmarkStart w:id="25" w:name="_Toc488929875"/>
      <w:bookmarkStart w:id="26" w:name="_Toc488930976"/>
      <w:bookmarkStart w:id="27" w:name="_Toc488993754"/>
      <w:bookmarkStart w:id="28" w:name="_Toc488994465"/>
      <w:bookmarkStart w:id="29" w:name="_Toc488994779"/>
      <w:bookmarkStart w:id="30" w:name="_Toc488929339"/>
      <w:bookmarkStart w:id="31" w:name="_Toc488929612"/>
      <w:bookmarkStart w:id="32" w:name="_Toc488929784"/>
      <w:bookmarkStart w:id="33" w:name="_Toc488929837"/>
      <w:bookmarkStart w:id="34" w:name="_Toc488929876"/>
      <w:bookmarkStart w:id="35" w:name="_Toc488930977"/>
      <w:bookmarkStart w:id="36" w:name="_Toc488993755"/>
      <w:bookmarkStart w:id="37" w:name="_Toc488994466"/>
      <w:bookmarkStart w:id="38" w:name="_Toc488994780"/>
      <w:bookmarkStart w:id="39" w:name="_Toc488929340"/>
      <w:bookmarkStart w:id="40" w:name="_Toc488929613"/>
      <w:bookmarkStart w:id="41" w:name="_Toc488929785"/>
      <w:bookmarkStart w:id="42" w:name="_Toc488929838"/>
      <w:bookmarkStart w:id="43" w:name="_Toc488929877"/>
      <w:bookmarkStart w:id="44" w:name="_Toc488930978"/>
      <w:bookmarkStart w:id="45" w:name="_Toc488993756"/>
      <w:bookmarkStart w:id="46" w:name="_Toc488994467"/>
      <w:bookmarkStart w:id="47" w:name="_Toc488994781"/>
      <w:bookmarkStart w:id="48" w:name="_Toc488929341"/>
      <w:bookmarkStart w:id="49" w:name="_Toc488929614"/>
      <w:bookmarkStart w:id="50" w:name="_Toc488929786"/>
      <w:bookmarkStart w:id="51" w:name="_Toc488929839"/>
      <w:bookmarkStart w:id="52" w:name="_Toc488929878"/>
      <w:bookmarkStart w:id="53" w:name="_Toc488930979"/>
      <w:bookmarkStart w:id="54" w:name="_Toc488993757"/>
      <w:bookmarkStart w:id="55" w:name="_Toc488994468"/>
      <w:bookmarkStart w:id="56" w:name="_Toc488994782"/>
      <w:bookmarkStart w:id="57" w:name="_Toc488929342"/>
      <w:bookmarkStart w:id="58" w:name="_Toc488929615"/>
      <w:bookmarkStart w:id="59" w:name="_Toc488929787"/>
      <w:bookmarkStart w:id="60" w:name="_Toc488929840"/>
      <w:bookmarkStart w:id="61" w:name="_Toc488929879"/>
      <w:bookmarkStart w:id="62" w:name="_Toc488930980"/>
      <w:bookmarkStart w:id="63" w:name="_Toc488993758"/>
      <w:bookmarkStart w:id="64" w:name="_Toc488994469"/>
      <w:bookmarkStart w:id="65" w:name="_Toc488994783"/>
      <w:bookmarkStart w:id="66" w:name="_Toc488929343"/>
      <w:bookmarkStart w:id="67" w:name="_Toc488929616"/>
      <w:bookmarkStart w:id="68" w:name="_Toc488929788"/>
      <w:bookmarkStart w:id="69" w:name="_Toc488929841"/>
      <w:bookmarkStart w:id="70" w:name="_Toc488929880"/>
      <w:bookmarkStart w:id="71" w:name="_Toc488930981"/>
      <w:bookmarkStart w:id="72" w:name="_Toc488993759"/>
      <w:bookmarkStart w:id="73" w:name="_Toc488994470"/>
      <w:bookmarkStart w:id="74" w:name="_Toc488994784"/>
      <w:bookmarkStart w:id="75" w:name="_Toc488929344"/>
      <w:bookmarkStart w:id="76" w:name="_Toc488929617"/>
      <w:bookmarkStart w:id="77" w:name="_Toc488929789"/>
      <w:bookmarkStart w:id="78" w:name="_Toc488929842"/>
      <w:bookmarkStart w:id="79" w:name="_Toc488929881"/>
      <w:bookmarkStart w:id="80" w:name="_Toc488930982"/>
      <w:bookmarkStart w:id="81" w:name="_Toc488993760"/>
      <w:bookmarkStart w:id="82" w:name="_Toc488994471"/>
      <w:bookmarkStart w:id="83" w:name="_Toc488994785"/>
      <w:bookmarkStart w:id="84" w:name="_Toc488929345"/>
      <w:bookmarkStart w:id="85" w:name="_Toc488929618"/>
      <w:bookmarkStart w:id="86" w:name="_Toc488929790"/>
      <w:bookmarkStart w:id="87" w:name="_Toc488929843"/>
      <w:bookmarkStart w:id="88" w:name="_Toc488929882"/>
      <w:bookmarkStart w:id="89" w:name="_Toc488930983"/>
      <w:bookmarkStart w:id="90" w:name="_Toc488993761"/>
      <w:bookmarkStart w:id="91" w:name="_Toc488994472"/>
      <w:bookmarkStart w:id="92" w:name="_Toc488994786"/>
      <w:bookmarkStart w:id="93" w:name="_Toc488929346"/>
      <w:bookmarkStart w:id="94" w:name="_Toc488929619"/>
      <w:bookmarkStart w:id="95" w:name="_Toc488929791"/>
      <w:bookmarkStart w:id="96" w:name="_Toc488929844"/>
      <w:bookmarkStart w:id="97" w:name="_Toc488929883"/>
      <w:bookmarkStart w:id="98" w:name="_Toc488930984"/>
      <w:bookmarkStart w:id="99" w:name="_Toc488993762"/>
      <w:bookmarkStart w:id="100" w:name="_Toc488994473"/>
      <w:bookmarkStart w:id="101" w:name="_Toc488994787"/>
      <w:bookmarkStart w:id="102" w:name="_Toc2085162"/>
      <w:bookmarkStart w:id="103" w:name="_Toc268254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A966B6">
        <w:lastRenderedPageBreak/>
        <w:t>HLAVNÍ ÚKOLY GENERÁLNÍ INSPEKCE BEZPEČNOSTNÍCH SBORŮ</w:t>
      </w:r>
      <w:bookmarkEnd w:id="102"/>
      <w:bookmarkEnd w:id="103"/>
    </w:p>
    <w:p w14:paraId="09FBD5B8" w14:textId="0090C72D" w:rsidR="00B840BB" w:rsidRPr="00A966B6" w:rsidRDefault="00B840BB" w:rsidP="00CB57EE">
      <w:pPr>
        <w:pStyle w:val="Nadpis2"/>
        <w:spacing w:after="251" w:line="300" w:lineRule="exact"/>
      </w:pPr>
      <w:bookmarkStart w:id="104" w:name="_Toc2085163"/>
      <w:bookmarkStart w:id="105" w:name="_Toc2682545"/>
      <w:r w:rsidRPr="00A966B6">
        <w:t>Trestní řízení</w:t>
      </w:r>
      <w:bookmarkEnd w:id="104"/>
      <w:bookmarkEnd w:id="105"/>
    </w:p>
    <w:p w14:paraId="1D42B1A9" w14:textId="4404F2A7" w:rsidR="00422A91" w:rsidRPr="00A966B6" w:rsidRDefault="00B840BB" w:rsidP="00422A91">
      <w:pPr>
        <w:spacing w:after="251" w:line="300" w:lineRule="exact"/>
        <w:jc w:val="both"/>
        <w:rPr>
          <w:rFonts w:cs="Arial"/>
          <w:b/>
          <w:szCs w:val="24"/>
        </w:rPr>
      </w:pPr>
      <w:r w:rsidRPr="00A966B6">
        <w:rPr>
          <w:rFonts w:cs="Arial"/>
          <w:szCs w:val="24"/>
        </w:rPr>
        <w:t>V roce 201</w:t>
      </w:r>
      <w:r w:rsidR="006A3BDF" w:rsidRPr="00A966B6">
        <w:rPr>
          <w:rFonts w:cs="Arial"/>
          <w:szCs w:val="24"/>
        </w:rPr>
        <w:t>8</w:t>
      </w:r>
      <w:r w:rsidRPr="00A966B6">
        <w:rPr>
          <w:rFonts w:cs="Arial"/>
          <w:szCs w:val="24"/>
        </w:rPr>
        <w:t xml:space="preserve"> GIBS prověřovala podezření z protiprávního jednání osob v celkem </w:t>
      </w:r>
      <w:r w:rsidR="006A3BDF" w:rsidRPr="00A966B6">
        <w:rPr>
          <w:rFonts w:cs="Arial"/>
          <w:szCs w:val="24"/>
        </w:rPr>
        <w:t>4</w:t>
      </w:r>
      <w:r w:rsidR="003F1293" w:rsidRPr="00A966B6">
        <w:rPr>
          <w:rFonts w:cs="Arial"/>
          <w:szCs w:val="24"/>
        </w:rPr>
        <w:t>60</w:t>
      </w:r>
      <w:r w:rsidRPr="00A966B6">
        <w:rPr>
          <w:rFonts w:cs="Arial"/>
          <w:szCs w:val="24"/>
        </w:rPr>
        <w:t xml:space="preserve"> (-</w:t>
      </w:r>
      <w:r w:rsidR="00F10EDD" w:rsidRPr="00A966B6">
        <w:rPr>
          <w:rFonts w:cs="Arial"/>
          <w:szCs w:val="24"/>
        </w:rPr>
        <w:t>9</w:t>
      </w:r>
      <w:r w:rsidR="003F1293" w:rsidRPr="00A966B6">
        <w:rPr>
          <w:rFonts w:cs="Arial"/>
          <w:szCs w:val="24"/>
        </w:rPr>
        <w:t>1</w:t>
      </w:r>
      <w:r w:rsidRPr="00A966B6">
        <w:rPr>
          <w:rFonts w:cs="Arial"/>
          <w:szCs w:val="24"/>
        </w:rPr>
        <w:t>) případech</w:t>
      </w:r>
      <w:r w:rsidR="00F10EDD" w:rsidRPr="00A966B6">
        <w:rPr>
          <w:rFonts w:cs="Arial"/>
          <w:szCs w:val="24"/>
        </w:rPr>
        <w:t xml:space="preserve"> a</w:t>
      </w:r>
      <w:r w:rsidRPr="00A966B6">
        <w:rPr>
          <w:rFonts w:cs="Arial"/>
          <w:szCs w:val="24"/>
        </w:rPr>
        <w:t xml:space="preserve"> zjistila</w:t>
      </w:r>
      <w:r w:rsidR="00F10EDD" w:rsidRPr="00A966B6">
        <w:rPr>
          <w:rFonts w:cs="Arial"/>
          <w:szCs w:val="24"/>
        </w:rPr>
        <w:t xml:space="preserve"> celkem</w:t>
      </w:r>
      <w:r w:rsidRPr="00A966B6">
        <w:rPr>
          <w:rFonts w:cs="Arial"/>
          <w:szCs w:val="24"/>
        </w:rPr>
        <w:t xml:space="preserve"> </w:t>
      </w:r>
      <w:r w:rsidR="00F10EDD" w:rsidRPr="00A966B6">
        <w:rPr>
          <w:rFonts w:cs="Arial"/>
          <w:szCs w:val="24"/>
        </w:rPr>
        <w:t>48</w:t>
      </w:r>
      <w:r w:rsidR="005E54F7" w:rsidRPr="00A966B6">
        <w:rPr>
          <w:rFonts w:cs="Arial"/>
          <w:szCs w:val="24"/>
        </w:rPr>
        <w:t>2</w:t>
      </w:r>
      <w:r w:rsidRPr="00A966B6">
        <w:rPr>
          <w:rFonts w:cs="Arial"/>
          <w:szCs w:val="24"/>
        </w:rPr>
        <w:t xml:space="preserve"> (+</w:t>
      </w:r>
      <w:r w:rsidR="00F10EDD" w:rsidRPr="00A966B6">
        <w:rPr>
          <w:rFonts w:cs="Arial"/>
          <w:szCs w:val="24"/>
        </w:rPr>
        <w:t>3</w:t>
      </w:r>
      <w:r w:rsidR="005E54F7" w:rsidRPr="00A966B6">
        <w:rPr>
          <w:rFonts w:cs="Arial"/>
          <w:szCs w:val="24"/>
        </w:rPr>
        <w:t>1</w:t>
      </w:r>
      <w:r w:rsidRPr="00A966B6">
        <w:rPr>
          <w:rFonts w:cs="Arial"/>
          <w:szCs w:val="24"/>
        </w:rPr>
        <w:t>)</w:t>
      </w:r>
      <w:r w:rsidR="00422A91" w:rsidRPr="00A966B6">
        <w:rPr>
          <w:rFonts w:cs="Arial"/>
          <w:szCs w:val="24"/>
        </w:rPr>
        <w:t xml:space="preserve"> </w:t>
      </w:r>
      <w:r w:rsidRPr="00A966B6">
        <w:rPr>
          <w:rFonts w:cs="Arial"/>
          <w:szCs w:val="24"/>
        </w:rPr>
        <w:t>pachatelů protiprávního jednání.</w:t>
      </w:r>
      <w:r w:rsidR="00422A91" w:rsidRPr="00A966B6">
        <w:rPr>
          <w:rFonts w:cs="Arial"/>
          <w:szCs w:val="24"/>
        </w:rPr>
        <w:t xml:space="preserve"> K zahá</w:t>
      </w:r>
      <w:r w:rsidR="00F10EDD" w:rsidRPr="00A966B6">
        <w:rPr>
          <w:rFonts w:cs="Arial"/>
          <w:szCs w:val="24"/>
        </w:rPr>
        <w:t>jení trestního stíhání došlo v</w:t>
      </w:r>
      <w:r w:rsidR="00FC41B3" w:rsidRPr="00A966B6">
        <w:rPr>
          <w:rFonts w:cs="Arial"/>
          <w:szCs w:val="24"/>
        </w:rPr>
        <w:t>e</w:t>
      </w:r>
      <w:r w:rsidR="005E1C4B">
        <w:rPr>
          <w:rFonts w:cs="Arial"/>
          <w:szCs w:val="24"/>
        </w:rPr>
        <w:t xml:space="preserve"> </w:t>
      </w:r>
      <w:r w:rsidR="00FC41B3" w:rsidRPr="00A966B6">
        <w:rPr>
          <w:rFonts w:cs="Arial"/>
          <w:szCs w:val="24"/>
        </w:rPr>
        <w:t>135</w:t>
      </w:r>
      <w:r w:rsidR="00F10EDD" w:rsidRPr="00A966B6">
        <w:rPr>
          <w:rFonts w:cs="Arial"/>
          <w:szCs w:val="24"/>
        </w:rPr>
        <w:t xml:space="preserve"> (-</w:t>
      </w:r>
      <w:r w:rsidR="00FC41B3" w:rsidRPr="00A966B6">
        <w:rPr>
          <w:rFonts w:cs="Arial"/>
          <w:szCs w:val="24"/>
        </w:rPr>
        <w:t>12</w:t>
      </w:r>
      <w:r w:rsidR="00F10EDD" w:rsidRPr="00A966B6">
        <w:rPr>
          <w:rFonts w:cs="Arial"/>
          <w:szCs w:val="24"/>
        </w:rPr>
        <w:t>)</w:t>
      </w:r>
      <w:r w:rsidR="00422A91" w:rsidRPr="00A966B6">
        <w:rPr>
          <w:rFonts w:cs="Arial"/>
          <w:szCs w:val="24"/>
        </w:rPr>
        <w:t xml:space="preserve"> případech a v </w:t>
      </w:r>
      <w:r w:rsidR="00FC41B3" w:rsidRPr="00A966B6">
        <w:rPr>
          <w:rFonts w:cs="Arial"/>
          <w:szCs w:val="24"/>
        </w:rPr>
        <w:t>5</w:t>
      </w:r>
      <w:r w:rsidR="00422A91" w:rsidRPr="00A966B6">
        <w:rPr>
          <w:rFonts w:cs="Arial"/>
          <w:szCs w:val="24"/>
        </w:rPr>
        <w:t xml:space="preserve"> případech </w:t>
      </w:r>
      <w:r w:rsidR="00FC41B3" w:rsidRPr="00A966B6">
        <w:rPr>
          <w:rFonts w:cs="Arial"/>
          <w:szCs w:val="24"/>
        </w:rPr>
        <w:t xml:space="preserve">(-10) </w:t>
      </w:r>
      <w:r w:rsidR="00422A91" w:rsidRPr="00A966B6">
        <w:rPr>
          <w:rFonts w:cs="Arial"/>
          <w:szCs w:val="24"/>
        </w:rPr>
        <w:t xml:space="preserve">bylo sděleno podezření ve zkráceném přípravném řízení. </w:t>
      </w:r>
      <w:r w:rsidR="00174ED2" w:rsidRPr="00A966B6">
        <w:rPr>
          <w:rFonts w:cs="Arial"/>
          <w:szCs w:val="24"/>
        </w:rPr>
        <w:t>Postupem podle § 159a odst. 1 písm. b) trestního řádu, odevzdání věci ke kázeňskému projednání</w:t>
      </w:r>
      <w:r w:rsidR="00905588" w:rsidRPr="00A966B6">
        <w:rPr>
          <w:rFonts w:cs="Arial"/>
          <w:szCs w:val="24"/>
        </w:rPr>
        <w:t>,</w:t>
      </w:r>
      <w:r w:rsidR="00174ED2" w:rsidRPr="00A966B6">
        <w:rPr>
          <w:rFonts w:cs="Arial"/>
          <w:szCs w:val="24"/>
        </w:rPr>
        <w:t xml:space="preserve"> bylo vyřízeno 74</w:t>
      </w:r>
      <w:r w:rsidR="00905588" w:rsidRPr="00A966B6">
        <w:rPr>
          <w:rFonts w:cs="Arial"/>
          <w:szCs w:val="24"/>
        </w:rPr>
        <w:t xml:space="preserve"> (+10)</w:t>
      </w:r>
      <w:r w:rsidR="00174ED2" w:rsidRPr="00A966B6">
        <w:rPr>
          <w:rFonts w:cs="Arial"/>
          <w:szCs w:val="24"/>
        </w:rPr>
        <w:t xml:space="preserve"> případů</w:t>
      </w:r>
      <w:r w:rsidR="00905588" w:rsidRPr="00A966B6">
        <w:rPr>
          <w:rFonts w:cs="Arial"/>
          <w:szCs w:val="24"/>
        </w:rPr>
        <w:t xml:space="preserve">. </w:t>
      </w:r>
      <w:r w:rsidR="00422A91" w:rsidRPr="00A966B6">
        <w:rPr>
          <w:rFonts w:cs="Arial"/>
          <w:szCs w:val="24"/>
        </w:rPr>
        <w:t>T</w:t>
      </w:r>
      <w:r w:rsidRPr="00A966B6">
        <w:rPr>
          <w:rFonts w:cs="Arial"/>
          <w:szCs w:val="24"/>
        </w:rPr>
        <w:t>restně stíh</w:t>
      </w:r>
      <w:r w:rsidR="00422A91" w:rsidRPr="00A966B6">
        <w:rPr>
          <w:rFonts w:cs="Arial"/>
          <w:szCs w:val="24"/>
        </w:rPr>
        <w:t>áno</w:t>
      </w:r>
      <w:r w:rsidRPr="00A966B6">
        <w:rPr>
          <w:rFonts w:cs="Arial"/>
          <w:szCs w:val="24"/>
        </w:rPr>
        <w:t xml:space="preserve"> nebo sděl</w:t>
      </w:r>
      <w:r w:rsidR="00422A91" w:rsidRPr="00A966B6">
        <w:rPr>
          <w:rFonts w:cs="Arial"/>
          <w:szCs w:val="24"/>
        </w:rPr>
        <w:t>eno</w:t>
      </w:r>
      <w:r w:rsidRPr="00A966B6">
        <w:rPr>
          <w:rFonts w:cs="Arial"/>
          <w:szCs w:val="24"/>
        </w:rPr>
        <w:t xml:space="preserve"> podezření ve zkráceném přípravném řízení </w:t>
      </w:r>
      <w:r w:rsidR="00422A91" w:rsidRPr="00A966B6">
        <w:rPr>
          <w:rFonts w:cs="Arial"/>
          <w:szCs w:val="24"/>
        </w:rPr>
        <w:t xml:space="preserve">bylo celkem </w:t>
      </w:r>
      <w:r w:rsidR="00FC41B3" w:rsidRPr="00A966B6">
        <w:rPr>
          <w:rFonts w:cs="Arial"/>
          <w:szCs w:val="24"/>
        </w:rPr>
        <w:t>1</w:t>
      </w:r>
      <w:r w:rsidR="00770DC1" w:rsidRPr="00A966B6">
        <w:rPr>
          <w:rFonts w:cs="Arial"/>
          <w:szCs w:val="24"/>
        </w:rPr>
        <w:t>88</w:t>
      </w:r>
      <w:r w:rsidR="00905588" w:rsidRPr="00A966B6">
        <w:rPr>
          <w:rFonts w:cs="Arial"/>
          <w:szCs w:val="24"/>
        </w:rPr>
        <w:t xml:space="preserve"> </w:t>
      </w:r>
      <w:r w:rsidRPr="00A966B6">
        <w:rPr>
          <w:rFonts w:cs="Arial"/>
          <w:szCs w:val="24"/>
        </w:rPr>
        <w:t>(</w:t>
      </w:r>
      <w:r w:rsidR="00FC41B3" w:rsidRPr="00A966B6">
        <w:rPr>
          <w:rFonts w:cs="Arial"/>
          <w:szCs w:val="24"/>
        </w:rPr>
        <w:t>-</w:t>
      </w:r>
      <w:r w:rsidR="00C15E12" w:rsidRPr="00A966B6">
        <w:rPr>
          <w:rFonts w:cs="Arial"/>
          <w:szCs w:val="24"/>
        </w:rPr>
        <w:t>63</w:t>
      </w:r>
      <w:r w:rsidRPr="00A966B6">
        <w:rPr>
          <w:rFonts w:cs="Arial"/>
          <w:szCs w:val="24"/>
        </w:rPr>
        <w:t>) fyzický</w:t>
      </w:r>
      <w:r w:rsidR="00422A91" w:rsidRPr="00A966B6">
        <w:rPr>
          <w:rFonts w:cs="Arial"/>
          <w:szCs w:val="24"/>
        </w:rPr>
        <w:t>ch</w:t>
      </w:r>
      <w:r w:rsidRPr="00A966B6">
        <w:rPr>
          <w:rFonts w:cs="Arial"/>
          <w:szCs w:val="24"/>
        </w:rPr>
        <w:t xml:space="preserve"> osob</w:t>
      </w:r>
      <w:r w:rsidR="00422A91" w:rsidRPr="00A966B6">
        <w:rPr>
          <w:rFonts w:cs="Arial"/>
          <w:szCs w:val="24"/>
        </w:rPr>
        <w:t>,</w:t>
      </w:r>
      <w:r w:rsidRPr="00A966B6">
        <w:rPr>
          <w:rFonts w:cs="Arial"/>
          <w:szCs w:val="24"/>
        </w:rPr>
        <w:t xml:space="preserve"> z</w:t>
      </w:r>
      <w:r w:rsidR="0002563E">
        <w:rPr>
          <w:rFonts w:cs="Arial"/>
          <w:szCs w:val="24"/>
        </w:rPr>
        <w:t> </w:t>
      </w:r>
      <w:r w:rsidRPr="00A966B6">
        <w:rPr>
          <w:rFonts w:cs="Arial"/>
          <w:szCs w:val="24"/>
        </w:rPr>
        <w:t>toho</w:t>
      </w:r>
      <w:r w:rsidR="0002563E">
        <w:rPr>
          <w:rFonts w:cs="Arial"/>
          <w:szCs w:val="24"/>
        </w:rPr>
        <w:t xml:space="preserve"> </w:t>
      </w:r>
      <w:r w:rsidR="00C15E12" w:rsidRPr="00A966B6">
        <w:rPr>
          <w:rFonts w:cs="Arial"/>
          <w:szCs w:val="24"/>
        </w:rPr>
        <w:t>116</w:t>
      </w:r>
      <w:r w:rsidR="00A966B6">
        <w:rPr>
          <w:rFonts w:cs="Arial"/>
          <w:szCs w:val="24"/>
        </w:rPr>
        <w:t xml:space="preserve"> </w:t>
      </w:r>
      <w:r w:rsidRPr="00A966B6">
        <w:rPr>
          <w:rFonts w:cs="Arial"/>
          <w:szCs w:val="24"/>
        </w:rPr>
        <w:t>(</w:t>
      </w:r>
      <w:r w:rsidR="00C15E12" w:rsidRPr="00A966B6">
        <w:rPr>
          <w:rFonts w:cs="Arial"/>
          <w:szCs w:val="24"/>
        </w:rPr>
        <w:t>-19</w:t>
      </w:r>
      <w:r w:rsidRPr="00A966B6">
        <w:rPr>
          <w:rFonts w:cs="Arial"/>
          <w:szCs w:val="24"/>
        </w:rPr>
        <w:t xml:space="preserve">) příslušníků P ČR, </w:t>
      </w:r>
      <w:r w:rsidR="00C15E12" w:rsidRPr="00A966B6">
        <w:rPr>
          <w:rFonts w:cs="Arial"/>
          <w:szCs w:val="24"/>
        </w:rPr>
        <w:t>16</w:t>
      </w:r>
      <w:r w:rsidRPr="00A966B6">
        <w:rPr>
          <w:rFonts w:cs="Arial"/>
          <w:szCs w:val="24"/>
        </w:rPr>
        <w:t xml:space="preserve"> (</w:t>
      </w:r>
      <w:r w:rsidR="00C15E12" w:rsidRPr="00A966B6">
        <w:rPr>
          <w:rFonts w:cs="Arial"/>
          <w:szCs w:val="24"/>
        </w:rPr>
        <w:t>-14</w:t>
      </w:r>
      <w:r w:rsidRPr="00A966B6">
        <w:rPr>
          <w:rFonts w:cs="Arial"/>
          <w:szCs w:val="24"/>
        </w:rPr>
        <w:t xml:space="preserve">) příslušníků VS ČR, </w:t>
      </w:r>
      <w:r w:rsidR="00C15E12" w:rsidRPr="00A966B6">
        <w:rPr>
          <w:rFonts w:cs="Arial"/>
          <w:szCs w:val="24"/>
        </w:rPr>
        <w:t>4</w:t>
      </w:r>
      <w:r w:rsidRPr="00A966B6">
        <w:rPr>
          <w:rFonts w:cs="Arial"/>
          <w:szCs w:val="24"/>
        </w:rPr>
        <w:t xml:space="preserve"> (</w:t>
      </w:r>
      <w:r w:rsidR="00C15E12" w:rsidRPr="00A966B6">
        <w:rPr>
          <w:rFonts w:cs="Arial"/>
          <w:szCs w:val="24"/>
        </w:rPr>
        <w:t>-18</w:t>
      </w:r>
      <w:r w:rsidRPr="00A966B6">
        <w:rPr>
          <w:rFonts w:cs="Arial"/>
          <w:szCs w:val="24"/>
        </w:rPr>
        <w:t>) příslušní</w:t>
      </w:r>
      <w:r w:rsidR="00C15E12" w:rsidRPr="00A966B6">
        <w:rPr>
          <w:rFonts w:cs="Arial"/>
          <w:szCs w:val="24"/>
        </w:rPr>
        <w:t>ci</w:t>
      </w:r>
      <w:r w:rsidRPr="00A966B6">
        <w:rPr>
          <w:rFonts w:cs="Arial"/>
          <w:szCs w:val="24"/>
        </w:rPr>
        <w:t xml:space="preserve"> CS ČR, </w:t>
      </w:r>
      <w:r w:rsidR="00C15E12" w:rsidRPr="00A966B6">
        <w:rPr>
          <w:rFonts w:cs="Arial"/>
          <w:szCs w:val="24"/>
        </w:rPr>
        <w:t>7</w:t>
      </w:r>
      <w:r w:rsidRPr="00A966B6">
        <w:rPr>
          <w:rFonts w:cs="Arial"/>
          <w:szCs w:val="24"/>
        </w:rPr>
        <w:t xml:space="preserve"> (</w:t>
      </w:r>
      <w:r w:rsidR="00C15E12" w:rsidRPr="00A966B6">
        <w:rPr>
          <w:rFonts w:cs="Arial"/>
          <w:szCs w:val="24"/>
        </w:rPr>
        <w:t>-6</w:t>
      </w:r>
      <w:r w:rsidRPr="00A966B6">
        <w:rPr>
          <w:rFonts w:cs="Arial"/>
          <w:szCs w:val="24"/>
        </w:rPr>
        <w:t xml:space="preserve">) zaměstnanců P ČR, </w:t>
      </w:r>
      <w:r w:rsidR="00C15E12" w:rsidRPr="00A966B6">
        <w:rPr>
          <w:rFonts w:cs="Arial"/>
          <w:szCs w:val="24"/>
        </w:rPr>
        <w:t>7 (+1</w:t>
      </w:r>
      <w:r w:rsidRPr="00A966B6">
        <w:rPr>
          <w:rFonts w:cs="Arial"/>
          <w:szCs w:val="24"/>
        </w:rPr>
        <w:t xml:space="preserve">) zaměstnanců VS ČR, </w:t>
      </w:r>
      <w:r w:rsidR="00C15E12" w:rsidRPr="00A966B6">
        <w:rPr>
          <w:rFonts w:cs="Arial"/>
          <w:szCs w:val="24"/>
        </w:rPr>
        <w:t>1</w:t>
      </w:r>
      <w:r w:rsidRPr="00A966B6">
        <w:rPr>
          <w:rFonts w:cs="Arial"/>
          <w:szCs w:val="24"/>
        </w:rPr>
        <w:t xml:space="preserve"> (</w:t>
      </w:r>
      <w:r w:rsidR="00C15E12" w:rsidRPr="00A966B6">
        <w:rPr>
          <w:rFonts w:cs="Arial"/>
          <w:szCs w:val="24"/>
        </w:rPr>
        <w:t>+1</w:t>
      </w:r>
      <w:r w:rsidRPr="00A966B6">
        <w:rPr>
          <w:rFonts w:cs="Arial"/>
          <w:szCs w:val="24"/>
        </w:rPr>
        <w:t>) zaměstnan</w:t>
      </w:r>
      <w:r w:rsidR="00C15E12" w:rsidRPr="00A966B6">
        <w:rPr>
          <w:rFonts w:cs="Arial"/>
          <w:szCs w:val="24"/>
        </w:rPr>
        <w:t>ec</w:t>
      </w:r>
      <w:r w:rsidRPr="00A966B6">
        <w:rPr>
          <w:rFonts w:cs="Arial"/>
          <w:szCs w:val="24"/>
        </w:rPr>
        <w:t xml:space="preserve"> CS ČR, </w:t>
      </w:r>
      <w:r w:rsidR="00C15E12" w:rsidRPr="00A966B6">
        <w:rPr>
          <w:rFonts w:cs="Arial"/>
          <w:szCs w:val="24"/>
        </w:rPr>
        <w:t>37</w:t>
      </w:r>
      <w:r w:rsidRPr="00A966B6">
        <w:rPr>
          <w:rFonts w:cs="Arial"/>
          <w:szCs w:val="24"/>
        </w:rPr>
        <w:t xml:space="preserve"> (-</w:t>
      </w:r>
      <w:r w:rsidR="00C15E12" w:rsidRPr="00A966B6">
        <w:rPr>
          <w:rFonts w:cs="Arial"/>
          <w:szCs w:val="24"/>
        </w:rPr>
        <w:t>8</w:t>
      </w:r>
      <w:r w:rsidRPr="00A966B6">
        <w:rPr>
          <w:rFonts w:cs="Arial"/>
          <w:szCs w:val="24"/>
        </w:rPr>
        <w:t>) civilní</w:t>
      </w:r>
      <w:r w:rsidR="00422A91" w:rsidRPr="00A966B6">
        <w:rPr>
          <w:rFonts w:cs="Arial"/>
          <w:szCs w:val="24"/>
        </w:rPr>
        <w:t>ch</w:t>
      </w:r>
      <w:r w:rsidRPr="00A966B6">
        <w:rPr>
          <w:rFonts w:cs="Arial"/>
          <w:szCs w:val="24"/>
        </w:rPr>
        <w:t xml:space="preserve"> osob a </w:t>
      </w:r>
      <w:r w:rsidR="00C15E12" w:rsidRPr="00A966B6">
        <w:rPr>
          <w:rFonts w:cs="Arial"/>
          <w:szCs w:val="24"/>
        </w:rPr>
        <w:t>žádná</w:t>
      </w:r>
      <w:r w:rsidR="00422A91" w:rsidRPr="00A966B6">
        <w:rPr>
          <w:rFonts w:cs="Arial"/>
          <w:szCs w:val="24"/>
        </w:rPr>
        <w:t xml:space="preserve"> (</w:t>
      </w:r>
      <w:r w:rsidR="00C15E12" w:rsidRPr="00A966B6">
        <w:rPr>
          <w:rFonts w:cs="Arial"/>
          <w:szCs w:val="24"/>
        </w:rPr>
        <w:t>-1</w:t>
      </w:r>
      <w:r w:rsidR="00422A91" w:rsidRPr="00A966B6">
        <w:rPr>
          <w:rFonts w:cs="Arial"/>
          <w:szCs w:val="24"/>
        </w:rPr>
        <w:t>) právnická osoba.</w:t>
      </w:r>
      <w:r w:rsidR="00940FD6" w:rsidRPr="00A966B6">
        <w:rPr>
          <w:rFonts w:cs="Arial"/>
          <w:szCs w:val="24"/>
        </w:rPr>
        <w:t xml:space="preserve"> </w:t>
      </w:r>
    </w:p>
    <w:p w14:paraId="22A6749E" w14:textId="7F5E6DCD" w:rsidR="00B840BB" w:rsidRPr="00A966B6" w:rsidRDefault="00B840BB" w:rsidP="00422A91">
      <w:pPr>
        <w:spacing w:after="251" w:line="300" w:lineRule="exact"/>
        <w:jc w:val="both"/>
        <w:rPr>
          <w:rFonts w:cs="Arial"/>
          <w:szCs w:val="24"/>
        </w:rPr>
      </w:pPr>
      <w:r w:rsidRPr="00A966B6">
        <w:rPr>
          <w:rFonts w:cs="Arial"/>
          <w:szCs w:val="24"/>
        </w:rPr>
        <w:t>Ve srovnání s rokem 201</w:t>
      </w:r>
      <w:r w:rsidR="00C15E12" w:rsidRPr="00A966B6">
        <w:rPr>
          <w:rFonts w:cs="Arial"/>
          <w:szCs w:val="24"/>
        </w:rPr>
        <w:t>7</w:t>
      </w:r>
      <w:r w:rsidRPr="00A966B6">
        <w:rPr>
          <w:rFonts w:cs="Arial"/>
          <w:szCs w:val="24"/>
        </w:rPr>
        <w:t xml:space="preserve"> se jedná o </w:t>
      </w:r>
      <w:r w:rsidR="00C15E12" w:rsidRPr="00A966B6">
        <w:rPr>
          <w:rFonts w:cs="Arial"/>
          <w:szCs w:val="24"/>
        </w:rPr>
        <w:t>pokles</w:t>
      </w:r>
      <w:r w:rsidRPr="00A966B6">
        <w:rPr>
          <w:rFonts w:cs="Arial"/>
          <w:szCs w:val="24"/>
        </w:rPr>
        <w:t xml:space="preserve"> o </w:t>
      </w:r>
      <w:r w:rsidR="00C15E12" w:rsidRPr="00A966B6">
        <w:rPr>
          <w:rFonts w:cs="Arial"/>
          <w:szCs w:val="24"/>
        </w:rPr>
        <w:t>63</w:t>
      </w:r>
      <w:r w:rsidRPr="00A966B6">
        <w:rPr>
          <w:rFonts w:cs="Arial"/>
          <w:szCs w:val="24"/>
        </w:rPr>
        <w:t xml:space="preserve"> trestně stíhan</w:t>
      </w:r>
      <w:r w:rsidR="004340E8">
        <w:rPr>
          <w:rFonts w:cs="Arial"/>
          <w:szCs w:val="24"/>
        </w:rPr>
        <w:t>ých</w:t>
      </w:r>
      <w:r w:rsidRPr="00A966B6">
        <w:rPr>
          <w:rFonts w:cs="Arial"/>
          <w:szCs w:val="24"/>
        </w:rPr>
        <w:t xml:space="preserve"> osob.  </w:t>
      </w:r>
    </w:p>
    <w:p w14:paraId="66D48B2B" w14:textId="77777777" w:rsidR="00B840BB" w:rsidRPr="00A966B6" w:rsidRDefault="001A78E0" w:rsidP="00B840BB">
      <w:pPr>
        <w:spacing w:after="251" w:line="300" w:lineRule="exact"/>
        <w:jc w:val="both"/>
        <w:rPr>
          <w:rFonts w:cs="Arial"/>
          <w:szCs w:val="24"/>
        </w:rPr>
      </w:pPr>
      <w:r w:rsidRPr="00A966B6">
        <w:rPr>
          <w:rFonts w:cs="Arial"/>
          <w:szCs w:val="24"/>
        </w:rPr>
        <w:t xml:space="preserve">Jednotlivé způsoby vyřízení trestních spisů jsou uvedeny v tabulce č. 3. </w:t>
      </w:r>
    </w:p>
    <w:p w14:paraId="02EBCC30" w14:textId="77777777" w:rsidR="00B840BB" w:rsidRDefault="00B840BB" w:rsidP="00B840BB">
      <w:pPr>
        <w:spacing w:after="251" w:line="300" w:lineRule="exact"/>
        <w:jc w:val="both"/>
        <w:rPr>
          <w:rFonts w:cs="Arial"/>
          <w:szCs w:val="24"/>
        </w:rPr>
      </w:pPr>
      <w:r w:rsidRPr="00A966B6">
        <w:rPr>
          <w:rFonts w:cs="Arial"/>
          <w:szCs w:val="24"/>
        </w:rPr>
        <w:t>Stejn</w:t>
      </w:r>
      <w:r w:rsidR="0045195F" w:rsidRPr="00A966B6">
        <w:rPr>
          <w:rFonts w:cs="Arial"/>
          <w:szCs w:val="24"/>
        </w:rPr>
        <w:t>ě jako v roce 2017</w:t>
      </w:r>
      <w:r w:rsidRPr="00A966B6">
        <w:rPr>
          <w:rFonts w:cs="Arial"/>
          <w:szCs w:val="24"/>
        </w:rPr>
        <w:t xml:space="preserve"> </w:t>
      </w:r>
      <w:r w:rsidR="00A770D2" w:rsidRPr="00A966B6">
        <w:rPr>
          <w:rFonts w:cs="Arial"/>
          <w:szCs w:val="24"/>
        </w:rPr>
        <w:t>zůstává</w:t>
      </w:r>
      <w:r w:rsidRPr="00A966B6">
        <w:rPr>
          <w:rFonts w:cs="Arial"/>
          <w:szCs w:val="24"/>
        </w:rPr>
        <w:t xml:space="preserve"> regionem s největším počtem trestně stíhaných osob území hlavního města Prahy se </w:t>
      </w:r>
      <w:r w:rsidR="0045195F" w:rsidRPr="00A966B6">
        <w:rPr>
          <w:rFonts w:cs="Arial"/>
          <w:szCs w:val="24"/>
        </w:rPr>
        <w:t>41</w:t>
      </w:r>
      <w:r w:rsidRPr="00A966B6">
        <w:rPr>
          <w:rFonts w:cs="Arial"/>
          <w:szCs w:val="24"/>
        </w:rPr>
        <w:t xml:space="preserve"> (</w:t>
      </w:r>
      <w:r w:rsidR="0045195F" w:rsidRPr="00A966B6">
        <w:rPr>
          <w:rFonts w:cs="Arial"/>
          <w:szCs w:val="24"/>
        </w:rPr>
        <w:t>-33</w:t>
      </w:r>
      <w:r w:rsidRPr="00A966B6">
        <w:rPr>
          <w:rFonts w:cs="Arial"/>
          <w:szCs w:val="24"/>
        </w:rPr>
        <w:t>) osobami</w:t>
      </w:r>
      <w:r w:rsidR="00A770D2" w:rsidRPr="00A966B6">
        <w:rPr>
          <w:rFonts w:cs="Arial"/>
          <w:szCs w:val="24"/>
        </w:rPr>
        <w:t xml:space="preserve">, </w:t>
      </w:r>
      <w:r w:rsidR="001843EB" w:rsidRPr="00A966B6">
        <w:rPr>
          <w:rFonts w:cs="Arial"/>
          <w:szCs w:val="24"/>
        </w:rPr>
        <w:t>přestože</w:t>
      </w:r>
      <w:r w:rsidR="00A770D2" w:rsidRPr="00A966B6">
        <w:rPr>
          <w:rFonts w:cs="Arial"/>
          <w:szCs w:val="24"/>
        </w:rPr>
        <w:t xml:space="preserve"> zde došlo v roce 2018 k výraznému poklesu</w:t>
      </w:r>
      <w:r w:rsidRPr="00A966B6">
        <w:rPr>
          <w:rFonts w:cs="Arial"/>
          <w:szCs w:val="24"/>
        </w:rPr>
        <w:t xml:space="preserve">. </w:t>
      </w:r>
      <w:r w:rsidR="009B2899" w:rsidRPr="00A966B6">
        <w:rPr>
          <w:rFonts w:cs="Arial"/>
          <w:szCs w:val="24"/>
        </w:rPr>
        <w:t>R</w:t>
      </w:r>
      <w:r w:rsidRPr="00A966B6">
        <w:rPr>
          <w:rFonts w:cs="Arial"/>
          <w:szCs w:val="24"/>
        </w:rPr>
        <w:t xml:space="preserve">egiony s nejnižším počtem trestně stíhaných osob byly </w:t>
      </w:r>
      <w:r w:rsidR="00276538" w:rsidRPr="00A966B6">
        <w:rPr>
          <w:rFonts w:cs="Arial"/>
          <w:szCs w:val="24"/>
        </w:rPr>
        <w:t>Pardubický</w:t>
      </w:r>
      <w:r w:rsidR="0045195F" w:rsidRPr="00A966B6">
        <w:rPr>
          <w:rFonts w:cs="Arial"/>
          <w:szCs w:val="24"/>
        </w:rPr>
        <w:t xml:space="preserve"> </w:t>
      </w:r>
      <w:r w:rsidRPr="00A966B6">
        <w:rPr>
          <w:rFonts w:cs="Arial"/>
          <w:szCs w:val="24"/>
        </w:rPr>
        <w:t xml:space="preserve">kraj </w:t>
      </w:r>
      <w:r w:rsidR="00276538" w:rsidRPr="00A966B6">
        <w:rPr>
          <w:rFonts w:cs="Arial"/>
          <w:szCs w:val="24"/>
        </w:rPr>
        <w:t>1</w:t>
      </w:r>
      <w:r w:rsidRPr="00A966B6">
        <w:rPr>
          <w:rFonts w:cs="Arial"/>
          <w:szCs w:val="24"/>
        </w:rPr>
        <w:t xml:space="preserve"> (</w:t>
      </w:r>
      <w:r w:rsidR="0045195F" w:rsidRPr="00A966B6">
        <w:rPr>
          <w:rFonts w:cs="Arial"/>
          <w:szCs w:val="24"/>
        </w:rPr>
        <w:t>-</w:t>
      </w:r>
      <w:r w:rsidR="00276538" w:rsidRPr="00A966B6">
        <w:rPr>
          <w:rFonts w:cs="Arial"/>
          <w:szCs w:val="24"/>
        </w:rPr>
        <w:t>6</w:t>
      </w:r>
      <w:r w:rsidRPr="00A966B6">
        <w:rPr>
          <w:rFonts w:cs="Arial"/>
          <w:szCs w:val="24"/>
        </w:rPr>
        <w:t>) osob</w:t>
      </w:r>
      <w:r w:rsidR="00276538" w:rsidRPr="00A966B6">
        <w:rPr>
          <w:rFonts w:cs="Arial"/>
          <w:szCs w:val="24"/>
        </w:rPr>
        <w:t>a</w:t>
      </w:r>
      <w:r w:rsidRPr="00A966B6">
        <w:rPr>
          <w:rFonts w:cs="Arial"/>
          <w:szCs w:val="24"/>
        </w:rPr>
        <w:t xml:space="preserve"> a Kraj Vysočina </w:t>
      </w:r>
      <w:r w:rsidR="0045195F" w:rsidRPr="00A966B6">
        <w:rPr>
          <w:rFonts w:cs="Arial"/>
          <w:szCs w:val="24"/>
        </w:rPr>
        <w:t>1</w:t>
      </w:r>
      <w:r w:rsidRPr="00A966B6">
        <w:rPr>
          <w:rFonts w:cs="Arial"/>
          <w:szCs w:val="24"/>
        </w:rPr>
        <w:t xml:space="preserve"> (</w:t>
      </w:r>
      <w:r w:rsidR="0045195F" w:rsidRPr="00A966B6">
        <w:rPr>
          <w:rFonts w:cs="Arial"/>
          <w:szCs w:val="24"/>
        </w:rPr>
        <w:t>-4</w:t>
      </w:r>
      <w:r w:rsidRPr="00A966B6">
        <w:rPr>
          <w:rFonts w:cs="Arial"/>
          <w:szCs w:val="24"/>
        </w:rPr>
        <w:t>) osob</w:t>
      </w:r>
      <w:r w:rsidR="00A770D2" w:rsidRPr="00A966B6">
        <w:rPr>
          <w:rFonts w:cs="Arial"/>
          <w:szCs w:val="24"/>
        </w:rPr>
        <w:t>a</w:t>
      </w:r>
      <w:r w:rsidRPr="00A966B6">
        <w:rPr>
          <w:rFonts w:cs="Arial"/>
          <w:szCs w:val="24"/>
        </w:rPr>
        <w:t>.</w:t>
      </w:r>
    </w:p>
    <w:p w14:paraId="036ED534" w14:textId="7430ACC5" w:rsidR="00F15935" w:rsidRPr="000D7ADB" w:rsidRDefault="00F15935" w:rsidP="00B840BB">
      <w:pPr>
        <w:spacing w:after="251" w:line="300" w:lineRule="exact"/>
        <w:jc w:val="both"/>
        <w:rPr>
          <w:rFonts w:cs="Arial"/>
          <w:szCs w:val="24"/>
        </w:rPr>
      </w:pPr>
      <w:r w:rsidRPr="000D7ADB">
        <w:rPr>
          <w:rFonts w:cs="Arial"/>
          <w:szCs w:val="24"/>
        </w:rPr>
        <w:t>Pokud jde o právě prezentované údaje, je zřejmé, že došlo k poklesu téměř ve všech sledovaných ukazatelích, kdy nelze jednoznačně pojmenovat příčinu takového poklesu.</w:t>
      </w:r>
    </w:p>
    <w:p w14:paraId="28A59ACF" w14:textId="0E11C50F" w:rsidR="00F15935" w:rsidRPr="000D7ADB" w:rsidRDefault="00F15935" w:rsidP="00B840BB">
      <w:pPr>
        <w:spacing w:after="251" w:line="300" w:lineRule="exact"/>
        <w:jc w:val="both"/>
        <w:rPr>
          <w:rFonts w:cs="Arial"/>
          <w:szCs w:val="24"/>
        </w:rPr>
      </w:pPr>
      <w:r w:rsidRPr="000D7ADB">
        <w:rPr>
          <w:rFonts w:cs="Arial"/>
          <w:szCs w:val="24"/>
        </w:rPr>
        <w:t>Trendem do dalšího roku je pokud možno snížit počet rozpracovaných věcí</w:t>
      </w:r>
      <w:r w:rsidR="00A12354" w:rsidRPr="000D7ADB">
        <w:rPr>
          <w:rFonts w:cs="Arial"/>
          <w:szCs w:val="24"/>
        </w:rPr>
        <w:t>, soustředit se na věci typově závažnější a u tzv. bagatelní trestné činnosti důsledně zvažovat zásadu subsidiarity trestní represe ve smyslu ustanovení § 12 odst. 2 trestního zákoníku.</w:t>
      </w:r>
    </w:p>
    <w:p w14:paraId="2B04FF91" w14:textId="77777777" w:rsidR="00B840BB" w:rsidRDefault="00B840BB" w:rsidP="00B840BB">
      <w:pPr>
        <w:spacing w:after="251" w:line="300" w:lineRule="exact"/>
        <w:jc w:val="both"/>
        <w:rPr>
          <w:rFonts w:cs="Arial"/>
          <w:szCs w:val="24"/>
        </w:rPr>
      </w:pPr>
      <w:r w:rsidRPr="00A966B6">
        <w:rPr>
          <w:rFonts w:cs="Arial"/>
          <w:szCs w:val="24"/>
        </w:rPr>
        <w:t>Ucelený přehled všech trestně stíhaných osob v roce 201</w:t>
      </w:r>
      <w:r w:rsidR="00A770D2" w:rsidRPr="00A966B6">
        <w:rPr>
          <w:rFonts w:cs="Arial"/>
          <w:szCs w:val="24"/>
        </w:rPr>
        <w:t>8</w:t>
      </w:r>
      <w:r w:rsidRPr="00A966B6">
        <w:rPr>
          <w:rFonts w:cs="Arial"/>
          <w:szCs w:val="24"/>
        </w:rPr>
        <w:t xml:space="preserve"> ve srovnání s rokem 201</w:t>
      </w:r>
      <w:r w:rsidR="00A770D2" w:rsidRPr="00A966B6">
        <w:rPr>
          <w:rFonts w:cs="Arial"/>
          <w:szCs w:val="24"/>
        </w:rPr>
        <w:t>7</w:t>
      </w:r>
      <w:r w:rsidRPr="00A966B6">
        <w:rPr>
          <w:rFonts w:cs="Arial"/>
          <w:szCs w:val="24"/>
        </w:rPr>
        <w:t xml:space="preserve">, včetně údajů o osobách (pohlaví, typ pachatele, místo spáchání, věk, délka služby </w:t>
      </w:r>
      <w:r w:rsidRPr="00A966B6">
        <w:rPr>
          <w:rFonts w:cs="Arial"/>
          <w:szCs w:val="24"/>
        </w:rPr>
        <w:br/>
        <w:t>u sboru, postavení v BS nebo místo služebního/pracovního zařazení) je obsahem následující tabulky č. 1</w:t>
      </w:r>
      <w:r w:rsidR="00A52C41" w:rsidRPr="00A966B6">
        <w:rPr>
          <w:rFonts w:cs="Arial"/>
          <w:szCs w:val="24"/>
        </w:rPr>
        <w:t>.</w:t>
      </w:r>
      <w:r w:rsidR="00273168" w:rsidRPr="00A966B6">
        <w:rPr>
          <w:rFonts w:cs="Arial"/>
          <w:szCs w:val="24"/>
        </w:rPr>
        <w:t xml:space="preserve"> </w:t>
      </w:r>
      <w:r w:rsidR="00A52C41" w:rsidRPr="00A966B6">
        <w:rPr>
          <w:rFonts w:cs="Arial"/>
          <w:szCs w:val="24"/>
        </w:rPr>
        <w:t>V</w:t>
      </w:r>
      <w:r w:rsidR="00273168" w:rsidRPr="00A966B6">
        <w:rPr>
          <w:rFonts w:cs="Arial"/>
          <w:szCs w:val="24"/>
        </w:rPr>
        <w:t xml:space="preserve"> tabulce č. 2 je bližší rozbor trestně stíhaných osob se zaměřením na jejich zavinění, stadia trestného činu, doby spáchání trestného činu </w:t>
      </w:r>
      <w:r w:rsidR="008B76C0" w:rsidRPr="00A966B6">
        <w:rPr>
          <w:rFonts w:cs="Arial"/>
          <w:szCs w:val="24"/>
        </w:rPr>
        <w:br/>
      </w:r>
      <w:r w:rsidR="00273168" w:rsidRPr="00A966B6">
        <w:rPr>
          <w:rFonts w:cs="Arial"/>
          <w:szCs w:val="24"/>
        </w:rPr>
        <w:t>a rozdělení</w:t>
      </w:r>
      <w:r w:rsidR="00FB22A8" w:rsidRPr="00A966B6">
        <w:rPr>
          <w:rFonts w:cs="Arial"/>
          <w:szCs w:val="24"/>
        </w:rPr>
        <w:t>,</w:t>
      </w:r>
      <w:r w:rsidR="00273168" w:rsidRPr="00A966B6">
        <w:rPr>
          <w:rFonts w:cs="Arial"/>
          <w:szCs w:val="24"/>
        </w:rPr>
        <w:t xml:space="preserve"> zda ke spáchání došlo v souvislosti se zneužitím postavení či nikoli.  </w:t>
      </w:r>
    </w:p>
    <w:p w14:paraId="7F377B67" w14:textId="77777777" w:rsidR="00CB57EE" w:rsidRDefault="00CB57EE" w:rsidP="00B840BB">
      <w:pPr>
        <w:spacing w:after="251" w:line="300" w:lineRule="exact"/>
        <w:jc w:val="both"/>
        <w:rPr>
          <w:rFonts w:cs="Arial"/>
          <w:szCs w:val="24"/>
        </w:rPr>
      </w:pPr>
    </w:p>
    <w:p w14:paraId="0E862225" w14:textId="77777777" w:rsidR="00CB57EE" w:rsidRDefault="00CB57EE" w:rsidP="00B840BB">
      <w:pPr>
        <w:spacing w:after="251" w:line="300" w:lineRule="exact"/>
        <w:jc w:val="both"/>
        <w:rPr>
          <w:rFonts w:cs="Arial"/>
          <w:szCs w:val="24"/>
        </w:rPr>
      </w:pPr>
    </w:p>
    <w:p w14:paraId="4AD8A581" w14:textId="77777777" w:rsidR="00CB57EE" w:rsidRDefault="00CB57EE" w:rsidP="00B840BB">
      <w:pPr>
        <w:spacing w:after="251" w:line="300" w:lineRule="exact"/>
        <w:jc w:val="both"/>
        <w:rPr>
          <w:rFonts w:cs="Arial"/>
          <w:szCs w:val="24"/>
        </w:rPr>
      </w:pPr>
    </w:p>
    <w:p w14:paraId="74522B50" w14:textId="77777777" w:rsidR="00CB57EE" w:rsidRPr="00A966B6" w:rsidRDefault="00CB57EE" w:rsidP="00B840BB">
      <w:pPr>
        <w:spacing w:after="251" w:line="300" w:lineRule="exact"/>
        <w:jc w:val="both"/>
        <w:rPr>
          <w:rFonts w:cs="Arial"/>
          <w:szCs w:val="24"/>
        </w:rPr>
      </w:pPr>
    </w:p>
    <w:p w14:paraId="79CD2502" w14:textId="77777777" w:rsidR="00B840BB" w:rsidRPr="00A966B6" w:rsidRDefault="00B840BB" w:rsidP="00B840BB">
      <w:pPr>
        <w:spacing w:after="251" w:line="300" w:lineRule="exact"/>
        <w:jc w:val="both"/>
        <w:rPr>
          <w:rFonts w:cs="Arial"/>
          <w:szCs w:val="24"/>
        </w:rPr>
      </w:pPr>
      <w:r w:rsidRPr="00A966B6">
        <w:rPr>
          <w:rFonts w:cs="Arial"/>
          <w:i/>
          <w:szCs w:val="24"/>
        </w:rPr>
        <w:lastRenderedPageBreak/>
        <w:t xml:space="preserve">Tabulka č. 1 – </w:t>
      </w:r>
      <w:r w:rsidRPr="00A966B6">
        <w:rPr>
          <w:rFonts w:cs="Arial"/>
          <w:b/>
          <w:i/>
          <w:szCs w:val="24"/>
        </w:rPr>
        <w:t>Přehled trestně stíhaných osob v roce 201</w:t>
      </w:r>
      <w:r w:rsidR="00A770D2" w:rsidRPr="00A966B6">
        <w:rPr>
          <w:rFonts w:cs="Arial"/>
          <w:b/>
          <w:i/>
          <w:szCs w:val="24"/>
        </w:rPr>
        <w:t>8</w:t>
      </w:r>
      <w:r w:rsidRPr="00A966B6">
        <w:rPr>
          <w:rFonts w:cs="Arial"/>
          <w:i/>
          <w:szCs w:val="24"/>
        </w:rPr>
        <w:t xml:space="preserve"> </w:t>
      </w:r>
    </w:p>
    <w:tbl>
      <w:tblPr>
        <w:tblW w:w="9669" w:type="dxa"/>
        <w:jc w:val="center"/>
        <w:tblCellMar>
          <w:left w:w="70" w:type="dxa"/>
          <w:right w:w="70" w:type="dxa"/>
        </w:tblCellMar>
        <w:tblLook w:val="04A0" w:firstRow="1" w:lastRow="0" w:firstColumn="1" w:lastColumn="0" w:noHBand="0" w:noVBand="1"/>
      </w:tblPr>
      <w:tblGrid>
        <w:gridCol w:w="5822"/>
        <w:gridCol w:w="887"/>
        <w:gridCol w:w="1009"/>
        <w:gridCol w:w="674"/>
        <w:gridCol w:w="1277"/>
      </w:tblGrid>
      <w:tr w:rsidR="00A966B6" w:rsidRPr="00A966B6" w14:paraId="0C2FCB46" w14:textId="77777777" w:rsidTr="00A770D2">
        <w:trPr>
          <w:trHeight w:val="300"/>
          <w:jc w:val="center"/>
        </w:trPr>
        <w:tc>
          <w:tcPr>
            <w:tcW w:w="77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1AB92" w14:textId="77777777" w:rsidR="00B840BB" w:rsidRPr="00A966B6" w:rsidRDefault="00B840BB" w:rsidP="001C2F78">
            <w:pPr>
              <w:spacing w:after="0" w:line="300" w:lineRule="exact"/>
              <w:jc w:val="center"/>
              <w:rPr>
                <w:rFonts w:cs="Arial"/>
                <w:b/>
                <w:bCs/>
                <w:sz w:val="20"/>
              </w:rPr>
            </w:pPr>
            <w:r w:rsidRPr="00A966B6">
              <w:rPr>
                <w:rFonts w:cs="Arial"/>
                <w:b/>
                <w:bCs/>
                <w:sz w:val="20"/>
              </w:rPr>
              <w:t xml:space="preserve">Trestně stíhané osoby  </w:t>
            </w:r>
          </w:p>
        </w:tc>
        <w:tc>
          <w:tcPr>
            <w:tcW w:w="1951" w:type="dxa"/>
            <w:gridSpan w:val="2"/>
            <w:tcBorders>
              <w:top w:val="single" w:sz="4" w:space="0" w:color="auto"/>
              <w:left w:val="nil"/>
              <w:bottom w:val="single" w:sz="4" w:space="0" w:color="auto"/>
              <w:right w:val="single" w:sz="4" w:space="0" w:color="auto"/>
            </w:tcBorders>
            <w:shd w:val="clear" w:color="auto" w:fill="auto"/>
            <w:vAlign w:val="bottom"/>
            <w:hideMark/>
          </w:tcPr>
          <w:p w14:paraId="16EFE4F8" w14:textId="77777777" w:rsidR="00B840BB" w:rsidRPr="00A966B6" w:rsidRDefault="00B840BB" w:rsidP="00A770D2">
            <w:pPr>
              <w:spacing w:after="0" w:line="300" w:lineRule="exact"/>
              <w:jc w:val="center"/>
              <w:rPr>
                <w:rFonts w:cs="Arial"/>
                <w:b/>
                <w:bCs/>
                <w:sz w:val="20"/>
              </w:rPr>
            </w:pPr>
            <w:r w:rsidRPr="00A966B6">
              <w:rPr>
                <w:rFonts w:cs="Arial"/>
                <w:b/>
                <w:bCs/>
                <w:sz w:val="20"/>
              </w:rPr>
              <w:t>Rozdíl 201</w:t>
            </w:r>
            <w:r w:rsidR="00A770D2" w:rsidRPr="00A966B6">
              <w:rPr>
                <w:rFonts w:cs="Arial"/>
                <w:b/>
                <w:bCs/>
                <w:sz w:val="20"/>
              </w:rPr>
              <w:t>7</w:t>
            </w:r>
            <w:r w:rsidRPr="00A966B6">
              <w:rPr>
                <w:rFonts w:cs="Arial"/>
                <w:b/>
                <w:bCs/>
                <w:sz w:val="20"/>
              </w:rPr>
              <w:t>/201</w:t>
            </w:r>
            <w:r w:rsidR="00A770D2" w:rsidRPr="00A966B6">
              <w:rPr>
                <w:rFonts w:cs="Arial"/>
                <w:b/>
                <w:bCs/>
                <w:sz w:val="20"/>
              </w:rPr>
              <w:t>8</w:t>
            </w:r>
          </w:p>
        </w:tc>
      </w:tr>
      <w:tr w:rsidR="00A966B6" w:rsidRPr="00A966B6" w14:paraId="1E6F343A" w14:textId="77777777" w:rsidTr="00A770D2">
        <w:trPr>
          <w:trHeight w:val="300"/>
          <w:jc w:val="center"/>
        </w:trPr>
        <w:tc>
          <w:tcPr>
            <w:tcW w:w="5822"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2095F35B" w14:textId="77777777" w:rsidR="00B840BB" w:rsidRPr="00A966B6" w:rsidRDefault="00B840BB" w:rsidP="001C2F78">
            <w:pPr>
              <w:spacing w:after="0" w:line="300" w:lineRule="exact"/>
              <w:rPr>
                <w:rFonts w:cs="Arial"/>
                <w:sz w:val="20"/>
              </w:rPr>
            </w:pPr>
            <w:r w:rsidRPr="00A966B6">
              <w:rPr>
                <w:rFonts w:cs="Arial"/>
                <w:sz w:val="20"/>
              </w:rPr>
              <w:t> </w:t>
            </w:r>
          </w:p>
        </w:tc>
        <w:tc>
          <w:tcPr>
            <w:tcW w:w="887" w:type="dxa"/>
            <w:tcBorders>
              <w:top w:val="double" w:sz="4" w:space="0" w:color="auto"/>
              <w:left w:val="nil"/>
              <w:bottom w:val="single" w:sz="4" w:space="0" w:color="auto"/>
              <w:right w:val="single" w:sz="4" w:space="0" w:color="auto"/>
            </w:tcBorders>
            <w:shd w:val="clear" w:color="auto" w:fill="auto"/>
            <w:noWrap/>
            <w:vAlign w:val="bottom"/>
            <w:hideMark/>
          </w:tcPr>
          <w:p w14:paraId="33A5A301" w14:textId="77777777" w:rsidR="00B840BB" w:rsidRPr="00A966B6" w:rsidRDefault="00B840BB" w:rsidP="001C2F78">
            <w:pPr>
              <w:spacing w:after="0" w:line="300" w:lineRule="exact"/>
              <w:jc w:val="center"/>
              <w:rPr>
                <w:rFonts w:cs="Arial"/>
                <w:b/>
                <w:bCs/>
                <w:sz w:val="20"/>
              </w:rPr>
            </w:pPr>
            <w:r w:rsidRPr="00A966B6">
              <w:rPr>
                <w:rFonts w:cs="Arial"/>
                <w:b/>
                <w:bCs/>
                <w:sz w:val="20"/>
              </w:rPr>
              <w:t>celkem</w:t>
            </w:r>
          </w:p>
        </w:tc>
        <w:tc>
          <w:tcPr>
            <w:tcW w:w="1009" w:type="dxa"/>
            <w:tcBorders>
              <w:top w:val="double" w:sz="4" w:space="0" w:color="auto"/>
              <w:left w:val="nil"/>
              <w:bottom w:val="single" w:sz="4" w:space="0" w:color="auto"/>
              <w:right w:val="single" w:sz="4" w:space="0" w:color="auto"/>
            </w:tcBorders>
            <w:shd w:val="clear" w:color="auto" w:fill="auto"/>
            <w:noWrap/>
            <w:vAlign w:val="bottom"/>
            <w:hideMark/>
          </w:tcPr>
          <w:p w14:paraId="746B38FF" w14:textId="77777777" w:rsidR="00B840BB" w:rsidRPr="00A966B6" w:rsidRDefault="00B840BB" w:rsidP="001C2F78">
            <w:pPr>
              <w:spacing w:after="0" w:line="300" w:lineRule="exact"/>
              <w:jc w:val="center"/>
              <w:rPr>
                <w:rFonts w:cs="Arial"/>
                <w:b/>
                <w:bCs/>
                <w:sz w:val="20"/>
              </w:rPr>
            </w:pPr>
            <w:r w:rsidRPr="00A966B6">
              <w:rPr>
                <w:rFonts w:cs="Arial"/>
                <w:b/>
                <w:bCs/>
                <w:sz w:val="20"/>
              </w:rPr>
              <w:t>tj. %</w:t>
            </w:r>
          </w:p>
        </w:tc>
        <w:tc>
          <w:tcPr>
            <w:tcW w:w="674" w:type="dxa"/>
            <w:tcBorders>
              <w:top w:val="double" w:sz="4" w:space="0" w:color="auto"/>
              <w:left w:val="nil"/>
              <w:bottom w:val="single" w:sz="4" w:space="0" w:color="auto"/>
              <w:right w:val="single" w:sz="4" w:space="0" w:color="auto"/>
            </w:tcBorders>
            <w:shd w:val="clear" w:color="auto" w:fill="auto"/>
            <w:noWrap/>
            <w:vAlign w:val="bottom"/>
            <w:hideMark/>
          </w:tcPr>
          <w:p w14:paraId="50769475" w14:textId="77777777" w:rsidR="00B840BB" w:rsidRPr="00A966B6" w:rsidRDefault="00B840BB" w:rsidP="001C2F78">
            <w:pPr>
              <w:spacing w:after="0" w:line="300" w:lineRule="exact"/>
              <w:jc w:val="center"/>
              <w:rPr>
                <w:rFonts w:cs="Arial"/>
                <w:b/>
                <w:bCs/>
                <w:sz w:val="20"/>
              </w:rPr>
            </w:pPr>
            <w:r w:rsidRPr="00A966B6">
              <w:rPr>
                <w:rFonts w:cs="Arial"/>
                <w:b/>
                <w:bCs/>
                <w:sz w:val="20"/>
              </w:rPr>
              <w:t>rozdíl</w:t>
            </w:r>
          </w:p>
        </w:tc>
        <w:tc>
          <w:tcPr>
            <w:tcW w:w="1277" w:type="dxa"/>
            <w:tcBorders>
              <w:top w:val="double" w:sz="4" w:space="0" w:color="auto"/>
              <w:left w:val="nil"/>
              <w:bottom w:val="single" w:sz="4" w:space="0" w:color="auto"/>
              <w:right w:val="single" w:sz="4" w:space="0" w:color="auto"/>
            </w:tcBorders>
            <w:shd w:val="clear" w:color="auto" w:fill="auto"/>
            <w:noWrap/>
            <w:vAlign w:val="bottom"/>
            <w:hideMark/>
          </w:tcPr>
          <w:p w14:paraId="702A363A" w14:textId="77777777" w:rsidR="00B840BB" w:rsidRPr="00A966B6" w:rsidRDefault="00B840BB" w:rsidP="001C2F78">
            <w:pPr>
              <w:spacing w:after="0" w:line="300" w:lineRule="exact"/>
              <w:jc w:val="center"/>
              <w:rPr>
                <w:rFonts w:cs="Arial"/>
                <w:b/>
                <w:bCs/>
                <w:sz w:val="20"/>
              </w:rPr>
            </w:pPr>
            <w:r w:rsidRPr="00A966B6">
              <w:rPr>
                <w:rFonts w:cs="Arial"/>
                <w:b/>
                <w:bCs/>
                <w:sz w:val="20"/>
              </w:rPr>
              <w:t>tj. %</w:t>
            </w:r>
          </w:p>
        </w:tc>
      </w:tr>
      <w:tr w:rsidR="00A966B6" w:rsidRPr="00A966B6" w14:paraId="0D023424"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2B3350F1" w14:textId="77777777" w:rsidR="00B840BB" w:rsidRPr="00A966B6" w:rsidRDefault="00B840BB" w:rsidP="001C2F78">
            <w:pPr>
              <w:spacing w:after="0" w:line="300" w:lineRule="exact"/>
              <w:rPr>
                <w:rFonts w:cs="Arial"/>
                <w:b/>
                <w:bCs/>
                <w:sz w:val="20"/>
              </w:rPr>
            </w:pPr>
            <w:r w:rsidRPr="00A966B6">
              <w:rPr>
                <w:rFonts w:cs="Arial"/>
                <w:b/>
                <w:bCs/>
                <w:sz w:val="20"/>
              </w:rPr>
              <w:t>Celkem stíhané osoby</w:t>
            </w:r>
          </w:p>
        </w:tc>
        <w:tc>
          <w:tcPr>
            <w:tcW w:w="887" w:type="dxa"/>
            <w:tcBorders>
              <w:top w:val="nil"/>
              <w:left w:val="nil"/>
              <w:bottom w:val="single" w:sz="4" w:space="0" w:color="auto"/>
              <w:right w:val="single" w:sz="4" w:space="0" w:color="auto"/>
            </w:tcBorders>
            <w:shd w:val="clear" w:color="auto" w:fill="auto"/>
            <w:noWrap/>
            <w:vAlign w:val="bottom"/>
            <w:hideMark/>
          </w:tcPr>
          <w:p w14:paraId="6AB4E60B" w14:textId="77777777" w:rsidR="00B840BB" w:rsidRPr="00A966B6" w:rsidRDefault="00A770D2" w:rsidP="001C2F78">
            <w:pPr>
              <w:spacing w:after="0" w:line="300" w:lineRule="exact"/>
              <w:jc w:val="center"/>
              <w:rPr>
                <w:rFonts w:cs="Arial"/>
                <w:b/>
                <w:bCs/>
                <w:sz w:val="20"/>
              </w:rPr>
            </w:pPr>
            <w:r w:rsidRPr="00A966B6">
              <w:rPr>
                <w:rFonts w:cs="Arial"/>
                <w:b/>
                <w:bCs/>
                <w:sz w:val="20"/>
              </w:rPr>
              <w:t>188</w:t>
            </w:r>
          </w:p>
        </w:tc>
        <w:tc>
          <w:tcPr>
            <w:tcW w:w="1009" w:type="dxa"/>
            <w:tcBorders>
              <w:top w:val="nil"/>
              <w:left w:val="nil"/>
              <w:bottom w:val="single" w:sz="4" w:space="0" w:color="auto"/>
              <w:right w:val="single" w:sz="4" w:space="0" w:color="auto"/>
            </w:tcBorders>
            <w:shd w:val="clear" w:color="auto" w:fill="auto"/>
            <w:noWrap/>
            <w:vAlign w:val="bottom"/>
            <w:hideMark/>
          </w:tcPr>
          <w:p w14:paraId="38EA328D" w14:textId="77777777" w:rsidR="00B840BB" w:rsidRPr="00A966B6" w:rsidRDefault="00B840BB" w:rsidP="001C2F78">
            <w:pPr>
              <w:spacing w:after="0" w:line="300" w:lineRule="exact"/>
              <w:jc w:val="center"/>
              <w:rPr>
                <w:rFonts w:cs="Arial"/>
                <w:b/>
                <w:bCs/>
                <w:sz w:val="20"/>
              </w:rPr>
            </w:pPr>
            <w:r w:rsidRPr="00A966B6">
              <w:rPr>
                <w:rFonts w:cs="Arial"/>
                <w:b/>
                <w:bCs/>
                <w:sz w:val="20"/>
              </w:rPr>
              <w:t>100,00%</w:t>
            </w:r>
          </w:p>
        </w:tc>
        <w:tc>
          <w:tcPr>
            <w:tcW w:w="674" w:type="dxa"/>
            <w:tcBorders>
              <w:top w:val="nil"/>
              <w:left w:val="nil"/>
              <w:bottom w:val="single" w:sz="4" w:space="0" w:color="auto"/>
              <w:right w:val="single" w:sz="4" w:space="0" w:color="auto"/>
            </w:tcBorders>
            <w:shd w:val="clear" w:color="auto" w:fill="auto"/>
            <w:noWrap/>
            <w:vAlign w:val="bottom"/>
          </w:tcPr>
          <w:p w14:paraId="0BA21D0C" w14:textId="77777777" w:rsidR="00B840BB" w:rsidRPr="00A966B6" w:rsidRDefault="00EE6162" w:rsidP="001C2F78">
            <w:pPr>
              <w:spacing w:after="0" w:line="300" w:lineRule="exact"/>
              <w:jc w:val="center"/>
              <w:rPr>
                <w:rFonts w:cs="Arial"/>
                <w:sz w:val="20"/>
              </w:rPr>
            </w:pPr>
            <w:r w:rsidRPr="00A966B6">
              <w:rPr>
                <w:rFonts w:cs="Arial"/>
                <w:sz w:val="20"/>
              </w:rPr>
              <w:t>-63</w:t>
            </w:r>
          </w:p>
        </w:tc>
        <w:tc>
          <w:tcPr>
            <w:tcW w:w="1277" w:type="dxa"/>
            <w:tcBorders>
              <w:top w:val="nil"/>
              <w:left w:val="nil"/>
              <w:bottom w:val="single" w:sz="4" w:space="0" w:color="auto"/>
              <w:right w:val="single" w:sz="4" w:space="0" w:color="auto"/>
            </w:tcBorders>
            <w:shd w:val="clear" w:color="auto" w:fill="auto"/>
            <w:noWrap/>
            <w:vAlign w:val="bottom"/>
          </w:tcPr>
          <w:p w14:paraId="65411652" w14:textId="77777777" w:rsidR="00B840BB" w:rsidRPr="00A966B6" w:rsidRDefault="00A33514" w:rsidP="001C2F78">
            <w:pPr>
              <w:spacing w:after="0" w:line="300" w:lineRule="exact"/>
              <w:jc w:val="center"/>
              <w:rPr>
                <w:rFonts w:cs="Arial"/>
                <w:sz w:val="20"/>
              </w:rPr>
            </w:pPr>
            <w:r w:rsidRPr="00A966B6">
              <w:rPr>
                <w:rFonts w:cs="Arial"/>
                <w:sz w:val="20"/>
              </w:rPr>
              <w:t>-25,10%</w:t>
            </w:r>
          </w:p>
        </w:tc>
      </w:tr>
      <w:tr w:rsidR="00A966B6" w:rsidRPr="00A966B6" w14:paraId="3205871F" w14:textId="77777777" w:rsidTr="00A770D2">
        <w:trPr>
          <w:trHeight w:val="227"/>
          <w:jc w:val="center"/>
        </w:trPr>
        <w:tc>
          <w:tcPr>
            <w:tcW w:w="5822" w:type="dxa"/>
            <w:tcBorders>
              <w:top w:val="nil"/>
              <w:left w:val="nil"/>
              <w:bottom w:val="single" w:sz="4" w:space="0" w:color="auto"/>
              <w:right w:val="nil"/>
            </w:tcBorders>
            <w:shd w:val="clear" w:color="auto" w:fill="auto"/>
            <w:noWrap/>
            <w:vAlign w:val="bottom"/>
            <w:hideMark/>
          </w:tcPr>
          <w:p w14:paraId="2896EF38" w14:textId="77777777" w:rsidR="00B840BB" w:rsidRPr="00A966B6" w:rsidRDefault="00B840BB" w:rsidP="001C2F78">
            <w:pPr>
              <w:spacing w:after="0" w:line="300" w:lineRule="exact"/>
              <w:rPr>
                <w:rFonts w:cs="Arial"/>
                <w:sz w:val="20"/>
              </w:rPr>
            </w:pPr>
            <w:r w:rsidRPr="00A966B6">
              <w:rPr>
                <w:rFonts w:cs="Arial"/>
                <w:sz w:val="20"/>
              </w:rPr>
              <w:t> </w:t>
            </w:r>
          </w:p>
        </w:tc>
        <w:tc>
          <w:tcPr>
            <w:tcW w:w="887" w:type="dxa"/>
            <w:tcBorders>
              <w:top w:val="nil"/>
              <w:left w:val="nil"/>
              <w:bottom w:val="single" w:sz="4" w:space="0" w:color="auto"/>
              <w:right w:val="nil"/>
            </w:tcBorders>
            <w:shd w:val="clear" w:color="auto" w:fill="auto"/>
            <w:noWrap/>
            <w:vAlign w:val="bottom"/>
            <w:hideMark/>
          </w:tcPr>
          <w:p w14:paraId="4163FC47" w14:textId="77777777" w:rsidR="00B840BB" w:rsidRPr="00A966B6" w:rsidRDefault="00B840BB" w:rsidP="001C2F78">
            <w:pPr>
              <w:spacing w:after="0" w:line="300" w:lineRule="exact"/>
              <w:jc w:val="center"/>
              <w:rPr>
                <w:rFonts w:cs="Arial"/>
                <w:b/>
                <w:bCs/>
                <w:sz w:val="20"/>
              </w:rPr>
            </w:pPr>
            <w:r w:rsidRPr="00A966B6">
              <w:rPr>
                <w:rFonts w:cs="Arial"/>
                <w:b/>
                <w:bCs/>
                <w:sz w:val="20"/>
              </w:rPr>
              <w:t> </w:t>
            </w:r>
          </w:p>
        </w:tc>
        <w:tc>
          <w:tcPr>
            <w:tcW w:w="1009" w:type="dxa"/>
            <w:tcBorders>
              <w:top w:val="nil"/>
              <w:left w:val="nil"/>
              <w:bottom w:val="single" w:sz="4" w:space="0" w:color="auto"/>
              <w:right w:val="nil"/>
            </w:tcBorders>
            <w:shd w:val="clear" w:color="auto" w:fill="auto"/>
            <w:noWrap/>
            <w:vAlign w:val="bottom"/>
            <w:hideMark/>
          </w:tcPr>
          <w:p w14:paraId="33D20DD4" w14:textId="77777777" w:rsidR="00B840BB" w:rsidRPr="00A966B6" w:rsidRDefault="00B840BB" w:rsidP="001C2F78">
            <w:pPr>
              <w:spacing w:after="0" w:line="300" w:lineRule="exact"/>
              <w:jc w:val="center"/>
              <w:rPr>
                <w:rFonts w:cs="Arial"/>
                <w:b/>
                <w:bCs/>
                <w:sz w:val="20"/>
              </w:rPr>
            </w:pPr>
            <w:r w:rsidRPr="00A966B6">
              <w:rPr>
                <w:rFonts w:cs="Arial"/>
                <w:b/>
                <w:bCs/>
                <w:sz w:val="20"/>
              </w:rPr>
              <w:t> </w:t>
            </w:r>
          </w:p>
        </w:tc>
        <w:tc>
          <w:tcPr>
            <w:tcW w:w="674" w:type="dxa"/>
            <w:tcBorders>
              <w:top w:val="nil"/>
              <w:left w:val="nil"/>
              <w:bottom w:val="single" w:sz="4" w:space="0" w:color="auto"/>
              <w:right w:val="nil"/>
            </w:tcBorders>
            <w:shd w:val="clear" w:color="auto" w:fill="auto"/>
            <w:noWrap/>
            <w:vAlign w:val="bottom"/>
          </w:tcPr>
          <w:p w14:paraId="1C695649" w14:textId="77777777" w:rsidR="00B840BB" w:rsidRPr="00A966B6" w:rsidRDefault="00B840BB" w:rsidP="001C2F78">
            <w:pPr>
              <w:spacing w:after="0" w:line="300" w:lineRule="exact"/>
              <w:jc w:val="center"/>
              <w:rPr>
                <w:rFonts w:cs="Arial"/>
                <w:sz w:val="20"/>
              </w:rPr>
            </w:pPr>
          </w:p>
        </w:tc>
        <w:tc>
          <w:tcPr>
            <w:tcW w:w="1277" w:type="dxa"/>
            <w:tcBorders>
              <w:top w:val="nil"/>
              <w:left w:val="nil"/>
              <w:bottom w:val="single" w:sz="4" w:space="0" w:color="auto"/>
              <w:right w:val="nil"/>
            </w:tcBorders>
            <w:shd w:val="clear" w:color="auto" w:fill="auto"/>
            <w:noWrap/>
            <w:vAlign w:val="bottom"/>
          </w:tcPr>
          <w:p w14:paraId="101FE0F3" w14:textId="77777777" w:rsidR="00B840BB" w:rsidRPr="00A966B6" w:rsidRDefault="00B840BB" w:rsidP="001C2F78">
            <w:pPr>
              <w:spacing w:after="0" w:line="300" w:lineRule="exact"/>
              <w:jc w:val="center"/>
              <w:rPr>
                <w:rFonts w:cs="Arial"/>
                <w:sz w:val="20"/>
              </w:rPr>
            </w:pPr>
          </w:p>
        </w:tc>
      </w:tr>
      <w:tr w:rsidR="00A966B6" w:rsidRPr="00A966B6" w14:paraId="3EEFF367" w14:textId="77777777" w:rsidTr="00CB57EE">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191D769F" w14:textId="77777777" w:rsidR="00B840BB" w:rsidRPr="00A966B6" w:rsidRDefault="00B840BB" w:rsidP="001C2F78">
            <w:pPr>
              <w:spacing w:after="0" w:line="300" w:lineRule="exact"/>
              <w:rPr>
                <w:rFonts w:cs="Arial"/>
                <w:b/>
                <w:bCs/>
                <w:sz w:val="20"/>
              </w:rPr>
            </w:pPr>
            <w:r w:rsidRPr="00A966B6">
              <w:rPr>
                <w:rFonts w:cs="Arial"/>
                <w:b/>
                <w:bCs/>
                <w:sz w:val="20"/>
              </w:rPr>
              <w:t>Podle typu</w:t>
            </w:r>
          </w:p>
        </w:tc>
        <w:tc>
          <w:tcPr>
            <w:tcW w:w="887" w:type="dxa"/>
            <w:tcBorders>
              <w:top w:val="nil"/>
              <w:left w:val="nil"/>
              <w:bottom w:val="single" w:sz="4" w:space="0" w:color="auto"/>
              <w:right w:val="single" w:sz="4" w:space="0" w:color="auto"/>
            </w:tcBorders>
            <w:shd w:val="clear" w:color="auto" w:fill="auto"/>
            <w:noWrap/>
            <w:vAlign w:val="bottom"/>
            <w:hideMark/>
          </w:tcPr>
          <w:p w14:paraId="1A5C7ABF" w14:textId="77777777" w:rsidR="00B840BB" w:rsidRPr="00A966B6" w:rsidRDefault="00A770D2" w:rsidP="001C2F78">
            <w:pPr>
              <w:spacing w:after="0" w:line="300" w:lineRule="exact"/>
              <w:jc w:val="center"/>
              <w:rPr>
                <w:rFonts w:cs="Arial"/>
                <w:b/>
                <w:bCs/>
                <w:sz w:val="20"/>
              </w:rPr>
            </w:pPr>
            <w:r w:rsidRPr="00A966B6">
              <w:rPr>
                <w:rFonts w:cs="Arial"/>
                <w:b/>
                <w:bCs/>
                <w:sz w:val="20"/>
              </w:rPr>
              <w:t>188</w:t>
            </w:r>
          </w:p>
        </w:tc>
        <w:tc>
          <w:tcPr>
            <w:tcW w:w="1009" w:type="dxa"/>
            <w:tcBorders>
              <w:top w:val="nil"/>
              <w:left w:val="nil"/>
              <w:bottom w:val="single" w:sz="4" w:space="0" w:color="auto"/>
              <w:right w:val="single" w:sz="4" w:space="0" w:color="auto"/>
            </w:tcBorders>
            <w:shd w:val="clear" w:color="auto" w:fill="auto"/>
            <w:noWrap/>
            <w:vAlign w:val="bottom"/>
            <w:hideMark/>
          </w:tcPr>
          <w:p w14:paraId="68DDA1B7" w14:textId="77777777" w:rsidR="00B840BB" w:rsidRPr="00A966B6" w:rsidRDefault="00B840BB" w:rsidP="001C2F78">
            <w:pPr>
              <w:spacing w:after="0" w:line="300" w:lineRule="exact"/>
              <w:jc w:val="center"/>
              <w:rPr>
                <w:rFonts w:cs="Arial"/>
                <w:b/>
                <w:bCs/>
                <w:sz w:val="20"/>
              </w:rPr>
            </w:pPr>
            <w:r w:rsidRPr="00A966B6">
              <w:rPr>
                <w:rFonts w:cs="Arial"/>
                <w:b/>
                <w:bCs/>
                <w:sz w:val="20"/>
              </w:rPr>
              <w:t>100,00%</w:t>
            </w:r>
          </w:p>
        </w:tc>
        <w:tc>
          <w:tcPr>
            <w:tcW w:w="674" w:type="dxa"/>
            <w:tcBorders>
              <w:top w:val="nil"/>
              <w:left w:val="nil"/>
              <w:bottom w:val="single" w:sz="4" w:space="0" w:color="auto"/>
              <w:right w:val="single" w:sz="4" w:space="0" w:color="auto"/>
            </w:tcBorders>
            <w:shd w:val="clear" w:color="auto" w:fill="auto"/>
            <w:noWrap/>
            <w:vAlign w:val="bottom"/>
          </w:tcPr>
          <w:p w14:paraId="1991C964" w14:textId="77777777" w:rsidR="00B840BB" w:rsidRPr="00A966B6" w:rsidRDefault="00EE6162" w:rsidP="001C2F78">
            <w:pPr>
              <w:spacing w:after="0" w:line="300" w:lineRule="exact"/>
              <w:jc w:val="center"/>
              <w:rPr>
                <w:rFonts w:cs="Arial"/>
                <w:sz w:val="20"/>
              </w:rPr>
            </w:pPr>
            <w:r w:rsidRPr="00A966B6">
              <w:rPr>
                <w:rFonts w:cs="Arial"/>
                <w:sz w:val="20"/>
              </w:rPr>
              <w:t>-63</w:t>
            </w:r>
          </w:p>
        </w:tc>
        <w:tc>
          <w:tcPr>
            <w:tcW w:w="1277" w:type="dxa"/>
            <w:tcBorders>
              <w:top w:val="nil"/>
              <w:left w:val="nil"/>
              <w:bottom w:val="single" w:sz="4" w:space="0" w:color="auto"/>
              <w:right w:val="single" w:sz="4" w:space="0" w:color="auto"/>
            </w:tcBorders>
            <w:shd w:val="clear" w:color="auto" w:fill="auto"/>
            <w:noWrap/>
            <w:vAlign w:val="bottom"/>
          </w:tcPr>
          <w:p w14:paraId="08E7C7FD" w14:textId="77777777" w:rsidR="00B840BB" w:rsidRPr="00A966B6" w:rsidRDefault="00A33514" w:rsidP="001C2F78">
            <w:pPr>
              <w:spacing w:after="0" w:line="300" w:lineRule="exact"/>
              <w:jc w:val="center"/>
              <w:rPr>
                <w:rFonts w:cs="Arial"/>
                <w:sz w:val="20"/>
              </w:rPr>
            </w:pPr>
            <w:r w:rsidRPr="00A966B6">
              <w:rPr>
                <w:rFonts w:cs="Arial"/>
                <w:sz w:val="20"/>
              </w:rPr>
              <w:t>-25,10%</w:t>
            </w:r>
          </w:p>
        </w:tc>
      </w:tr>
      <w:tr w:rsidR="00A966B6" w:rsidRPr="00A966B6" w14:paraId="0DDCF8EB" w14:textId="77777777" w:rsidTr="00CB57EE">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97CA1" w14:textId="77777777" w:rsidR="00B840BB" w:rsidRPr="00A966B6" w:rsidRDefault="00B840BB" w:rsidP="001C2F78">
            <w:pPr>
              <w:spacing w:after="0" w:line="300" w:lineRule="exact"/>
              <w:rPr>
                <w:rFonts w:cs="Arial"/>
                <w:sz w:val="20"/>
              </w:rPr>
            </w:pPr>
            <w:r w:rsidRPr="00A966B6">
              <w:rPr>
                <w:rFonts w:cs="Arial"/>
                <w:sz w:val="20"/>
              </w:rPr>
              <w:t>právnická osoba</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020EE789" w14:textId="77777777" w:rsidR="00B840BB" w:rsidRPr="00A966B6" w:rsidRDefault="00A770D2" w:rsidP="001C2F78">
            <w:pPr>
              <w:spacing w:after="0" w:line="300" w:lineRule="exact"/>
              <w:jc w:val="center"/>
              <w:rPr>
                <w:rFonts w:cs="Arial"/>
                <w:b/>
                <w:bCs/>
                <w:sz w:val="20"/>
              </w:rPr>
            </w:pPr>
            <w:r w:rsidRPr="00A966B6">
              <w:rPr>
                <w:rFonts w:cs="Arial"/>
                <w:b/>
                <w:bCs/>
                <w:sz w:val="20"/>
              </w:rPr>
              <w:t>0</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0D52B58" w14:textId="77777777" w:rsidR="00B840BB" w:rsidRPr="00A966B6" w:rsidRDefault="00B840BB" w:rsidP="00A770D2">
            <w:pPr>
              <w:spacing w:after="0" w:line="300" w:lineRule="exact"/>
              <w:jc w:val="center"/>
              <w:rPr>
                <w:rFonts w:cs="Arial"/>
                <w:b/>
                <w:bCs/>
                <w:sz w:val="20"/>
              </w:rPr>
            </w:pPr>
            <w:r w:rsidRPr="00A966B6">
              <w:rPr>
                <w:rFonts w:cs="Arial"/>
                <w:b/>
                <w:bCs/>
                <w:sz w:val="20"/>
              </w:rPr>
              <w:t>0</w:t>
            </w:r>
            <w:r w:rsidR="00A33514" w:rsidRPr="00A966B6">
              <w:rPr>
                <w:rFonts w:cs="Arial"/>
                <w:b/>
                <w:bCs/>
                <w:sz w:val="20"/>
              </w:rPr>
              <w:t>,00</w:t>
            </w:r>
            <w:r w:rsidRPr="00A966B6">
              <w:rPr>
                <w:rFonts w:cs="Arial"/>
                <w:b/>
                <w:bCs/>
                <w:sz w:val="20"/>
              </w:rPr>
              <w:t>%</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5CEC87C4" w14:textId="77777777" w:rsidR="00B840BB" w:rsidRPr="00A966B6" w:rsidRDefault="00EE6162" w:rsidP="001C2F78">
            <w:pPr>
              <w:spacing w:after="0" w:line="300" w:lineRule="exact"/>
              <w:jc w:val="center"/>
              <w:rPr>
                <w:rFonts w:cs="Arial"/>
                <w:sz w:val="20"/>
              </w:rPr>
            </w:pPr>
            <w:r w:rsidRPr="00A966B6">
              <w:rPr>
                <w:rFonts w:cs="Arial"/>
                <w:sz w:val="20"/>
              </w:rPr>
              <w:t>-1</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79214EE7" w14:textId="77777777" w:rsidR="00B840BB" w:rsidRPr="00A966B6" w:rsidRDefault="00A33514" w:rsidP="001C2F78">
            <w:pPr>
              <w:spacing w:after="0" w:line="300" w:lineRule="exact"/>
              <w:jc w:val="center"/>
              <w:rPr>
                <w:rFonts w:cs="Arial"/>
                <w:sz w:val="20"/>
              </w:rPr>
            </w:pPr>
            <w:r w:rsidRPr="00A966B6">
              <w:rPr>
                <w:rFonts w:cs="Arial"/>
                <w:sz w:val="20"/>
              </w:rPr>
              <w:t>-100,00%</w:t>
            </w:r>
          </w:p>
        </w:tc>
      </w:tr>
      <w:tr w:rsidR="00A966B6" w:rsidRPr="00A966B6" w14:paraId="2909FC8C" w14:textId="77777777" w:rsidTr="00CB57EE">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612BB" w14:textId="77777777" w:rsidR="00A770D2" w:rsidRPr="00A966B6" w:rsidRDefault="00A770D2" w:rsidP="00A770D2">
            <w:pPr>
              <w:spacing w:after="0" w:line="300" w:lineRule="exact"/>
              <w:rPr>
                <w:rFonts w:cs="Arial"/>
                <w:sz w:val="20"/>
              </w:rPr>
            </w:pPr>
            <w:r w:rsidRPr="00A966B6">
              <w:rPr>
                <w:rFonts w:cs="Arial"/>
                <w:sz w:val="20"/>
              </w:rPr>
              <w:t>fyzická osoba</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28497517" w14:textId="77777777" w:rsidR="00A770D2" w:rsidRPr="00A966B6" w:rsidRDefault="00A770D2" w:rsidP="00A770D2">
            <w:pPr>
              <w:spacing w:after="0" w:line="300" w:lineRule="exact"/>
              <w:jc w:val="center"/>
              <w:rPr>
                <w:rFonts w:cs="Arial"/>
                <w:b/>
                <w:bCs/>
                <w:sz w:val="20"/>
              </w:rPr>
            </w:pPr>
            <w:r w:rsidRPr="00A966B6">
              <w:rPr>
                <w:rFonts w:cs="Arial"/>
                <w:b/>
                <w:bCs/>
                <w:sz w:val="20"/>
              </w:rPr>
              <w:t>188</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251DAF3A" w14:textId="77777777" w:rsidR="00A770D2" w:rsidRPr="00A966B6" w:rsidRDefault="00A770D2" w:rsidP="00A770D2">
            <w:pPr>
              <w:spacing w:after="0" w:line="300" w:lineRule="exact"/>
              <w:jc w:val="center"/>
              <w:rPr>
                <w:rFonts w:cs="Arial"/>
                <w:b/>
                <w:bCs/>
                <w:sz w:val="20"/>
              </w:rPr>
            </w:pPr>
            <w:r w:rsidRPr="00A966B6">
              <w:rPr>
                <w:rFonts w:cs="Arial"/>
                <w:b/>
                <w:bCs/>
                <w:sz w:val="20"/>
              </w:rPr>
              <w:t>100,00%</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7ED7FC90" w14:textId="77777777" w:rsidR="00A770D2" w:rsidRPr="00A966B6" w:rsidRDefault="00EE6162" w:rsidP="00A770D2">
            <w:pPr>
              <w:spacing w:after="0" w:line="300" w:lineRule="exact"/>
              <w:jc w:val="center"/>
              <w:rPr>
                <w:rFonts w:cs="Arial"/>
                <w:sz w:val="20"/>
              </w:rPr>
            </w:pPr>
            <w:r w:rsidRPr="00A966B6">
              <w:rPr>
                <w:rFonts w:cs="Arial"/>
                <w:sz w:val="20"/>
              </w:rPr>
              <w:t>-62</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3F011EDE" w14:textId="77777777" w:rsidR="00A770D2" w:rsidRPr="00A966B6" w:rsidRDefault="00A33514" w:rsidP="00A770D2">
            <w:pPr>
              <w:spacing w:after="0" w:line="300" w:lineRule="exact"/>
              <w:jc w:val="center"/>
              <w:rPr>
                <w:rFonts w:cs="Arial"/>
                <w:sz w:val="20"/>
              </w:rPr>
            </w:pPr>
            <w:r w:rsidRPr="00A966B6">
              <w:rPr>
                <w:rFonts w:cs="Arial"/>
                <w:sz w:val="20"/>
              </w:rPr>
              <w:t>-24,80%</w:t>
            </w:r>
          </w:p>
        </w:tc>
      </w:tr>
      <w:tr w:rsidR="00A966B6" w:rsidRPr="00A966B6" w14:paraId="4F18C85B" w14:textId="77777777" w:rsidTr="00916BE7">
        <w:trPr>
          <w:trHeight w:val="227"/>
          <w:jc w:val="center"/>
        </w:trPr>
        <w:tc>
          <w:tcPr>
            <w:tcW w:w="5822" w:type="dxa"/>
            <w:tcBorders>
              <w:top w:val="single" w:sz="4" w:space="0" w:color="auto"/>
              <w:left w:val="nil"/>
              <w:bottom w:val="single" w:sz="4" w:space="0" w:color="auto"/>
              <w:right w:val="nil"/>
            </w:tcBorders>
            <w:shd w:val="clear" w:color="auto" w:fill="auto"/>
            <w:noWrap/>
            <w:vAlign w:val="bottom"/>
            <w:hideMark/>
          </w:tcPr>
          <w:p w14:paraId="7F2A4EC9" w14:textId="77777777" w:rsidR="00B840BB" w:rsidRPr="00A966B6" w:rsidRDefault="00B840BB" w:rsidP="001C2F78">
            <w:pPr>
              <w:spacing w:after="0" w:line="300" w:lineRule="exact"/>
              <w:rPr>
                <w:rFonts w:cs="Arial"/>
                <w:sz w:val="20"/>
              </w:rPr>
            </w:pPr>
          </w:p>
        </w:tc>
        <w:tc>
          <w:tcPr>
            <w:tcW w:w="887" w:type="dxa"/>
            <w:tcBorders>
              <w:top w:val="single" w:sz="4" w:space="0" w:color="auto"/>
              <w:left w:val="nil"/>
              <w:bottom w:val="single" w:sz="4" w:space="0" w:color="auto"/>
              <w:right w:val="nil"/>
            </w:tcBorders>
            <w:shd w:val="clear" w:color="auto" w:fill="auto"/>
            <w:noWrap/>
            <w:vAlign w:val="bottom"/>
            <w:hideMark/>
          </w:tcPr>
          <w:p w14:paraId="151D839C" w14:textId="77777777" w:rsidR="00B840BB" w:rsidRPr="00A966B6" w:rsidRDefault="00B840BB" w:rsidP="001C2F78">
            <w:pPr>
              <w:spacing w:after="0" w:line="300" w:lineRule="exact"/>
              <w:jc w:val="center"/>
              <w:rPr>
                <w:rFonts w:cs="Arial"/>
                <w:b/>
                <w:bCs/>
                <w:sz w:val="20"/>
              </w:rPr>
            </w:pPr>
            <w:r w:rsidRPr="00A966B6">
              <w:rPr>
                <w:rFonts w:cs="Arial"/>
                <w:b/>
                <w:bCs/>
                <w:sz w:val="20"/>
              </w:rPr>
              <w:t> </w:t>
            </w:r>
          </w:p>
        </w:tc>
        <w:tc>
          <w:tcPr>
            <w:tcW w:w="1009" w:type="dxa"/>
            <w:tcBorders>
              <w:top w:val="single" w:sz="4" w:space="0" w:color="auto"/>
              <w:left w:val="nil"/>
              <w:bottom w:val="single" w:sz="4" w:space="0" w:color="auto"/>
              <w:right w:val="nil"/>
            </w:tcBorders>
            <w:shd w:val="clear" w:color="auto" w:fill="auto"/>
            <w:noWrap/>
            <w:vAlign w:val="bottom"/>
            <w:hideMark/>
          </w:tcPr>
          <w:p w14:paraId="284EC4A0" w14:textId="77777777" w:rsidR="00B840BB" w:rsidRPr="00A966B6" w:rsidRDefault="00B840BB" w:rsidP="001C2F78">
            <w:pPr>
              <w:spacing w:after="0" w:line="300" w:lineRule="exact"/>
              <w:jc w:val="center"/>
              <w:rPr>
                <w:rFonts w:cs="Arial"/>
                <w:b/>
                <w:bCs/>
                <w:sz w:val="20"/>
              </w:rPr>
            </w:pPr>
            <w:r w:rsidRPr="00A966B6">
              <w:rPr>
                <w:rFonts w:cs="Arial"/>
                <w:b/>
                <w:bCs/>
                <w:sz w:val="20"/>
              </w:rPr>
              <w:t> </w:t>
            </w:r>
          </w:p>
        </w:tc>
        <w:tc>
          <w:tcPr>
            <w:tcW w:w="674" w:type="dxa"/>
            <w:tcBorders>
              <w:top w:val="single" w:sz="4" w:space="0" w:color="auto"/>
              <w:left w:val="nil"/>
              <w:bottom w:val="single" w:sz="4" w:space="0" w:color="auto"/>
              <w:right w:val="nil"/>
            </w:tcBorders>
            <w:shd w:val="clear" w:color="auto" w:fill="auto"/>
            <w:noWrap/>
            <w:vAlign w:val="bottom"/>
          </w:tcPr>
          <w:p w14:paraId="70D9F681" w14:textId="77777777" w:rsidR="00B840BB" w:rsidRPr="00A966B6" w:rsidRDefault="00B840BB" w:rsidP="001C2F78">
            <w:pPr>
              <w:spacing w:after="0" w:line="300" w:lineRule="exact"/>
              <w:jc w:val="center"/>
              <w:rPr>
                <w:rFonts w:cs="Arial"/>
                <w:sz w:val="20"/>
              </w:rPr>
            </w:pPr>
          </w:p>
        </w:tc>
        <w:tc>
          <w:tcPr>
            <w:tcW w:w="1277" w:type="dxa"/>
            <w:tcBorders>
              <w:top w:val="single" w:sz="4" w:space="0" w:color="auto"/>
              <w:left w:val="nil"/>
              <w:bottom w:val="single" w:sz="4" w:space="0" w:color="auto"/>
              <w:right w:val="nil"/>
            </w:tcBorders>
            <w:shd w:val="clear" w:color="auto" w:fill="auto"/>
            <w:noWrap/>
            <w:vAlign w:val="bottom"/>
          </w:tcPr>
          <w:p w14:paraId="74D29E88" w14:textId="77777777" w:rsidR="00B840BB" w:rsidRPr="00A966B6" w:rsidRDefault="00B840BB" w:rsidP="001C2F78">
            <w:pPr>
              <w:spacing w:after="0" w:line="300" w:lineRule="exact"/>
              <w:jc w:val="center"/>
              <w:rPr>
                <w:rFonts w:cs="Arial"/>
                <w:sz w:val="20"/>
              </w:rPr>
            </w:pPr>
          </w:p>
        </w:tc>
      </w:tr>
      <w:tr w:rsidR="00A966B6" w:rsidRPr="00A966B6" w14:paraId="22AF0AEF"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04CB3C21" w14:textId="77777777" w:rsidR="00A770D2" w:rsidRPr="00A966B6" w:rsidRDefault="00A770D2" w:rsidP="00A770D2">
            <w:pPr>
              <w:spacing w:after="0" w:line="300" w:lineRule="exact"/>
              <w:rPr>
                <w:rFonts w:cs="Arial"/>
                <w:b/>
                <w:bCs/>
                <w:sz w:val="20"/>
              </w:rPr>
            </w:pPr>
            <w:r w:rsidRPr="00A966B6">
              <w:rPr>
                <w:rFonts w:cs="Arial"/>
                <w:b/>
                <w:bCs/>
                <w:sz w:val="20"/>
              </w:rPr>
              <w:t>Podle pohlaví</w:t>
            </w:r>
          </w:p>
        </w:tc>
        <w:tc>
          <w:tcPr>
            <w:tcW w:w="887" w:type="dxa"/>
            <w:tcBorders>
              <w:top w:val="nil"/>
              <w:left w:val="nil"/>
              <w:bottom w:val="single" w:sz="4" w:space="0" w:color="auto"/>
              <w:right w:val="single" w:sz="4" w:space="0" w:color="auto"/>
            </w:tcBorders>
            <w:shd w:val="clear" w:color="auto" w:fill="auto"/>
            <w:noWrap/>
            <w:vAlign w:val="bottom"/>
          </w:tcPr>
          <w:p w14:paraId="03CE7524" w14:textId="77777777" w:rsidR="00A770D2" w:rsidRPr="00A966B6" w:rsidRDefault="00A770D2" w:rsidP="00A770D2">
            <w:pPr>
              <w:spacing w:after="0" w:line="300" w:lineRule="exact"/>
              <w:jc w:val="center"/>
              <w:rPr>
                <w:rFonts w:cs="Arial"/>
                <w:b/>
                <w:bCs/>
                <w:sz w:val="20"/>
              </w:rPr>
            </w:pPr>
            <w:r w:rsidRPr="00A966B6">
              <w:rPr>
                <w:rFonts w:cs="Arial"/>
                <w:b/>
                <w:bCs/>
                <w:sz w:val="20"/>
              </w:rPr>
              <w:t>188</w:t>
            </w:r>
          </w:p>
        </w:tc>
        <w:tc>
          <w:tcPr>
            <w:tcW w:w="1009" w:type="dxa"/>
            <w:tcBorders>
              <w:top w:val="nil"/>
              <w:left w:val="nil"/>
              <w:bottom w:val="single" w:sz="4" w:space="0" w:color="auto"/>
              <w:right w:val="single" w:sz="4" w:space="0" w:color="auto"/>
            </w:tcBorders>
            <w:shd w:val="clear" w:color="auto" w:fill="auto"/>
            <w:noWrap/>
            <w:vAlign w:val="bottom"/>
          </w:tcPr>
          <w:p w14:paraId="22708D91" w14:textId="77777777" w:rsidR="00A770D2" w:rsidRPr="00A966B6" w:rsidRDefault="00A770D2" w:rsidP="00A770D2">
            <w:pPr>
              <w:spacing w:after="0" w:line="300" w:lineRule="exact"/>
              <w:jc w:val="center"/>
              <w:rPr>
                <w:rFonts w:cs="Arial"/>
                <w:b/>
                <w:bCs/>
                <w:sz w:val="20"/>
              </w:rPr>
            </w:pPr>
            <w:r w:rsidRPr="00A966B6">
              <w:rPr>
                <w:rFonts w:cs="Arial"/>
                <w:b/>
                <w:bCs/>
                <w:sz w:val="20"/>
              </w:rPr>
              <w:t>100,00%</w:t>
            </w:r>
          </w:p>
        </w:tc>
        <w:tc>
          <w:tcPr>
            <w:tcW w:w="674" w:type="dxa"/>
            <w:tcBorders>
              <w:top w:val="nil"/>
              <w:left w:val="nil"/>
              <w:bottom w:val="single" w:sz="4" w:space="0" w:color="auto"/>
              <w:right w:val="single" w:sz="4" w:space="0" w:color="auto"/>
            </w:tcBorders>
            <w:shd w:val="clear" w:color="auto" w:fill="auto"/>
            <w:noWrap/>
            <w:vAlign w:val="bottom"/>
          </w:tcPr>
          <w:p w14:paraId="52F3C2F3" w14:textId="77777777" w:rsidR="00A770D2" w:rsidRPr="00A966B6" w:rsidRDefault="00EE6162" w:rsidP="00A770D2">
            <w:pPr>
              <w:spacing w:after="0" w:line="300" w:lineRule="exact"/>
              <w:jc w:val="center"/>
              <w:rPr>
                <w:rFonts w:cs="Arial"/>
                <w:sz w:val="20"/>
              </w:rPr>
            </w:pPr>
            <w:r w:rsidRPr="00A966B6">
              <w:rPr>
                <w:rFonts w:cs="Arial"/>
                <w:sz w:val="20"/>
              </w:rPr>
              <w:t>-62</w:t>
            </w:r>
          </w:p>
        </w:tc>
        <w:tc>
          <w:tcPr>
            <w:tcW w:w="1277" w:type="dxa"/>
            <w:tcBorders>
              <w:top w:val="nil"/>
              <w:left w:val="nil"/>
              <w:bottom w:val="single" w:sz="4" w:space="0" w:color="auto"/>
              <w:right w:val="single" w:sz="4" w:space="0" w:color="auto"/>
            </w:tcBorders>
            <w:shd w:val="clear" w:color="auto" w:fill="auto"/>
            <w:noWrap/>
            <w:vAlign w:val="bottom"/>
          </w:tcPr>
          <w:p w14:paraId="6C8AC4DC" w14:textId="77777777" w:rsidR="00A770D2" w:rsidRPr="00A966B6" w:rsidRDefault="00A33514" w:rsidP="00A770D2">
            <w:pPr>
              <w:spacing w:after="0" w:line="300" w:lineRule="exact"/>
              <w:jc w:val="center"/>
              <w:rPr>
                <w:rFonts w:cs="Arial"/>
                <w:sz w:val="20"/>
              </w:rPr>
            </w:pPr>
            <w:r w:rsidRPr="00A966B6">
              <w:rPr>
                <w:rFonts w:cs="Arial"/>
                <w:sz w:val="20"/>
              </w:rPr>
              <w:t>-24,80%</w:t>
            </w:r>
          </w:p>
        </w:tc>
      </w:tr>
      <w:tr w:rsidR="00A966B6" w:rsidRPr="00A966B6" w14:paraId="527FD2F2"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30433297" w14:textId="6FB14970" w:rsidR="00B840BB" w:rsidRPr="00A966B6" w:rsidRDefault="00F2481F" w:rsidP="001C2F78">
            <w:pPr>
              <w:spacing w:after="0" w:line="300" w:lineRule="exact"/>
              <w:rPr>
                <w:rFonts w:cs="Arial"/>
                <w:sz w:val="20"/>
              </w:rPr>
            </w:pPr>
            <w:r w:rsidRPr="00A966B6">
              <w:rPr>
                <w:rFonts w:cs="Arial"/>
                <w:sz w:val="20"/>
              </w:rPr>
              <w:t>M</w:t>
            </w:r>
            <w:r w:rsidR="00B840BB" w:rsidRPr="00A966B6">
              <w:rPr>
                <w:rFonts w:cs="Arial"/>
                <w:sz w:val="20"/>
              </w:rPr>
              <w:t>už</w:t>
            </w:r>
          </w:p>
        </w:tc>
        <w:tc>
          <w:tcPr>
            <w:tcW w:w="887" w:type="dxa"/>
            <w:tcBorders>
              <w:top w:val="nil"/>
              <w:left w:val="nil"/>
              <w:bottom w:val="single" w:sz="4" w:space="0" w:color="auto"/>
              <w:right w:val="single" w:sz="4" w:space="0" w:color="auto"/>
            </w:tcBorders>
            <w:shd w:val="clear" w:color="auto" w:fill="auto"/>
            <w:noWrap/>
            <w:vAlign w:val="bottom"/>
          </w:tcPr>
          <w:p w14:paraId="1CF89470" w14:textId="77777777" w:rsidR="00B840BB" w:rsidRPr="00A966B6" w:rsidRDefault="00CC45E1" w:rsidP="001C2F78">
            <w:pPr>
              <w:spacing w:after="0" w:line="300" w:lineRule="exact"/>
              <w:jc w:val="center"/>
              <w:rPr>
                <w:rFonts w:cs="Arial"/>
                <w:b/>
                <w:bCs/>
                <w:sz w:val="20"/>
              </w:rPr>
            </w:pPr>
            <w:r w:rsidRPr="00A966B6">
              <w:rPr>
                <w:rFonts w:cs="Arial"/>
                <w:b/>
                <w:bCs/>
                <w:sz w:val="20"/>
              </w:rPr>
              <w:t>166</w:t>
            </w:r>
          </w:p>
        </w:tc>
        <w:tc>
          <w:tcPr>
            <w:tcW w:w="1009" w:type="dxa"/>
            <w:tcBorders>
              <w:top w:val="nil"/>
              <w:left w:val="nil"/>
              <w:bottom w:val="single" w:sz="4" w:space="0" w:color="auto"/>
              <w:right w:val="single" w:sz="4" w:space="0" w:color="auto"/>
            </w:tcBorders>
            <w:shd w:val="clear" w:color="auto" w:fill="auto"/>
            <w:noWrap/>
            <w:vAlign w:val="bottom"/>
          </w:tcPr>
          <w:p w14:paraId="07634E67" w14:textId="77777777" w:rsidR="00B840BB" w:rsidRPr="00A966B6" w:rsidRDefault="00276538" w:rsidP="001C2F78">
            <w:pPr>
              <w:spacing w:after="0" w:line="300" w:lineRule="exact"/>
              <w:jc w:val="center"/>
              <w:rPr>
                <w:rFonts w:cs="Arial"/>
                <w:b/>
                <w:bCs/>
                <w:sz w:val="20"/>
              </w:rPr>
            </w:pPr>
            <w:r w:rsidRPr="00A966B6">
              <w:rPr>
                <w:rFonts w:cs="Arial"/>
                <w:b/>
                <w:bCs/>
                <w:sz w:val="20"/>
              </w:rPr>
              <w:t>88,30%</w:t>
            </w:r>
          </w:p>
        </w:tc>
        <w:tc>
          <w:tcPr>
            <w:tcW w:w="674" w:type="dxa"/>
            <w:tcBorders>
              <w:top w:val="nil"/>
              <w:left w:val="nil"/>
              <w:bottom w:val="single" w:sz="4" w:space="0" w:color="auto"/>
              <w:right w:val="single" w:sz="4" w:space="0" w:color="auto"/>
            </w:tcBorders>
            <w:shd w:val="clear" w:color="auto" w:fill="auto"/>
            <w:noWrap/>
            <w:vAlign w:val="bottom"/>
          </w:tcPr>
          <w:p w14:paraId="07C3845D" w14:textId="77777777" w:rsidR="00B840BB" w:rsidRPr="00A966B6" w:rsidRDefault="00EE6162" w:rsidP="001C2F78">
            <w:pPr>
              <w:spacing w:after="0" w:line="300" w:lineRule="exact"/>
              <w:jc w:val="center"/>
              <w:rPr>
                <w:rFonts w:cs="Arial"/>
                <w:sz w:val="20"/>
              </w:rPr>
            </w:pPr>
            <w:r w:rsidRPr="00A966B6">
              <w:rPr>
                <w:rFonts w:cs="Arial"/>
                <w:sz w:val="20"/>
              </w:rPr>
              <w:t>-46</w:t>
            </w:r>
          </w:p>
        </w:tc>
        <w:tc>
          <w:tcPr>
            <w:tcW w:w="1277" w:type="dxa"/>
            <w:tcBorders>
              <w:top w:val="nil"/>
              <w:left w:val="nil"/>
              <w:bottom w:val="single" w:sz="4" w:space="0" w:color="auto"/>
              <w:right w:val="single" w:sz="4" w:space="0" w:color="auto"/>
            </w:tcBorders>
            <w:shd w:val="clear" w:color="auto" w:fill="auto"/>
            <w:noWrap/>
            <w:vAlign w:val="bottom"/>
          </w:tcPr>
          <w:p w14:paraId="72B98713" w14:textId="77777777" w:rsidR="00B840BB" w:rsidRPr="00A966B6" w:rsidRDefault="00A33514" w:rsidP="001C2F78">
            <w:pPr>
              <w:spacing w:after="0" w:line="300" w:lineRule="exact"/>
              <w:jc w:val="center"/>
              <w:rPr>
                <w:rFonts w:cs="Arial"/>
                <w:sz w:val="20"/>
              </w:rPr>
            </w:pPr>
            <w:r w:rsidRPr="00A966B6">
              <w:rPr>
                <w:rFonts w:cs="Arial"/>
                <w:sz w:val="20"/>
              </w:rPr>
              <w:t>-21,70%</w:t>
            </w:r>
          </w:p>
        </w:tc>
      </w:tr>
      <w:tr w:rsidR="00A966B6" w:rsidRPr="00A966B6" w14:paraId="20E9E154"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0CCC6F40" w14:textId="6C189D89" w:rsidR="00B840BB" w:rsidRPr="00A966B6" w:rsidRDefault="00F2481F" w:rsidP="001C2F78">
            <w:pPr>
              <w:spacing w:after="0" w:line="300" w:lineRule="exact"/>
              <w:rPr>
                <w:rFonts w:cs="Arial"/>
                <w:sz w:val="20"/>
              </w:rPr>
            </w:pPr>
            <w:r w:rsidRPr="00A966B6">
              <w:rPr>
                <w:rFonts w:cs="Arial"/>
                <w:sz w:val="20"/>
              </w:rPr>
              <w:t>Ž</w:t>
            </w:r>
            <w:r w:rsidR="00B840BB" w:rsidRPr="00A966B6">
              <w:rPr>
                <w:rFonts w:cs="Arial"/>
                <w:sz w:val="20"/>
              </w:rPr>
              <w:t>ena</w:t>
            </w:r>
          </w:p>
        </w:tc>
        <w:tc>
          <w:tcPr>
            <w:tcW w:w="887" w:type="dxa"/>
            <w:tcBorders>
              <w:top w:val="nil"/>
              <w:left w:val="nil"/>
              <w:bottom w:val="single" w:sz="4" w:space="0" w:color="auto"/>
              <w:right w:val="single" w:sz="4" w:space="0" w:color="auto"/>
            </w:tcBorders>
            <w:shd w:val="clear" w:color="auto" w:fill="auto"/>
            <w:noWrap/>
            <w:vAlign w:val="bottom"/>
          </w:tcPr>
          <w:p w14:paraId="19D49BDB" w14:textId="77777777" w:rsidR="00B840BB" w:rsidRPr="00A966B6" w:rsidRDefault="00CC45E1" w:rsidP="001C2F78">
            <w:pPr>
              <w:spacing w:after="0" w:line="300" w:lineRule="exact"/>
              <w:jc w:val="center"/>
              <w:rPr>
                <w:rFonts w:cs="Arial"/>
                <w:b/>
                <w:bCs/>
                <w:sz w:val="20"/>
              </w:rPr>
            </w:pPr>
            <w:r w:rsidRPr="00A966B6">
              <w:rPr>
                <w:rFonts w:cs="Arial"/>
                <w:b/>
                <w:bCs/>
                <w:sz w:val="20"/>
              </w:rPr>
              <w:t>22</w:t>
            </w:r>
          </w:p>
        </w:tc>
        <w:tc>
          <w:tcPr>
            <w:tcW w:w="1009" w:type="dxa"/>
            <w:tcBorders>
              <w:top w:val="nil"/>
              <w:left w:val="nil"/>
              <w:bottom w:val="single" w:sz="4" w:space="0" w:color="auto"/>
              <w:right w:val="single" w:sz="4" w:space="0" w:color="auto"/>
            </w:tcBorders>
            <w:shd w:val="clear" w:color="auto" w:fill="auto"/>
            <w:noWrap/>
            <w:vAlign w:val="bottom"/>
          </w:tcPr>
          <w:p w14:paraId="0C6BDD7B" w14:textId="77777777" w:rsidR="00B840BB" w:rsidRPr="00A966B6" w:rsidRDefault="00276538" w:rsidP="001C2F78">
            <w:pPr>
              <w:spacing w:after="0" w:line="300" w:lineRule="exact"/>
              <w:jc w:val="center"/>
              <w:rPr>
                <w:rFonts w:cs="Arial"/>
                <w:b/>
                <w:bCs/>
                <w:sz w:val="20"/>
              </w:rPr>
            </w:pPr>
            <w:r w:rsidRPr="00A966B6">
              <w:rPr>
                <w:rFonts w:cs="Arial"/>
                <w:b/>
                <w:bCs/>
                <w:sz w:val="20"/>
              </w:rPr>
              <w:t>11,70%</w:t>
            </w:r>
          </w:p>
        </w:tc>
        <w:tc>
          <w:tcPr>
            <w:tcW w:w="674" w:type="dxa"/>
            <w:tcBorders>
              <w:top w:val="nil"/>
              <w:left w:val="nil"/>
              <w:bottom w:val="single" w:sz="4" w:space="0" w:color="auto"/>
              <w:right w:val="single" w:sz="4" w:space="0" w:color="auto"/>
            </w:tcBorders>
            <w:shd w:val="clear" w:color="auto" w:fill="auto"/>
            <w:noWrap/>
            <w:vAlign w:val="bottom"/>
          </w:tcPr>
          <w:p w14:paraId="211C5EA6" w14:textId="77777777" w:rsidR="00B840BB" w:rsidRPr="00A966B6" w:rsidRDefault="00EE6162" w:rsidP="001C2F78">
            <w:pPr>
              <w:spacing w:after="0" w:line="300" w:lineRule="exact"/>
              <w:jc w:val="center"/>
              <w:rPr>
                <w:rFonts w:cs="Arial"/>
                <w:sz w:val="20"/>
              </w:rPr>
            </w:pPr>
            <w:r w:rsidRPr="00A966B6">
              <w:rPr>
                <w:rFonts w:cs="Arial"/>
                <w:sz w:val="20"/>
              </w:rPr>
              <w:t>-16</w:t>
            </w:r>
          </w:p>
        </w:tc>
        <w:tc>
          <w:tcPr>
            <w:tcW w:w="1277" w:type="dxa"/>
            <w:tcBorders>
              <w:top w:val="nil"/>
              <w:left w:val="nil"/>
              <w:bottom w:val="single" w:sz="4" w:space="0" w:color="auto"/>
              <w:right w:val="single" w:sz="4" w:space="0" w:color="auto"/>
            </w:tcBorders>
            <w:shd w:val="clear" w:color="auto" w:fill="auto"/>
            <w:noWrap/>
            <w:vAlign w:val="bottom"/>
          </w:tcPr>
          <w:p w14:paraId="5867CB2A" w14:textId="77777777" w:rsidR="00B840BB" w:rsidRPr="00A966B6" w:rsidRDefault="00A33514" w:rsidP="00A33514">
            <w:pPr>
              <w:spacing w:after="0" w:line="300" w:lineRule="exact"/>
              <w:jc w:val="center"/>
              <w:rPr>
                <w:rFonts w:cs="Arial"/>
                <w:sz w:val="20"/>
              </w:rPr>
            </w:pPr>
            <w:r w:rsidRPr="00A966B6">
              <w:rPr>
                <w:rFonts w:cs="Arial"/>
                <w:sz w:val="20"/>
              </w:rPr>
              <w:t>-42,11%</w:t>
            </w:r>
          </w:p>
        </w:tc>
      </w:tr>
      <w:tr w:rsidR="00A966B6" w:rsidRPr="00A966B6" w14:paraId="0EFBD8FA" w14:textId="77777777" w:rsidTr="00A770D2">
        <w:trPr>
          <w:trHeight w:val="300"/>
          <w:jc w:val="center"/>
        </w:trPr>
        <w:tc>
          <w:tcPr>
            <w:tcW w:w="5822" w:type="dxa"/>
            <w:tcBorders>
              <w:top w:val="nil"/>
              <w:left w:val="nil"/>
              <w:bottom w:val="single" w:sz="4" w:space="0" w:color="auto"/>
              <w:right w:val="nil"/>
            </w:tcBorders>
            <w:shd w:val="clear" w:color="auto" w:fill="auto"/>
            <w:noWrap/>
            <w:vAlign w:val="bottom"/>
            <w:hideMark/>
          </w:tcPr>
          <w:p w14:paraId="4776098A" w14:textId="77777777" w:rsidR="00B840BB" w:rsidRPr="00A966B6" w:rsidRDefault="00B840BB" w:rsidP="001C2F78">
            <w:pPr>
              <w:spacing w:after="0" w:line="300" w:lineRule="exact"/>
              <w:rPr>
                <w:rFonts w:cs="Arial"/>
                <w:sz w:val="20"/>
              </w:rPr>
            </w:pPr>
            <w:r w:rsidRPr="00A966B6">
              <w:rPr>
                <w:rFonts w:cs="Arial"/>
                <w:sz w:val="20"/>
              </w:rPr>
              <w:t> </w:t>
            </w:r>
          </w:p>
        </w:tc>
        <w:tc>
          <w:tcPr>
            <w:tcW w:w="887" w:type="dxa"/>
            <w:tcBorders>
              <w:top w:val="nil"/>
              <w:left w:val="nil"/>
              <w:bottom w:val="single" w:sz="4" w:space="0" w:color="auto"/>
              <w:right w:val="nil"/>
            </w:tcBorders>
            <w:shd w:val="clear" w:color="auto" w:fill="auto"/>
            <w:noWrap/>
            <w:vAlign w:val="bottom"/>
          </w:tcPr>
          <w:p w14:paraId="1658CB8D" w14:textId="77777777" w:rsidR="00B840BB" w:rsidRPr="00A966B6" w:rsidRDefault="00B840BB" w:rsidP="001C2F78">
            <w:pPr>
              <w:spacing w:after="0" w:line="300" w:lineRule="exact"/>
              <w:jc w:val="center"/>
              <w:rPr>
                <w:rFonts w:cs="Arial"/>
                <w:b/>
                <w:bCs/>
                <w:sz w:val="20"/>
              </w:rPr>
            </w:pPr>
          </w:p>
        </w:tc>
        <w:tc>
          <w:tcPr>
            <w:tcW w:w="1009" w:type="dxa"/>
            <w:tcBorders>
              <w:top w:val="nil"/>
              <w:left w:val="nil"/>
              <w:bottom w:val="single" w:sz="4" w:space="0" w:color="auto"/>
              <w:right w:val="nil"/>
            </w:tcBorders>
            <w:shd w:val="clear" w:color="auto" w:fill="auto"/>
            <w:noWrap/>
            <w:vAlign w:val="bottom"/>
          </w:tcPr>
          <w:p w14:paraId="6785A095" w14:textId="77777777" w:rsidR="00B840BB" w:rsidRPr="00A966B6" w:rsidRDefault="00B840BB" w:rsidP="001C2F78">
            <w:pPr>
              <w:spacing w:after="0" w:line="300" w:lineRule="exact"/>
              <w:jc w:val="center"/>
              <w:rPr>
                <w:rFonts w:cs="Arial"/>
                <w:b/>
                <w:bCs/>
                <w:sz w:val="20"/>
              </w:rPr>
            </w:pPr>
          </w:p>
        </w:tc>
        <w:tc>
          <w:tcPr>
            <w:tcW w:w="674" w:type="dxa"/>
            <w:tcBorders>
              <w:top w:val="nil"/>
              <w:left w:val="nil"/>
              <w:bottom w:val="single" w:sz="4" w:space="0" w:color="auto"/>
              <w:right w:val="nil"/>
            </w:tcBorders>
            <w:shd w:val="clear" w:color="auto" w:fill="auto"/>
            <w:noWrap/>
            <w:vAlign w:val="bottom"/>
          </w:tcPr>
          <w:p w14:paraId="0C6E7575" w14:textId="77777777" w:rsidR="00B840BB" w:rsidRPr="00A966B6" w:rsidRDefault="00B840BB" w:rsidP="001C2F78">
            <w:pPr>
              <w:spacing w:after="0" w:line="300" w:lineRule="exact"/>
              <w:jc w:val="center"/>
              <w:rPr>
                <w:rFonts w:cs="Arial"/>
                <w:sz w:val="20"/>
              </w:rPr>
            </w:pPr>
          </w:p>
        </w:tc>
        <w:tc>
          <w:tcPr>
            <w:tcW w:w="1277" w:type="dxa"/>
            <w:tcBorders>
              <w:top w:val="nil"/>
              <w:left w:val="nil"/>
              <w:bottom w:val="single" w:sz="4" w:space="0" w:color="auto"/>
              <w:right w:val="nil"/>
            </w:tcBorders>
            <w:shd w:val="clear" w:color="auto" w:fill="auto"/>
            <w:noWrap/>
            <w:vAlign w:val="bottom"/>
          </w:tcPr>
          <w:p w14:paraId="049CD09D" w14:textId="77777777" w:rsidR="00B840BB" w:rsidRPr="00A966B6" w:rsidRDefault="00B840BB" w:rsidP="001C2F78">
            <w:pPr>
              <w:spacing w:after="0" w:line="300" w:lineRule="exact"/>
              <w:jc w:val="center"/>
              <w:rPr>
                <w:rFonts w:cs="Arial"/>
                <w:sz w:val="20"/>
              </w:rPr>
            </w:pPr>
          </w:p>
        </w:tc>
      </w:tr>
      <w:tr w:rsidR="00A966B6" w:rsidRPr="00A966B6" w14:paraId="2240BD42"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6EBF9C4D" w14:textId="77777777" w:rsidR="00A770D2" w:rsidRPr="00A966B6" w:rsidRDefault="00A770D2" w:rsidP="00A770D2">
            <w:pPr>
              <w:spacing w:after="0" w:line="300" w:lineRule="exact"/>
              <w:rPr>
                <w:rFonts w:cs="Arial"/>
                <w:b/>
                <w:bCs/>
                <w:sz w:val="20"/>
              </w:rPr>
            </w:pPr>
            <w:r w:rsidRPr="00A966B6">
              <w:rPr>
                <w:rFonts w:cs="Arial"/>
                <w:b/>
                <w:bCs/>
                <w:sz w:val="20"/>
              </w:rPr>
              <w:t>Podle místa spáchání trestné činnosti</w:t>
            </w:r>
          </w:p>
        </w:tc>
        <w:tc>
          <w:tcPr>
            <w:tcW w:w="887" w:type="dxa"/>
            <w:tcBorders>
              <w:top w:val="nil"/>
              <w:left w:val="nil"/>
              <w:bottom w:val="single" w:sz="4" w:space="0" w:color="auto"/>
              <w:right w:val="single" w:sz="4" w:space="0" w:color="auto"/>
            </w:tcBorders>
            <w:shd w:val="clear" w:color="auto" w:fill="auto"/>
            <w:noWrap/>
            <w:vAlign w:val="bottom"/>
          </w:tcPr>
          <w:p w14:paraId="47DC19A1" w14:textId="77777777" w:rsidR="00A770D2" w:rsidRPr="00A966B6" w:rsidRDefault="00A770D2" w:rsidP="00A770D2">
            <w:pPr>
              <w:spacing w:after="0" w:line="300" w:lineRule="exact"/>
              <w:jc w:val="center"/>
              <w:rPr>
                <w:rFonts w:cs="Arial"/>
                <w:b/>
                <w:bCs/>
                <w:sz w:val="20"/>
              </w:rPr>
            </w:pPr>
            <w:r w:rsidRPr="00A966B6">
              <w:rPr>
                <w:rFonts w:cs="Arial"/>
                <w:b/>
                <w:bCs/>
                <w:sz w:val="20"/>
              </w:rPr>
              <w:t>188</w:t>
            </w:r>
          </w:p>
        </w:tc>
        <w:tc>
          <w:tcPr>
            <w:tcW w:w="1009" w:type="dxa"/>
            <w:tcBorders>
              <w:top w:val="nil"/>
              <w:left w:val="nil"/>
              <w:bottom w:val="single" w:sz="4" w:space="0" w:color="auto"/>
              <w:right w:val="single" w:sz="4" w:space="0" w:color="auto"/>
            </w:tcBorders>
            <w:shd w:val="clear" w:color="auto" w:fill="auto"/>
            <w:noWrap/>
            <w:vAlign w:val="bottom"/>
          </w:tcPr>
          <w:p w14:paraId="61CFFF71" w14:textId="77777777" w:rsidR="00A770D2" w:rsidRPr="00A966B6" w:rsidRDefault="00A770D2" w:rsidP="00A770D2">
            <w:pPr>
              <w:spacing w:after="0" w:line="300" w:lineRule="exact"/>
              <w:jc w:val="center"/>
              <w:rPr>
                <w:rFonts w:cs="Arial"/>
                <w:b/>
                <w:bCs/>
                <w:sz w:val="20"/>
              </w:rPr>
            </w:pPr>
            <w:r w:rsidRPr="00A966B6">
              <w:rPr>
                <w:rFonts w:cs="Arial"/>
                <w:b/>
                <w:bCs/>
                <w:sz w:val="20"/>
              </w:rPr>
              <w:t>100,00%</w:t>
            </w:r>
          </w:p>
        </w:tc>
        <w:tc>
          <w:tcPr>
            <w:tcW w:w="674" w:type="dxa"/>
            <w:tcBorders>
              <w:top w:val="nil"/>
              <w:left w:val="nil"/>
              <w:bottom w:val="single" w:sz="4" w:space="0" w:color="auto"/>
              <w:right w:val="single" w:sz="4" w:space="0" w:color="auto"/>
            </w:tcBorders>
            <w:shd w:val="clear" w:color="auto" w:fill="auto"/>
            <w:noWrap/>
            <w:vAlign w:val="bottom"/>
          </w:tcPr>
          <w:p w14:paraId="0387769C" w14:textId="77777777" w:rsidR="00A770D2" w:rsidRPr="00A966B6" w:rsidRDefault="00EE6162" w:rsidP="00A770D2">
            <w:pPr>
              <w:spacing w:after="0" w:line="300" w:lineRule="exact"/>
              <w:jc w:val="center"/>
              <w:rPr>
                <w:rFonts w:cs="Arial"/>
                <w:sz w:val="20"/>
              </w:rPr>
            </w:pPr>
            <w:r w:rsidRPr="00A966B6">
              <w:rPr>
                <w:rFonts w:cs="Arial"/>
                <w:sz w:val="20"/>
              </w:rPr>
              <w:t>-62</w:t>
            </w:r>
          </w:p>
        </w:tc>
        <w:tc>
          <w:tcPr>
            <w:tcW w:w="1277" w:type="dxa"/>
            <w:tcBorders>
              <w:top w:val="nil"/>
              <w:left w:val="nil"/>
              <w:bottom w:val="single" w:sz="4" w:space="0" w:color="auto"/>
              <w:right w:val="single" w:sz="4" w:space="0" w:color="auto"/>
            </w:tcBorders>
            <w:shd w:val="clear" w:color="auto" w:fill="auto"/>
            <w:noWrap/>
            <w:vAlign w:val="bottom"/>
          </w:tcPr>
          <w:p w14:paraId="7EDDE901" w14:textId="77777777" w:rsidR="00A770D2" w:rsidRPr="00A966B6" w:rsidRDefault="00362467" w:rsidP="00A770D2">
            <w:pPr>
              <w:spacing w:after="0" w:line="300" w:lineRule="exact"/>
              <w:jc w:val="center"/>
              <w:rPr>
                <w:rFonts w:cs="Arial"/>
                <w:sz w:val="20"/>
              </w:rPr>
            </w:pPr>
            <w:r w:rsidRPr="00A966B6">
              <w:rPr>
                <w:rFonts w:cs="Arial"/>
                <w:sz w:val="20"/>
              </w:rPr>
              <w:t>-24,80%</w:t>
            </w:r>
          </w:p>
        </w:tc>
      </w:tr>
      <w:tr w:rsidR="00A966B6" w:rsidRPr="00A966B6" w14:paraId="251E281F"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28A9440D" w14:textId="77777777" w:rsidR="00A770D2" w:rsidRPr="00A966B6" w:rsidRDefault="00A770D2" w:rsidP="00A770D2">
            <w:pPr>
              <w:spacing w:after="0" w:line="300" w:lineRule="exact"/>
              <w:rPr>
                <w:rFonts w:cs="Arial"/>
                <w:sz w:val="20"/>
              </w:rPr>
            </w:pPr>
            <w:r w:rsidRPr="00A966B6">
              <w:rPr>
                <w:rFonts w:cs="Arial"/>
                <w:sz w:val="20"/>
              </w:rPr>
              <w:t>A - hlavní město Praha</w:t>
            </w:r>
          </w:p>
        </w:tc>
        <w:tc>
          <w:tcPr>
            <w:tcW w:w="887" w:type="dxa"/>
            <w:tcBorders>
              <w:top w:val="nil"/>
              <w:left w:val="nil"/>
              <w:bottom w:val="single" w:sz="4" w:space="0" w:color="auto"/>
              <w:right w:val="single" w:sz="4" w:space="0" w:color="auto"/>
            </w:tcBorders>
            <w:shd w:val="clear" w:color="auto" w:fill="auto"/>
            <w:noWrap/>
            <w:vAlign w:val="bottom"/>
          </w:tcPr>
          <w:p w14:paraId="00A46D9C" w14:textId="77777777" w:rsidR="00A770D2" w:rsidRPr="00A966B6" w:rsidRDefault="00276538" w:rsidP="00A770D2">
            <w:pPr>
              <w:spacing w:after="0" w:line="300" w:lineRule="exact"/>
              <w:jc w:val="center"/>
              <w:rPr>
                <w:rFonts w:cs="Arial"/>
                <w:b/>
                <w:bCs/>
                <w:sz w:val="20"/>
              </w:rPr>
            </w:pPr>
            <w:r w:rsidRPr="00A966B6">
              <w:rPr>
                <w:rFonts w:cs="Arial"/>
                <w:b/>
                <w:bCs/>
                <w:sz w:val="20"/>
              </w:rPr>
              <w:t>41</w:t>
            </w:r>
          </w:p>
        </w:tc>
        <w:tc>
          <w:tcPr>
            <w:tcW w:w="1009" w:type="dxa"/>
            <w:tcBorders>
              <w:top w:val="nil"/>
              <w:left w:val="nil"/>
              <w:bottom w:val="single" w:sz="4" w:space="0" w:color="auto"/>
              <w:right w:val="single" w:sz="4" w:space="0" w:color="auto"/>
            </w:tcBorders>
            <w:shd w:val="clear" w:color="auto" w:fill="auto"/>
            <w:noWrap/>
            <w:vAlign w:val="bottom"/>
          </w:tcPr>
          <w:p w14:paraId="3F0DA6B4" w14:textId="77777777" w:rsidR="00A770D2" w:rsidRPr="00A966B6" w:rsidRDefault="00C83D51" w:rsidP="00A770D2">
            <w:pPr>
              <w:spacing w:after="0" w:line="300" w:lineRule="exact"/>
              <w:jc w:val="center"/>
              <w:rPr>
                <w:rFonts w:cs="Arial"/>
                <w:b/>
                <w:bCs/>
                <w:sz w:val="20"/>
              </w:rPr>
            </w:pPr>
            <w:r w:rsidRPr="00A966B6">
              <w:rPr>
                <w:rFonts w:cs="Arial"/>
                <w:b/>
                <w:bCs/>
                <w:sz w:val="20"/>
              </w:rPr>
              <w:t>21,81%</w:t>
            </w:r>
          </w:p>
        </w:tc>
        <w:tc>
          <w:tcPr>
            <w:tcW w:w="674" w:type="dxa"/>
            <w:tcBorders>
              <w:top w:val="nil"/>
              <w:left w:val="nil"/>
              <w:bottom w:val="single" w:sz="4" w:space="0" w:color="auto"/>
              <w:right w:val="single" w:sz="4" w:space="0" w:color="auto"/>
            </w:tcBorders>
            <w:shd w:val="clear" w:color="auto" w:fill="auto"/>
            <w:noWrap/>
            <w:vAlign w:val="bottom"/>
          </w:tcPr>
          <w:p w14:paraId="09C1279A" w14:textId="77777777" w:rsidR="00A770D2" w:rsidRPr="00A966B6" w:rsidRDefault="00EE6162" w:rsidP="00A770D2">
            <w:pPr>
              <w:spacing w:after="0" w:line="300" w:lineRule="exact"/>
              <w:jc w:val="center"/>
              <w:rPr>
                <w:rFonts w:cs="Arial"/>
                <w:sz w:val="20"/>
              </w:rPr>
            </w:pPr>
            <w:r w:rsidRPr="00A966B6">
              <w:rPr>
                <w:rFonts w:cs="Arial"/>
                <w:sz w:val="20"/>
              </w:rPr>
              <w:t>-33</w:t>
            </w:r>
          </w:p>
        </w:tc>
        <w:tc>
          <w:tcPr>
            <w:tcW w:w="1277" w:type="dxa"/>
            <w:tcBorders>
              <w:top w:val="nil"/>
              <w:left w:val="nil"/>
              <w:bottom w:val="single" w:sz="4" w:space="0" w:color="auto"/>
              <w:right w:val="single" w:sz="4" w:space="0" w:color="auto"/>
            </w:tcBorders>
            <w:shd w:val="clear" w:color="auto" w:fill="auto"/>
            <w:noWrap/>
            <w:vAlign w:val="bottom"/>
          </w:tcPr>
          <w:p w14:paraId="52190693" w14:textId="77777777" w:rsidR="00A770D2" w:rsidRPr="00A966B6" w:rsidRDefault="00362467" w:rsidP="00A770D2">
            <w:pPr>
              <w:spacing w:after="0" w:line="300" w:lineRule="exact"/>
              <w:jc w:val="center"/>
              <w:rPr>
                <w:rFonts w:cs="Arial"/>
                <w:sz w:val="20"/>
              </w:rPr>
            </w:pPr>
            <w:r w:rsidRPr="00A966B6">
              <w:rPr>
                <w:rFonts w:cs="Arial"/>
                <w:sz w:val="20"/>
              </w:rPr>
              <w:t>-44,60%</w:t>
            </w:r>
          </w:p>
        </w:tc>
      </w:tr>
      <w:tr w:rsidR="00A966B6" w:rsidRPr="00A966B6" w14:paraId="2A4418BB"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5E443" w14:textId="77777777" w:rsidR="00A770D2" w:rsidRPr="00A966B6" w:rsidRDefault="00A770D2" w:rsidP="00A770D2">
            <w:pPr>
              <w:spacing w:after="0" w:line="300" w:lineRule="exact"/>
              <w:rPr>
                <w:rFonts w:cs="Arial"/>
                <w:sz w:val="20"/>
              </w:rPr>
            </w:pPr>
            <w:r w:rsidRPr="00A966B6">
              <w:rPr>
                <w:rFonts w:cs="Arial"/>
                <w:sz w:val="20"/>
              </w:rPr>
              <w:t>B - Jihomoravský kraj</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44429E41" w14:textId="77777777" w:rsidR="00A770D2" w:rsidRPr="00A966B6" w:rsidRDefault="00276538" w:rsidP="00A770D2">
            <w:pPr>
              <w:spacing w:after="0" w:line="300" w:lineRule="exact"/>
              <w:jc w:val="center"/>
              <w:rPr>
                <w:rFonts w:cs="Arial"/>
                <w:b/>
                <w:bCs/>
                <w:sz w:val="20"/>
              </w:rPr>
            </w:pPr>
            <w:r w:rsidRPr="00A966B6">
              <w:rPr>
                <w:rFonts w:cs="Arial"/>
                <w:b/>
                <w:bCs/>
                <w:sz w:val="20"/>
              </w:rPr>
              <w:t>11</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4ABDFB21" w14:textId="77777777" w:rsidR="00A770D2" w:rsidRPr="00A966B6" w:rsidRDefault="00C83D51" w:rsidP="00A770D2">
            <w:pPr>
              <w:spacing w:after="0" w:line="300" w:lineRule="exact"/>
              <w:jc w:val="center"/>
              <w:rPr>
                <w:rFonts w:cs="Arial"/>
                <w:b/>
                <w:bCs/>
                <w:sz w:val="20"/>
              </w:rPr>
            </w:pPr>
            <w:r w:rsidRPr="00A966B6">
              <w:rPr>
                <w:rFonts w:cs="Arial"/>
                <w:b/>
                <w:bCs/>
                <w:sz w:val="20"/>
              </w:rPr>
              <w:t>5,85%</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755800D2" w14:textId="77777777" w:rsidR="00A770D2" w:rsidRPr="00A966B6" w:rsidRDefault="00EE6162" w:rsidP="00A770D2">
            <w:pPr>
              <w:spacing w:after="0" w:line="300" w:lineRule="exact"/>
              <w:jc w:val="center"/>
              <w:rPr>
                <w:rFonts w:cs="Arial"/>
                <w:sz w:val="20"/>
              </w:rPr>
            </w:pPr>
            <w:r w:rsidRPr="00A966B6">
              <w:rPr>
                <w:rFonts w:cs="Arial"/>
                <w:sz w:val="20"/>
              </w:rPr>
              <w:t>-8</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4C245E57" w14:textId="77777777" w:rsidR="00A770D2" w:rsidRPr="00A966B6" w:rsidRDefault="00362467" w:rsidP="00A770D2">
            <w:pPr>
              <w:spacing w:after="0" w:line="300" w:lineRule="exact"/>
              <w:jc w:val="center"/>
              <w:rPr>
                <w:rFonts w:cs="Arial"/>
                <w:sz w:val="20"/>
              </w:rPr>
            </w:pPr>
            <w:r w:rsidRPr="00A966B6">
              <w:rPr>
                <w:rFonts w:cs="Arial"/>
                <w:sz w:val="20"/>
              </w:rPr>
              <w:t>-42,11%</w:t>
            </w:r>
          </w:p>
        </w:tc>
      </w:tr>
      <w:tr w:rsidR="00A966B6" w:rsidRPr="00A966B6" w14:paraId="68E7B3E3"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591B5" w14:textId="77777777" w:rsidR="00A770D2" w:rsidRPr="00A966B6" w:rsidRDefault="00A770D2" w:rsidP="00A770D2">
            <w:pPr>
              <w:spacing w:after="0" w:line="300" w:lineRule="exact"/>
              <w:rPr>
                <w:rFonts w:cs="Arial"/>
                <w:sz w:val="20"/>
              </w:rPr>
            </w:pPr>
            <w:r w:rsidRPr="00A966B6">
              <w:rPr>
                <w:rFonts w:cs="Arial"/>
                <w:sz w:val="20"/>
              </w:rPr>
              <w:t>C - Jihočeský kraj</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66638313" w14:textId="77777777" w:rsidR="00A770D2" w:rsidRPr="00A966B6" w:rsidRDefault="00276538" w:rsidP="00A770D2">
            <w:pPr>
              <w:spacing w:after="0" w:line="300" w:lineRule="exact"/>
              <w:jc w:val="center"/>
              <w:rPr>
                <w:rFonts w:cs="Arial"/>
                <w:b/>
                <w:bCs/>
                <w:sz w:val="20"/>
              </w:rPr>
            </w:pPr>
            <w:r w:rsidRPr="00A966B6">
              <w:rPr>
                <w:rFonts w:cs="Arial"/>
                <w:b/>
                <w:bCs/>
                <w:sz w:val="20"/>
              </w:rPr>
              <w:t>4</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2A86432" w14:textId="77777777" w:rsidR="00A770D2" w:rsidRPr="00A966B6" w:rsidRDefault="00C83D51" w:rsidP="00A770D2">
            <w:pPr>
              <w:spacing w:after="0" w:line="300" w:lineRule="exact"/>
              <w:jc w:val="center"/>
              <w:rPr>
                <w:rFonts w:cs="Arial"/>
                <w:b/>
                <w:bCs/>
                <w:sz w:val="20"/>
              </w:rPr>
            </w:pPr>
            <w:r w:rsidRPr="00A966B6">
              <w:rPr>
                <w:rFonts w:cs="Arial"/>
                <w:b/>
                <w:bCs/>
                <w:sz w:val="20"/>
              </w:rPr>
              <w:t>2,13%</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6118820B" w14:textId="77777777" w:rsidR="00A770D2" w:rsidRPr="00A966B6" w:rsidRDefault="00EE6162" w:rsidP="00A770D2">
            <w:pPr>
              <w:spacing w:after="0" w:line="300" w:lineRule="exact"/>
              <w:jc w:val="center"/>
              <w:rPr>
                <w:rFonts w:cs="Arial"/>
                <w:sz w:val="20"/>
              </w:rPr>
            </w:pPr>
            <w:r w:rsidRPr="00A966B6">
              <w:rPr>
                <w:rFonts w:cs="Arial"/>
                <w:sz w:val="20"/>
              </w:rPr>
              <w:t>-4</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0441BC76" w14:textId="77777777" w:rsidR="00A770D2" w:rsidRPr="00A966B6" w:rsidRDefault="00362467" w:rsidP="00A770D2">
            <w:pPr>
              <w:spacing w:after="0" w:line="300" w:lineRule="exact"/>
              <w:jc w:val="center"/>
              <w:rPr>
                <w:rFonts w:cs="Arial"/>
                <w:sz w:val="20"/>
              </w:rPr>
            </w:pPr>
            <w:r w:rsidRPr="00A966B6">
              <w:rPr>
                <w:rFonts w:cs="Arial"/>
                <w:sz w:val="20"/>
              </w:rPr>
              <w:t>-50,00%</w:t>
            </w:r>
          </w:p>
        </w:tc>
      </w:tr>
      <w:tr w:rsidR="00A966B6" w:rsidRPr="00A966B6" w14:paraId="4C5EEE0D"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CEE13" w14:textId="77777777" w:rsidR="00A770D2" w:rsidRPr="00A966B6" w:rsidRDefault="00A770D2" w:rsidP="00A770D2">
            <w:pPr>
              <w:spacing w:after="0" w:line="300" w:lineRule="exact"/>
              <w:rPr>
                <w:rFonts w:cs="Arial"/>
                <w:sz w:val="20"/>
              </w:rPr>
            </w:pPr>
            <w:r w:rsidRPr="00A966B6">
              <w:rPr>
                <w:rFonts w:cs="Arial"/>
                <w:sz w:val="20"/>
              </w:rPr>
              <w:t>E - Pardubický kraj</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603E0" w14:textId="77777777" w:rsidR="00A770D2" w:rsidRPr="00A966B6" w:rsidRDefault="00276538" w:rsidP="00A770D2">
            <w:pPr>
              <w:spacing w:after="0" w:line="300" w:lineRule="exact"/>
              <w:jc w:val="center"/>
              <w:rPr>
                <w:rFonts w:cs="Arial"/>
                <w:b/>
                <w:bCs/>
                <w:sz w:val="20"/>
              </w:rPr>
            </w:pPr>
            <w:r w:rsidRPr="00A966B6">
              <w:rPr>
                <w:rFonts w:cs="Arial"/>
                <w:b/>
                <w:bCs/>
                <w:sz w:val="20"/>
              </w:rPr>
              <w:t>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F9253" w14:textId="77777777" w:rsidR="00A770D2" w:rsidRPr="00A966B6" w:rsidRDefault="00C83D51" w:rsidP="00A770D2">
            <w:pPr>
              <w:spacing w:after="0" w:line="300" w:lineRule="exact"/>
              <w:jc w:val="center"/>
              <w:rPr>
                <w:rFonts w:cs="Arial"/>
                <w:b/>
                <w:bCs/>
                <w:sz w:val="20"/>
              </w:rPr>
            </w:pPr>
            <w:r w:rsidRPr="00A966B6">
              <w:rPr>
                <w:rFonts w:cs="Arial"/>
                <w:b/>
                <w:bCs/>
                <w:sz w:val="20"/>
              </w:rPr>
              <w:t>0,53%</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D4E00" w14:textId="77777777" w:rsidR="00A770D2" w:rsidRPr="00A966B6" w:rsidRDefault="00EE6162" w:rsidP="00A770D2">
            <w:pPr>
              <w:spacing w:after="0" w:line="300" w:lineRule="exact"/>
              <w:jc w:val="center"/>
              <w:rPr>
                <w:rFonts w:cs="Arial"/>
                <w:sz w:val="20"/>
              </w:rPr>
            </w:pPr>
            <w:r w:rsidRPr="00A966B6">
              <w:rPr>
                <w:rFonts w:cs="Arial"/>
                <w:sz w:val="20"/>
              </w:rPr>
              <w:t>-6</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6134A" w14:textId="77777777" w:rsidR="00A770D2" w:rsidRPr="00A966B6" w:rsidRDefault="00BB150E" w:rsidP="00A770D2">
            <w:pPr>
              <w:spacing w:after="0" w:line="300" w:lineRule="exact"/>
              <w:jc w:val="center"/>
              <w:rPr>
                <w:rFonts w:cs="Arial"/>
                <w:sz w:val="20"/>
              </w:rPr>
            </w:pPr>
            <w:r w:rsidRPr="00A966B6">
              <w:rPr>
                <w:rFonts w:cs="Arial"/>
                <w:sz w:val="20"/>
              </w:rPr>
              <w:t>-85,71%</w:t>
            </w:r>
          </w:p>
        </w:tc>
      </w:tr>
      <w:tr w:rsidR="00A966B6" w:rsidRPr="00A966B6" w14:paraId="78ED678A"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F3F56" w14:textId="77777777" w:rsidR="00A770D2" w:rsidRPr="00A966B6" w:rsidRDefault="00A770D2" w:rsidP="00A770D2">
            <w:pPr>
              <w:spacing w:after="0" w:line="300" w:lineRule="exact"/>
              <w:rPr>
                <w:rFonts w:cs="Arial"/>
                <w:sz w:val="20"/>
              </w:rPr>
            </w:pPr>
            <w:r w:rsidRPr="00A966B6">
              <w:rPr>
                <w:rFonts w:cs="Arial"/>
                <w:sz w:val="20"/>
              </w:rPr>
              <w:t>H - Královéhradecký kraj</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3F8DC58C" w14:textId="77777777" w:rsidR="00A770D2" w:rsidRPr="00A966B6" w:rsidRDefault="000449C1" w:rsidP="00A770D2">
            <w:pPr>
              <w:spacing w:after="0" w:line="300" w:lineRule="exact"/>
              <w:jc w:val="center"/>
              <w:rPr>
                <w:rFonts w:cs="Arial"/>
                <w:b/>
                <w:bCs/>
                <w:sz w:val="20"/>
              </w:rPr>
            </w:pPr>
            <w:r w:rsidRPr="00A966B6">
              <w:rPr>
                <w:rFonts w:cs="Arial"/>
                <w:b/>
                <w:bCs/>
                <w:sz w:val="20"/>
              </w:rPr>
              <w:t>5</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CE056B7" w14:textId="77777777" w:rsidR="00A770D2" w:rsidRPr="00A966B6" w:rsidRDefault="00C83D51" w:rsidP="00A770D2">
            <w:pPr>
              <w:spacing w:after="0" w:line="300" w:lineRule="exact"/>
              <w:jc w:val="center"/>
              <w:rPr>
                <w:rFonts w:cs="Arial"/>
                <w:b/>
                <w:bCs/>
                <w:sz w:val="20"/>
              </w:rPr>
            </w:pPr>
            <w:r w:rsidRPr="00A966B6">
              <w:rPr>
                <w:rFonts w:cs="Arial"/>
                <w:b/>
                <w:bCs/>
                <w:sz w:val="20"/>
              </w:rPr>
              <w:t>2,66%</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056B6F91" w14:textId="77777777" w:rsidR="00A770D2" w:rsidRPr="00A966B6" w:rsidRDefault="00EE6162" w:rsidP="00A770D2">
            <w:pPr>
              <w:spacing w:after="0" w:line="300" w:lineRule="exact"/>
              <w:jc w:val="center"/>
              <w:rPr>
                <w:rFonts w:cs="Arial"/>
                <w:sz w:val="20"/>
              </w:rPr>
            </w:pPr>
            <w:r w:rsidRPr="00A966B6">
              <w:rPr>
                <w:rFonts w:cs="Arial"/>
                <w:sz w:val="20"/>
              </w:rPr>
              <w:t>-3</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05A3D34A" w14:textId="77777777" w:rsidR="00A770D2" w:rsidRPr="00A966B6" w:rsidRDefault="00BB150E" w:rsidP="00A770D2">
            <w:pPr>
              <w:spacing w:after="0" w:line="300" w:lineRule="exact"/>
              <w:jc w:val="center"/>
              <w:rPr>
                <w:rFonts w:cs="Arial"/>
                <w:sz w:val="20"/>
              </w:rPr>
            </w:pPr>
            <w:r w:rsidRPr="00A966B6">
              <w:rPr>
                <w:rFonts w:cs="Arial"/>
                <w:sz w:val="20"/>
              </w:rPr>
              <w:t>-37,50%</w:t>
            </w:r>
          </w:p>
        </w:tc>
      </w:tr>
      <w:tr w:rsidR="00A966B6" w:rsidRPr="00A966B6" w14:paraId="26EC5D5E"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A1909" w14:textId="77777777" w:rsidR="00A770D2" w:rsidRPr="00A966B6" w:rsidRDefault="00A770D2" w:rsidP="00A770D2">
            <w:pPr>
              <w:spacing w:after="0" w:line="300" w:lineRule="exact"/>
              <w:rPr>
                <w:rFonts w:cs="Arial"/>
                <w:sz w:val="20"/>
              </w:rPr>
            </w:pPr>
            <w:r w:rsidRPr="00A966B6">
              <w:rPr>
                <w:rFonts w:cs="Arial"/>
                <w:sz w:val="20"/>
              </w:rPr>
              <w:t>J - Kraj Vysočina</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068F4A83" w14:textId="77777777" w:rsidR="00A770D2" w:rsidRPr="00A966B6" w:rsidRDefault="000449C1" w:rsidP="00A770D2">
            <w:pPr>
              <w:spacing w:after="0" w:line="300" w:lineRule="exact"/>
              <w:jc w:val="center"/>
              <w:rPr>
                <w:rFonts w:cs="Arial"/>
                <w:b/>
                <w:bCs/>
                <w:sz w:val="20"/>
              </w:rPr>
            </w:pPr>
            <w:r w:rsidRPr="00A966B6">
              <w:rPr>
                <w:rFonts w:cs="Arial"/>
                <w:b/>
                <w:bCs/>
                <w:sz w:val="20"/>
              </w:rPr>
              <w:t>1</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422A27B5" w14:textId="77777777" w:rsidR="00A770D2" w:rsidRPr="00A966B6" w:rsidRDefault="00C83D51" w:rsidP="00A770D2">
            <w:pPr>
              <w:spacing w:after="0" w:line="300" w:lineRule="exact"/>
              <w:jc w:val="center"/>
              <w:rPr>
                <w:rFonts w:cs="Arial"/>
                <w:b/>
                <w:bCs/>
                <w:sz w:val="20"/>
              </w:rPr>
            </w:pPr>
            <w:r w:rsidRPr="00A966B6">
              <w:rPr>
                <w:rFonts w:cs="Arial"/>
                <w:b/>
                <w:bCs/>
                <w:sz w:val="20"/>
              </w:rPr>
              <w:t>0,53%</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6642135B" w14:textId="77777777" w:rsidR="00A770D2" w:rsidRPr="00A966B6" w:rsidRDefault="00EE6162" w:rsidP="00A770D2">
            <w:pPr>
              <w:spacing w:after="0" w:line="300" w:lineRule="exact"/>
              <w:jc w:val="center"/>
              <w:rPr>
                <w:rFonts w:cs="Arial"/>
                <w:sz w:val="20"/>
              </w:rPr>
            </w:pPr>
            <w:r w:rsidRPr="00A966B6">
              <w:rPr>
                <w:rFonts w:cs="Arial"/>
                <w:sz w:val="20"/>
              </w:rPr>
              <w:t>-4</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0FED8AA4" w14:textId="77777777" w:rsidR="00A770D2" w:rsidRPr="00A966B6" w:rsidRDefault="00BB150E" w:rsidP="00A770D2">
            <w:pPr>
              <w:spacing w:after="0" w:line="300" w:lineRule="exact"/>
              <w:jc w:val="center"/>
              <w:rPr>
                <w:rFonts w:cs="Arial"/>
                <w:sz w:val="20"/>
              </w:rPr>
            </w:pPr>
            <w:r w:rsidRPr="00A966B6">
              <w:rPr>
                <w:rFonts w:cs="Arial"/>
                <w:sz w:val="20"/>
              </w:rPr>
              <w:t>-80,00%</w:t>
            </w:r>
          </w:p>
        </w:tc>
      </w:tr>
      <w:tr w:rsidR="00A966B6" w:rsidRPr="00A966B6" w14:paraId="49E592AB"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54C6A3EF" w14:textId="77777777" w:rsidR="00A770D2" w:rsidRPr="00A966B6" w:rsidRDefault="00A770D2" w:rsidP="00A770D2">
            <w:pPr>
              <w:spacing w:after="0" w:line="300" w:lineRule="exact"/>
              <w:rPr>
                <w:rFonts w:cs="Arial"/>
                <w:sz w:val="20"/>
              </w:rPr>
            </w:pPr>
            <w:r w:rsidRPr="00A966B6">
              <w:rPr>
                <w:rFonts w:cs="Arial"/>
                <w:sz w:val="20"/>
              </w:rPr>
              <w:t>K - Karlovarský kraj</w:t>
            </w:r>
          </w:p>
        </w:tc>
        <w:tc>
          <w:tcPr>
            <w:tcW w:w="887" w:type="dxa"/>
            <w:tcBorders>
              <w:top w:val="nil"/>
              <w:left w:val="nil"/>
              <w:bottom w:val="single" w:sz="4" w:space="0" w:color="auto"/>
              <w:right w:val="single" w:sz="4" w:space="0" w:color="auto"/>
            </w:tcBorders>
            <w:shd w:val="clear" w:color="auto" w:fill="auto"/>
            <w:noWrap/>
            <w:vAlign w:val="bottom"/>
          </w:tcPr>
          <w:p w14:paraId="638BD7EC" w14:textId="77777777" w:rsidR="00A770D2" w:rsidRPr="00A966B6" w:rsidRDefault="000449C1" w:rsidP="00A770D2">
            <w:pPr>
              <w:spacing w:after="0" w:line="300" w:lineRule="exact"/>
              <w:jc w:val="center"/>
              <w:rPr>
                <w:rFonts w:cs="Arial"/>
                <w:b/>
                <w:bCs/>
                <w:sz w:val="20"/>
              </w:rPr>
            </w:pPr>
            <w:r w:rsidRPr="00A966B6">
              <w:rPr>
                <w:rFonts w:cs="Arial"/>
                <w:b/>
                <w:bCs/>
                <w:sz w:val="20"/>
              </w:rPr>
              <w:t>11</w:t>
            </w:r>
          </w:p>
        </w:tc>
        <w:tc>
          <w:tcPr>
            <w:tcW w:w="1009" w:type="dxa"/>
            <w:tcBorders>
              <w:top w:val="nil"/>
              <w:left w:val="nil"/>
              <w:bottom w:val="single" w:sz="4" w:space="0" w:color="auto"/>
              <w:right w:val="single" w:sz="4" w:space="0" w:color="auto"/>
            </w:tcBorders>
            <w:shd w:val="clear" w:color="auto" w:fill="auto"/>
            <w:noWrap/>
            <w:vAlign w:val="bottom"/>
          </w:tcPr>
          <w:p w14:paraId="06E7593F" w14:textId="77777777" w:rsidR="00A770D2" w:rsidRPr="00A966B6" w:rsidRDefault="00C83D51" w:rsidP="00A770D2">
            <w:pPr>
              <w:spacing w:after="0" w:line="300" w:lineRule="exact"/>
              <w:jc w:val="center"/>
              <w:rPr>
                <w:rFonts w:cs="Arial"/>
                <w:b/>
                <w:bCs/>
                <w:sz w:val="20"/>
              </w:rPr>
            </w:pPr>
            <w:r w:rsidRPr="00A966B6">
              <w:rPr>
                <w:rFonts w:cs="Arial"/>
                <w:b/>
                <w:bCs/>
                <w:sz w:val="20"/>
              </w:rPr>
              <w:t>5,85%</w:t>
            </w:r>
          </w:p>
        </w:tc>
        <w:tc>
          <w:tcPr>
            <w:tcW w:w="674" w:type="dxa"/>
            <w:tcBorders>
              <w:top w:val="nil"/>
              <w:left w:val="nil"/>
              <w:bottom w:val="single" w:sz="4" w:space="0" w:color="auto"/>
              <w:right w:val="single" w:sz="4" w:space="0" w:color="auto"/>
            </w:tcBorders>
            <w:shd w:val="clear" w:color="auto" w:fill="auto"/>
            <w:noWrap/>
            <w:vAlign w:val="bottom"/>
          </w:tcPr>
          <w:p w14:paraId="74577790" w14:textId="77777777" w:rsidR="00A770D2" w:rsidRPr="00A966B6" w:rsidRDefault="00EE6162" w:rsidP="00A770D2">
            <w:pPr>
              <w:spacing w:after="0" w:line="300" w:lineRule="exact"/>
              <w:jc w:val="center"/>
              <w:rPr>
                <w:rFonts w:cs="Arial"/>
                <w:sz w:val="20"/>
              </w:rPr>
            </w:pPr>
            <w:r w:rsidRPr="00A966B6">
              <w:rPr>
                <w:rFonts w:cs="Arial"/>
                <w:sz w:val="20"/>
              </w:rPr>
              <w:t>0</w:t>
            </w:r>
          </w:p>
        </w:tc>
        <w:tc>
          <w:tcPr>
            <w:tcW w:w="1277" w:type="dxa"/>
            <w:tcBorders>
              <w:top w:val="nil"/>
              <w:left w:val="nil"/>
              <w:bottom w:val="single" w:sz="4" w:space="0" w:color="auto"/>
              <w:right w:val="single" w:sz="4" w:space="0" w:color="auto"/>
            </w:tcBorders>
            <w:shd w:val="clear" w:color="auto" w:fill="auto"/>
            <w:noWrap/>
            <w:vAlign w:val="bottom"/>
          </w:tcPr>
          <w:p w14:paraId="5A92B98F" w14:textId="77777777" w:rsidR="00A770D2" w:rsidRPr="00A966B6" w:rsidRDefault="008B58C4" w:rsidP="00A770D2">
            <w:pPr>
              <w:spacing w:after="0" w:line="300" w:lineRule="exact"/>
              <w:jc w:val="center"/>
              <w:rPr>
                <w:rFonts w:cs="Arial"/>
                <w:sz w:val="20"/>
              </w:rPr>
            </w:pPr>
            <w:r w:rsidRPr="00A966B6">
              <w:rPr>
                <w:rFonts w:cs="Arial"/>
                <w:sz w:val="20"/>
              </w:rPr>
              <w:t>0,00%</w:t>
            </w:r>
          </w:p>
        </w:tc>
      </w:tr>
      <w:tr w:rsidR="00A966B6" w:rsidRPr="00A966B6" w14:paraId="093D8514"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07387D4C" w14:textId="77777777" w:rsidR="00A770D2" w:rsidRPr="00A966B6" w:rsidRDefault="00A770D2" w:rsidP="00A770D2">
            <w:pPr>
              <w:spacing w:after="0" w:line="300" w:lineRule="exact"/>
              <w:rPr>
                <w:rFonts w:cs="Arial"/>
                <w:sz w:val="20"/>
              </w:rPr>
            </w:pPr>
            <w:r w:rsidRPr="00A966B6">
              <w:rPr>
                <w:rFonts w:cs="Arial"/>
                <w:sz w:val="20"/>
              </w:rPr>
              <w:t>L - Liberecký kraj</w:t>
            </w:r>
          </w:p>
        </w:tc>
        <w:tc>
          <w:tcPr>
            <w:tcW w:w="887" w:type="dxa"/>
            <w:tcBorders>
              <w:top w:val="nil"/>
              <w:left w:val="nil"/>
              <w:bottom w:val="single" w:sz="4" w:space="0" w:color="auto"/>
              <w:right w:val="single" w:sz="4" w:space="0" w:color="auto"/>
            </w:tcBorders>
            <w:shd w:val="clear" w:color="auto" w:fill="auto"/>
            <w:noWrap/>
            <w:vAlign w:val="bottom"/>
          </w:tcPr>
          <w:p w14:paraId="1D2B718D" w14:textId="77777777" w:rsidR="00A770D2" w:rsidRPr="00A966B6" w:rsidRDefault="000449C1" w:rsidP="00A770D2">
            <w:pPr>
              <w:spacing w:after="0" w:line="300" w:lineRule="exact"/>
              <w:jc w:val="center"/>
              <w:rPr>
                <w:rFonts w:cs="Arial"/>
                <w:b/>
                <w:bCs/>
                <w:sz w:val="20"/>
              </w:rPr>
            </w:pPr>
            <w:r w:rsidRPr="00A966B6">
              <w:rPr>
                <w:rFonts w:cs="Arial"/>
                <w:b/>
                <w:bCs/>
                <w:sz w:val="20"/>
              </w:rPr>
              <w:t>5</w:t>
            </w:r>
          </w:p>
        </w:tc>
        <w:tc>
          <w:tcPr>
            <w:tcW w:w="1009" w:type="dxa"/>
            <w:tcBorders>
              <w:top w:val="nil"/>
              <w:left w:val="nil"/>
              <w:bottom w:val="single" w:sz="4" w:space="0" w:color="auto"/>
              <w:right w:val="single" w:sz="4" w:space="0" w:color="auto"/>
            </w:tcBorders>
            <w:shd w:val="clear" w:color="auto" w:fill="auto"/>
            <w:noWrap/>
            <w:vAlign w:val="bottom"/>
          </w:tcPr>
          <w:p w14:paraId="26AFF6C1" w14:textId="77777777" w:rsidR="00A770D2" w:rsidRPr="00A966B6" w:rsidRDefault="00C83D51" w:rsidP="00A770D2">
            <w:pPr>
              <w:spacing w:after="0" w:line="300" w:lineRule="exact"/>
              <w:jc w:val="center"/>
              <w:rPr>
                <w:rFonts w:cs="Arial"/>
                <w:b/>
                <w:bCs/>
                <w:sz w:val="20"/>
              </w:rPr>
            </w:pPr>
            <w:r w:rsidRPr="00A966B6">
              <w:rPr>
                <w:rFonts w:cs="Arial"/>
                <w:b/>
                <w:bCs/>
                <w:sz w:val="20"/>
              </w:rPr>
              <w:t>2,66%</w:t>
            </w:r>
          </w:p>
        </w:tc>
        <w:tc>
          <w:tcPr>
            <w:tcW w:w="674" w:type="dxa"/>
            <w:tcBorders>
              <w:top w:val="nil"/>
              <w:left w:val="nil"/>
              <w:bottom w:val="single" w:sz="4" w:space="0" w:color="auto"/>
              <w:right w:val="single" w:sz="4" w:space="0" w:color="auto"/>
            </w:tcBorders>
            <w:shd w:val="clear" w:color="auto" w:fill="auto"/>
            <w:noWrap/>
            <w:vAlign w:val="bottom"/>
          </w:tcPr>
          <w:p w14:paraId="479A1D5C" w14:textId="77777777" w:rsidR="00A770D2" w:rsidRPr="00A966B6" w:rsidRDefault="00EE6162" w:rsidP="00A770D2">
            <w:pPr>
              <w:spacing w:after="0" w:line="300" w:lineRule="exact"/>
              <w:jc w:val="center"/>
              <w:rPr>
                <w:rFonts w:cs="Arial"/>
                <w:sz w:val="20"/>
              </w:rPr>
            </w:pPr>
            <w:r w:rsidRPr="00A966B6">
              <w:rPr>
                <w:rFonts w:cs="Arial"/>
                <w:sz w:val="20"/>
              </w:rPr>
              <w:t>-13</w:t>
            </w:r>
          </w:p>
        </w:tc>
        <w:tc>
          <w:tcPr>
            <w:tcW w:w="1277" w:type="dxa"/>
            <w:tcBorders>
              <w:top w:val="nil"/>
              <w:left w:val="nil"/>
              <w:bottom w:val="single" w:sz="4" w:space="0" w:color="auto"/>
              <w:right w:val="single" w:sz="4" w:space="0" w:color="auto"/>
            </w:tcBorders>
            <w:shd w:val="clear" w:color="auto" w:fill="auto"/>
            <w:noWrap/>
            <w:vAlign w:val="bottom"/>
          </w:tcPr>
          <w:p w14:paraId="7E6524B1" w14:textId="77777777" w:rsidR="00A770D2" w:rsidRPr="00A966B6" w:rsidRDefault="008B58C4" w:rsidP="00A770D2">
            <w:pPr>
              <w:spacing w:after="0" w:line="300" w:lineRule="exact"/>
              <w:jc w:val="center"/>
              <w:rPr>
                <w:rFonts w:cs="Arial"/>
                <w:sz w:val="20"/>
              </w:rPr>
            </w:pPr>
            <w:r w:rsidRPr="00A966B6">
              <w:rPr>
                <w:rFonts w:cs="Arial"/>
                <w:sz w:val="20"/>
              </w:rPr>
              <w:t>-72,22%</w:t>
            </w:r>
          </w:p>
        </w:tc>
      </w:tr>
      <w:tr w:rsidR="00A966B6" w:rsidRPr="00A966B6" w14:paraId="789C8592"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6FD9A" w14:textId="77777777" w:rsidR="00A770D2" w:rsidRPr="00A966B6" w:rsidRDefault="00A770D2" w:rsidP="00A770D2">
            <w:pPr>
              <w:spacing w:after="0" w:line="300" w:lineRule="exact"/>
              <w:rPr>
                <w:rFonts w:cs="Arial"/>
                <w:sz w:val="20"/>
              </w:rPr>
            </w:pPr>
            <w:r w:rsidRPr="00A966B6">
              <w:rPr>
                <w:rFonts w:cs="Arial"/>
                <w:sz w:val="20"/>
              </w:rPr>
              <w:t>M - Olomoucký kraj</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2ADBAC4D" w14:textId="77777777" w:rsidR="00A770D2" w:rsidRPr="00A966B6" w:rsidRDefault="000449C1" w:rsidP="00A770D2">
            <w:pPr>
              <w:spacing w:after="0" w:line="300" w:lineRule="exact"/>
              <w:jc w:val="center"/>
              <w:rPr>
                <w:rFonts w:cs="Arial"/>
                <w:b/>
                <w:bCs/>
                <w:sz w:val="20"/>
              </w:rPr>
            </w:pPr>
            <w:r w:rsidRPr="00A966B6">
              <w:rPr>
                <w:rFonts w:cs="Arial"/>
                <w:b/>
                <w:bCs/>
                <w:sz w:val="20"/>
              </w:rPr>
              <w:t>11</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486DD805" w14:textId="77777777" w:rsidR="00A770D2" w:rsidRPr="00A966B6" w:rsidRDefault="00C83D51" w:rsidP="00A770D2">
            <w:pPr>
              <w:spacing w:after="0" w:line="300" w:lineRule="exact"/>
              <w:jc w:val="center"/>
              <w:rPr>
                <w:rFonts w:cs="Arial"/>
                <w:b/>
                <w:bCs/>
                <w:sz w:val="20"/>
              </w:rPr>
            </w:pPr>
            <w:r w:rsidRPr="00A966B6">
              <w:rPr>
                <w:rFonts w:cs="Arial"/>
                <w:b/>
                <w:bCs/>
                <w:sz w:val="20"/>
              </w:rPr>
              <w:t>5,85%</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39050DAF" w14:textId="77777777" w:rsidR="00A770D2" w:rsidRPr="00A966B6" w:rsidRDefault="00EE6162" w:rsidP="00A770D2">
            <w:pPr>
              <w:spacing w:after="0" w:line="300" w:lineRule="exact"/>
              <w:jc w:val="center"/>
              <w:rPr>
                <w:rFonts w:cs="Arial"/>
                <w:sz w:val="20"/>
              </w:rPr>
            </w:pPr>
            <w:r w:rsidRPr="00A966B6">
              <w:rPr>
                <w:rFonts w:cs="Arial"/>
                <w:sz w:val="20"/>
              </w:rPr>
              <w:t>+4</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11EAD28F" w14:textId="77777777" w:rsidR="00A770D2" w:rsidRPr="00A966B6" w:rsidRDefault="008B58C4" w:rsidP="00A770D2">
            <w:pPr>
              <w:spacing w:after="0" w:line="300" w:lineRule="exact"/>
              <w:jc w:val="center"/>
              <w:rPr>
                <w:rFonts w:cs="Arial"/>
                <w:sz w:val="20"/>
              </w:rPr>
            </w:pPr>
            <w:r w:rsidRPr="00A966B6">
              <w:rPr>
                <w:rFonts w:cs="Arial"/>
                <w:sz w:val="20"/>
              </w:rPr>
              <w:t>+57,14%</w:t>
            </w:r>
          </w:p>
        </w:tc>
      </w:tr>
      <w:tr w:rsidR="00A966B6" w:rsidRPr="00A966B6" w14:paraId="07EDE32B"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D3923" w14:textId="77777777" w:rsidR="00A770D2" w:rsidRPr="00A966B6" w:rsidRDefault="00A770D2" w:rsidP="00A770D2">
            <w:pPr>
              <w:spacing w:after="0" w:line="300" w:lineRule="exact"/>
              <w:rPr>
                <w:rFonts w:cs="Arial"/>
                <w:sz w:val="20"/>
              </w:rPr>
            </w:pPr>
            <w:r w:rsidRPr="00A966B6">
              <w:rPr>
                <w:rFonts w:cs="Arial"/>
                <w:sz w:val="20"/>
              </w:rPr>
              <w:t>P - Plzeňský kraj</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5BA60" w14:textId="77777777" w:rsidR="00A770D2" w:rsidRPr="00A966B6" w:rsidRDefault="000449C1" w:rsidP="00A770D2">
            <w:pPr>
              <w:spacing w:after="0" w:line="300" w:lineRule="exact"/>
              <w:jc w:val="center"/>
              <w:rPr>
                <w:rFonts w:cs="Arial"/>
                <w:b/>
                <w:bCs/>
                <w:sz w:val="20"/>
              </w:rPr>
            </w:pPr>
            <w:r w:rsidRPr="00A966B6">
              <w:rPr>
                <w:rFonts w:cs="Arial"/>
                <w:b/>
                <w:bCs/>
                <w:sz w:val="20"/>
              </w:rPr>
              <w:t>24</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BB35E" w14:textId="77777777" w:rsidR="00A770D2" w:rsidRPr="00A966B6" w:rsidRDefault="00C83D51" w:rsidP="00A770D2">
            <w:pPr>
              <w:spacing w:after="0" w:line="300" w:lineRule="exact"/>
              <w:jc w:val="center"/>
              <w:rPr>
                <w:rFonts w:cs="Arial"/>
                <w:b/>
                <w:bCs/>
                <w:sz w:val="20"/>
              </w:rPr>
            </w:pPr>
            <w:r w:rsidRPr="00A966B6">
              <w:rPr>
                <w:rFonts w:cs="Arial"/>
                <w:b/>
                <w:bCs/>
                <w:sz w:val="20"/>
              </w:rPr>
              <w:t>12,77%</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CE35B" w14:textId="77777777" w:rsidR="00A770D2" w:rsidRPr="00A966B6" w:rsidRDefault="00EE6162" w:rsidP="00A770D2">
            <w:pPr>
              <w:spacing w:after="0" w:line="300" w:lineRule="exact"/>
              <w:jc w:val="center"/>
              <w:rPr>
                <w:rFonts w:cs="Arial"/>
                <w:sz w:val="20"/>
              </w:rPr>
            </w:pPr>
            <w:r w:rsidRPr="00A966B6">
              <w:rPr>
                <w:rFonts w:cs="Arial"/>
                <w:sz w:val="20"/>
              </w:rPr>
              <w:t>+18</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AFB77" w14:textId="77777777" w:rsidR="00A770D2" w:rsidRPr="00A966B6" w:rsidRDefault="008B58C4" w:rsidP="00A770D2">
            <w:pPr>
              <w:spacing w:after="0" w:line="300" w:lineRule="exact"/>
              <w:jc w:val="center"/>
              <w:rPr>
                <w:rFonts w:cs="Arial"/>
                <w:sz w:val="20"/>
              </w:rPr>
            </w:pPr>
            <w:r w:rsidRPr="00A966B6">
              <w:rPr>
                <w:rFonts w:cs="Arial"/>
                <w:sz w:val="20"/>
              </w:rPr>
              <w:t>+300,00%</w:t>
            </w:r>
          </w:p>
        </w:tc>
      </w:tr>
      <w:tr w:rsidR="00A966B6" w:rsidRPr="00A966B6" w14:paraId="21129EA8"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0A16B" w14:textId="77777777" w:rsidR="00A770D2" w:rsidRPr="00A966B6" w:rsidRDefault="00A770D2" w:rsidP="00A770D2">
            <w:pPr>
              <w:spacing w:after="0" w:line="300" w:lineRule="exact"/>
              <w:rPr>
                <w:rFonts w:cs="Arial"/>
                <w:sz w:val="20"/>
              </w:rPr>
            </w:pPr>
            <w:r w:rsidRPr="00A966B6">
              <w:rPr>
                <w:rFonts w:cs="Arial"/>
                <w:sz w:val="20"/>
              </w:rPr>
              <w:t>S - Středočeský kraj</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00AD5393" w14:textId="77777777" w:rsidR="00A770D2" w:rsidRPr="00A966B6" w:rsidRDefault="000449C1" w:rsidP="00A770D2">
            <w:pPr>
              <w:spacing w:after="0" w:line="300" w:lineRule="exact"/>
              <w:jc w:val="center"/>
              <w:rPr>
                <w:rFonts w:cs="Arial"/>
                <w:b/>
                <w:bCs/>
                <w:sz w:val="20"/>
              </w:rPr>
            </w:pPr>
            <w:r w:rsidRPr="00A966B6">
              <w:rPr>
                <w:rFonts w:cs="Arial"/>
                <w:b/>
                <w:bCs/>
                <w:sz w:val="20"/>
              </w:rPr>
              <w:t>23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146BEFBE" w14:textId="77777777" w:rsidR="00A770D2" w:rsidRPr="00A966B6" w:rsidRDefault="00C83D51" w:rsidP="00A770D2">
            <w:pPr>
              <w:spacing w:after="0" w:line="300" w:lineRule="exact"/>
              <w:jc w:val="center"/>
              <w:rPr>
                <w:rFonts w:cs="Arial"/>
                <w:b/>
                <w:bCs/>
                <w:sz w:val="20"/>
              </w:rPr>
            </w:pPr>
            <w:r w:rsidRPr="00A966B6">
              <w:rPr>
                <w:rFonts w:cs="Arial"/>
                <w:b/>
                <w:bCs/>
                <w:sz w:val="20"/>
              </w:rPr>
              <w:t>12,23%</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0BD90E7D" w14:textId="77777777" w:rsidR="00A770D2" w:rsidRPr="00A966B6" w:rsidRDefault="00EE6162" w:rsidP="00A770D2">
            <w:pPr>
              <w:spacing w:after="0" w:line="300" w:lineRule="exact"/>
              <w:jc w:val="center"/>
              <w:rPr>
                <w:rFonts w:cs="Arial"/>
                <w:sz w:val="20"/>
              </w:rPr>
            </w:pPr>
            <w:r w:rsidRPr="00A966B6">
              <w:rPr>
                <w:rFonts w:cs="Arial"/>
                <w:sz w:val="20"/>
              </w:rPr>
              <w:t>0</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210D94CF" w14:textId="77777777" w:rsidR="00A770D2" w:rsidRPr="00A966B6" w:rsidRDefault="009620ED" w:rsidP="00A770D2">
            <w:pPr>
              <w:spacing w:after="0" w:line="300" w:lineRule="exact"/>
              <w:jc w:val="center"/>
              <w:rPr>
                <w:rFonts w:cs="Arial"/>
                <w:sz w:val="20"/>
              </w:rPr>
            </w:pPr>
            <w:r w:rsidRPr="00A966B6">
              <w:rPr>
                <w:rFonts w:cs="Arial"/>
                <w:sz w:val="20"/>
              </w:rPr>
              <w:t>0,00%</w:t>
            </w:r>
          </w:p>
        </w:tc>
      </w:tr>
      <w:tr w:rsidR="00A966B6" w:rsidRPr="00A966B6" w14:paraId="58B75370"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625D5FDE" w14:textId="77777777" w:rsidR="00A770D2" w:rsidRPr="00A966B6" w:rsidRDefault="00A770D2" w:rsidP="00A770D2">
            <w:pPr>
              <w:spacing w:after="0" w:line="300" w:lineRule="exact"/>
              <w:rPr>
                <w:rFonts w:cs="Arial"/>
                <w:sz w:val="20"/>
              </w:rPr>
            </w:pPr>
            <w:r w:rsidRPr="00A966B6">
              <w:rPr>
                <w:rFonts w:cs="Arial"/>
                <w:sz w:val="20"/>
              </w:rPr>
              <w:t>T - Moravskoslezský kraj</w:t>
            </w:r>
          </w:p>
        </w:tc>
        <w:tc>
          <w:tcPr>
            <w:tcW w:w="887" w:type="dxa"/>
            <w:tcBorders>
              <w:top w:val="nil"/>
              <w:left w:val="nil"/>
              <w:bottom w:val="single" w:sz="4" w:space="0" w:color="auto"/>
              <w:right w:val="single" w:sz="4" w:space="0" w:color="auto"/>
            </w:tcBorders>
            <w:shd w:val="clear" w:color="auto" w:fill="auto"/>
            <w:noWrap/>
            <w:vAlign w:val="bottom"/>
          </w:tcPr>
          <w:p w14:paraId="3333BF1F" w14:textId="77777777" w:rsidR="00A770D2" w:rsidRPr="00A966B6" w:rsidRDefault="000449C1" w:rsidP="00A770D2">
            <w:pPr>
              <w:spacing w:after="0" w:line="300" w:lineRule="exact"/>
              <w:jc w:val="center"/>
              <w:rPr>
                <w:rFonts w:cs="Arial"/>
                <w:b/>
                <w:bCs/>
                <w:sz w:val="20"/>
              </w:rPr>
            </w:pPr>
            <w:r w:rsidRPr="00A966B6">
              <w:rPr>
                <w:rFonts w:cs="Arial"/>
                <w:b/>
                <w:bCs/>
                <w:sz w:val="20"/>
              </w:rPr>
              <w:t>22</w:t>
            </w:r>
          </w:p>
        </w:tc>
        <w:tc>
          <w:tcPr>
            <w:tcW w:w="1009" w:type="dxa"/>
            <w:tcBorders>
              <w:top w:val="nil"/>
              <w:left w:val="nil"/>
              <w:bottom w:val="single" w:sz="4" w:space="0" w:color="auto"/>
              <w:right w:val="single" w:sz="4" w:space="0" w:color="auto"/>
            </w:tcBorders>
            <w:shd w:val="clear" w:color="auto" w:fill="auto"/>
            <w:noWrap/>
            <w:vAlign w:val="bottom"/>
          </w:tcPr>
          <w:p w14:paraId="6337E6F8" w14:textId="77777777" w:rsidR="00A770D2" w:rsidRPr="00A966B6" w:rsidRDefault="00C83D51" w:rsidP="00A770D2">
            <w:pPr>
              <w:spacing w:after="0" w:line="300" w:lineRule="exact"/>
              <w:jc w:val="center"/>
              <w:rPr>
                <w:rFonts w:cs="Arial"/>
                <w:b/>
                <w:bCs/>
                <w:sz w:val="20"/>
              </w:rPr>
            </w:pPr>
            <w:r w:rsidRPr="00A966B6">
              <w:rPr>
                <w:rFonts w:cs="Arial"/>
                <w:b/>
                <w:bCs/>
                <w:sz w:val="20"/>
              </w:rPr>
              <w:t>11,70%</w:t>
            </w:r>
          </w:p>
        </w:tc>
        <w:tc>
          <w:tcPr>
            <w:tcW w:w="674" w:type="dxa"/>
            <w:tcBorders>
              <w:top w:val="nil"/>
              <w:left w:val="nil"/>
              <w:bottom w:val="single" w:sz="4" w:space="0" w:color="auto"/>
              <w:right w:val="single" w:sz="4" w:space="0" w:color="auto"/>
            </w:tcBorders>
            <w:shd w:val="clear" w:color="auto" w:fill="auto"/>
            <w:noWrap/>
            <w:vAlign w:val="bottom"/>
          </w:tcPr>
          <w:p w14:paraId="72A4A8B5" w14:textId="77777777" w:rsidR="00A770D2" w:rsidRPr="00A966B6" w:rsidRDefault="00EE6162" w:rsidP="00A770D2">
            <w:pPr>
              <w:spacing w:after="0" w:line="300" w:lineRule="exact"/>
              <w:jc w:val="center"/>
              <w:rPr>
                <w:rFonts w:cs="Arial"/>
                <w:sz w:val="20"/>
              </w:rPr>
            </w:pPr>
            <w:r w:rsidRPr="00A966B6">
              <w:rPr>
                <w:rFonts w:cs="Arial"/>
                <w:sz w:val="20"/>
              </w:rPr>
              <w:t>+5</w:t>
            </w:r>
          </w:p>
        </w:tc>
        <w:tc>
          <w:tcPr>
            <w:tcW w:w="1277" w:type="dxa"/>
            <w:tcBorders>
              <w:top w:val="nil"/>
              <w:left w:val="nil"/>
              <w:bottom w:val="single" w:sz="4" w:space="0" w:color="auto"/>
              <w:right w:val="single" w:sz="4" w:space="0" w:color="auto"/>
            </w:tcBorders>
            <w:shd w:val="clear" w:color="auto" w:fill="auto"/>
            <w:noWrap/>
            <w:vAlign w:val="bottom"/>
          </w:tcPr>
          <w:p w14:paraId="31E9282F" w14:textId="77777777" w:rsidR="00A770D2" w:rsidRPr="00A966B6" w:rsidRDefault="009620ED" w:rsidP="00A770D2">
            <w:pPr>
              <w:spacing w:after="0" w:line="300" w:lineRule="exact"/>
              <w:jc w:val="center"/>
              <w:rPr>
                <w:rFonts w:cs="Arial"/>
                <w:sz w:val="20"/>
              </w:rPr>
            </w:pPr>
            <w:r w:rsidRPr="00A966B6">
              <w:rPr>
                <w:rFonts w:cs="Arial"/>
                <w:sz w:val="20"/>
              </w:rPr>
              <w:t>+29,41%</w:t>
            </w:r>
          </w:p>
        </w:tc>
      </w:tr>
      <w:tr w:rsidR="00A966B6" w:rsidRPr="00A966B6" w14:paraId="743D9694"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0C08CAA7" w14:textId="77777777" w:rsidR="00A770D2" w:rsidRPr="00A966B6" w:rsidRDefault="00A770D2" w:rsidP="00A770D2">
            <w:pPr>
              <w:spacing w:after="0" w:line="300" w:lineRule="exact"/>
              <w:rPr>
                <w:rFonts w:cs="Arial"/>
                <w:sz w:val="20"/>
              </w:rPr>
            </w:pPr>
            <w:r w:rsidRPr="00A966B6">
              <w:rPr>
                <w:rFonts w:cs="Arial"/>
                <w:sz w:val="20"/>
              </w:rPr>
              <w:t>U - Ústecký kraj</w:t>
            </w:r>
          </w:p>
        </w:tc>
        <w:tc>
          <w:tcPr>
            <w:tcW w:w="887" w:type="dxa"/>
            <w:tcBorders>
              <w:top w:val="nil"/>
              <w:left w:val="nil"/>
              <w:bottom w:val="single" w:sz="4" w:space="0" w:color="auto"/>
              <w:right w:val="single" w:sz="4" w:space="0" w:color="auto"/>
            </w:tcBorders>
            <w:shd w:val="clear" w:color="auto" w:fill="auto"/>
            <w:noWrap/>
            <w:vAlign w:val="bottom"/>
          </w:tcPr>
          <w:p w14:paraId="48532FC6" w14:textId="77777777" w:rsidR="00A770D2" w:rsidRPr="00A966B6" w:rsidRDefault="000449C1" w:rsidP="00A770D2">
            <w:pPr>
              <w:spacing w:after="0" w:line="300" w:lineRule="exact"/>
              <w:jc w:val="center"/>
              <w:rPr>
                <w:rFonts w:cs="Arial"/>
                <w:b/>
                <w:bCs/>
                <w:sz w:val="20"/>
              </w:rPr>
            </w:pPr>
            <w:r w:rsidRPr="00A966B6">
              <w:rPr>
                <w:rFonts w:cs="Arial"/>
                <w:b/>
                <w:bCs/>
                <w:sz w:val="20"/>
              </w:rPr>
              <w:t>18</w:t>
            </w:r>
          </w:p>
        </w:tc>
        <w:tc>
          <w:tcPr>
            <w:tcW w:w="1009" w:type="dxa"/>
            <w:tcBorders>
              <w:top w:val="nil"/>
              <w:left w:val="nil"/>
              <w:bottom w:val="single" w:sz="4" w:space="0" w:color="auto"/>
              <w:right w:val="single" w:sz="4" w:space="0" w:color="auto"/>
            </w:tcBorders>
            <w:shd w:val="clear" w:color="auto" w:fill="auto"/>
            <w:noWrap/>
            <w:vAlign w:val="bottom"/>
          </w:tcPr>
          <w:p w14:paraId="3A5CA73B" w14:textId="77777777" w:rsidR="00A770D2" w:rsidRPr="00A966B6" w:rsidRDefault="00C83D51" w:rsidP="00A770D2">
            <w:pPr>
              <w:spacing w:after="0" w:line="300" w:lineRule="exact"/>
              <w:jc w:val="center"/>
              <w:rPr>
                <w:rFonts w:cs="Arial"/>
                <w:b/>
                <w:bCs/>
                <w:sz w:val="20"/>
              </w:rPr>
            </w:pPr>
            <w:r w:rsidRPr="00A966B6">
              <w:rPr>
                <w:rFonts w:cs="Arial"/>
                <w:b/>
                <w:bCs/>
                <w:sz w:val="20"/>
              </w:rPr>
              <w:t>9,57%</w:t>
            </w:r>
          </w:p>
        </w:tc>
        <w:tc>
          <w:tcPr>
            <w:tcW w:w="674" w:type="dxa"/>
            <w:tcBorders>
              <w:top w:val="nil"/>
              <w:left w:val="nil"/>
              <w:bottom w:val="single" w:sz="4" w:space="0" w:color="auto"/>
              <w:right w:val="single" w:sz="4" w:space="0" w:color="auto"/>
            </w:tcBorders>
            <w:shd w:val="clear" w:color="auto" w:fill="auto"/>
            <w:noWrap/>
            <w:vAlign w:val="bottom"/>
          </w:tcPr>
          <w:p w14:paraId="0F885648" w14:textId="77777777" w:rsidR="00A770D2" w:rsidRPr="00A966B6" w:rsidRDefault="00EE6162" w:rsidP="00A770D2">
            <w:pPr>
              <w:spacing w:after="0" w:line="300" w:lineRule="exact"/>
              <w:jc w:val="center"/>
              <w:rPr>
                <w:rFonts w:cs="Arial"/>
                <w:sz w:val="20"/>
              </w:rPr>
            </w:pPr>
            <w:r w:rsidRPr="00A966B6">
              <w:rPr>
                <w:rFonts w:cs="Arial"/>
                <w:sz w:val="20"/>
              </w:rPr>
              <w:t>-12</w:t>
            </w:r>
          </w:p>
        </w:tc>
        <w:tc>
          <w:tcPr>
            <w:tcW w:w="1277" w:type="dxa"/>
            <w:tcBorders>
              <w:top w:val="nil"/>
              <w:left w:val="nil"/>
              <w:bottom w:val="single" w:sz="4" w:space="0" w:color="auto"/>
              <w:right w:val="single" w:sz="4" w:space="0" w:color="auto"/>
            </w:tcBorders>
            <w:shd w:val="clear" w:color="auto" w:fill="auto"/>
            <w:noWrap/>
            <w:vAlign w:val="bottom"/>
          </w:tcPr>
          <w:p w14:paraId="7C62C572" w14:textId="77777777" w:rsidR="00A770D2" w:rsidRPr="00A966B6" w:rsidRDefault="009620ED" w:rsidP="00A770D2">
            <w:pPr>
              <w:spacing w:after="0" w:line="300" w:lineRule="exact"/>
              <w:jc w:val="center"/>
              <w:rPr>
                <w:rFonts w:cs="Arial"/>
                <w:sz w:val="20"/>
              </w:rPr>
            </w:pPr>
            <w:r w:rsidRPr="00A966B6">
              <w:rPr>
                <w:rFonts w:cs="Arial"/>
                <w:sz w:val="20"/>
              </w:rPr>
              <w:t>-40,00%</w:t>
            </w:r>
          </w:p>
        </w:tc>
      </w:tr>
      <w:tr w:rsidR="00A966B6" w:rsidRPr="00A966B6" w14:paraId="0449771B"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79C6A8D1" w14:textId="77777777" w:rsidR="00A770D2" w:rsidRPr="00A966B6" w:rsidRDefault="00A770D2" w:rsidP="00A770D2">
            <w:pPr>
              <w:spacing w:after="0" w:line="300" w:lineRule="exact"/>
              <w:rPr>
                <w:rFonts w:cs="Arial"/>
                <w:sz w:val="20"/>
              </w:rPr>
            </w:pPr>
            <w:r w:rsidRPr="00A966B6">
              <w:rPr>
                <w:rFonts w:cs="Arial"/>
                <w:sz w:val="20"/>
              </w:rPr>
              <w:t>V - Česká republika (celé území</w:t>
            </w:r>
            <w:r w:rsidR="000449C1" w:rsidRPr="00A966B6">
              <w:rPr>
                <w:rFonts w:cs="Arial"/>
                <w:sz w:val="20"/>
              </w:rPr>
              <w:t xml:space="preserve"> nebo nezjištěno</w:t>
            </w:r>
            <w:r w:rsidRPr="00A966B6">
              <w:rPr>
                <w:rFonts w:cs="Arial"/>
                <w:sz w:val="20"/>
              </w:rPr>
              <w:t>)</w:t>
            </w:r>
          </w:p>
        </w:tc>
        <w:tc>
          <w:tcPr>
            <w:tcW w:w="887" w:type="dxa"/>
            <w:tcBorders>
              <w:top w:val="nil"/>
              <w:left w:val="nil"/>
              <w:bottom w:val="single" w:sz="4" w:space="0" w:color="auto"/>
              <w:right w:val="single" w:sz="4" w:space="0" w:color="auto"/>
            </w:tcBorders>
            <w:shd w:val="clear" w:color="auto" w:fill="auto"/>
            <w:noWrap/>
            <w:vAlign w:val="bottom"/>
          </w:tcPr>
          <w:p w14:paraId="55476045" w14:textId="77777777" w:rsidR="00A770D2" w:rsidRPr="00A966B6" w:rsidRDefault="000449C1" w:rsidP="00A770D2">
            <w:pPr>
              <w:spacing w:after="0" w:line="300" w:lineRule="exact"/>
              <w:jc w:val="center"/>
              <w:rPr>
                <w:rFonts w:cs="Arial"/>
                <w:b/>
                <w:bCs/>
                <w:sz w:val="20"/>
              </w:rPr>
            </w:pPr>
            <w:r w:rsidRPr="00A966B6">
              <w:rPr>
                <w:rFonts w:cs="Arial"/>
                <w:b/>
                <w:bCs/>
                <w:sz w:val="20"/>
              </w:rPr>
              <w:t>5</w:t>
            </w:r>
          </w:p>
        </w:tc>
        <w:tc>
          <w:tcPr>
            <w:tcW w:w="1009" w:type="dxa"/>
            <w:tcBorders>
              <w:top w:val="nil"/>
              <w:left w:val="nil"/>
              <w:bottom w:val="single" w:sz="4" w:space="0" w:color="auto"/>
              <w:right w:val="single" w:sz="4" w:space="0" w:color="auto"/>
            </w:tcBorders>
            <w:shd w:val="clear" w:color="auto" w:fill="auto"/>
            <w:noWrap/>
            <w:vAlign w:val="bottom"/>
          </w:tcPr>
          <w:p w14:paraId="2E452B22" w14:textId="77777777" w:rsidR="00A770D2" w:rsidRPr="00A966B6" w:rsidRDefault="00C83D51" w:rsidP="00A770D2">
            <w:pPr>
              <w:spacing w:after="0" w:line="300" w:lineRule="exact"/>
              <w:jc w:val="center"/>
              <w:rPr>
                <w:rFonts w:cs="Arial"/>
                <w:b/>
                <w:bCs/>
                <w:sz w:val="20"/>
              </w:rPr>
            </w:pPr>
            <w:r w:rsidRPr="00A966B6">
              <w:rPr>
                <w:rFonts w:cs="Arial"/>
                <w:b/>
                <w:bCs/>
                <w:sz w:val="20"/>
              </w:rPr>
              <w:t>2,66%</w:t>
            </w:r>
          </w:p>
        </w:tc>
        <w:tc>
          <w:tcPr>
            <w:tcW w:w="674" w:type="dxa"/>
            <w:tcBorders>
              <w:top w:val="nil"/>
              <w:left w:val="nil"/>
              <w:bottom w:val="single" w:sz="4" w:space="0" w:color="auto"/>
              <w:right w:val="single" w:sz="4" w:space="0" w:color="auto"/>
            </w:tcBorders>
            <w:shd w:val="clear" w:color="auto" w:fill="auto"/>
            <w:noWrap/>
            <w:vAlign w:val="bottom"/>
          </w:tcPr>
          <w:p w14:paraId="2E9478B1" w14:textId="77777777" w:rsidR="00A770D2" w:rsidRPr="00A966B6" w:rsidRDefault="00EE6162" w:rsidP="00A770D2">
            <w:pPr>
              <w:spacing w:after="0" w:line="300" w:lineRule="exact"/>
              <w:jc w:val="center"/>
              <w:rPr>
                <w:rFonts w:cs="Arial"/>
                <w:sz w:val="20"/>
              </w:rPr>
            </w:pPr>
            <w:r w:rsidRPr="00A966B6">
              <w:rPr>
                <w:rFonts w:cs="Arial"/>
                <w:sz w:val="20"/>
              </w:rPr>
              <w:t>+5</w:t>
            </w:r>
          </w:p>
        </w:tc>
        <w:tc>
          <w:tcPr>
            <w:tcW w:w="1277" w:type="dxa"/>
            <w:tcBorders>
              <w:top w:val="nil"/>
              <w:left w:val="nil"/>
              <w:bottom w:val="single" w:sz="4" w:space="0" w:color="auto"/>
              <w:right w:val="single" w:sz="4" w:space="0" w:color="auto"/>
            </w:tcBorders>
            <w:shd w:val="clear" w:color="auto" w:fill="auto"/>
            <w:noWrap/>
            <w:vAlign w:val="bottom"/>
          </w:tcPr>
          <w:p w14:paraId="10E6E0C4" w14:textId="77777777" w:rsidR="00A770D2" w:rsidRPr="00A966B6" w:rsidRDefault="009620ED" w:rsidP="00A770D2">
            <w:pPr>
              <w:spacing w:after="0" w:line="300" w:lineRule="exact"/>
              <w:jc w:val="center"/>
              <w:rPr>
                <w:rFonts w:cs="Arial"/>
                <w:sz w:val="20"/>
              </w:rPr>
            </w:pPr>
            <w:r w:rsidRPr="00A966B6">
              <w:rPr>
                <w:rFonts w:cs="Arial"/>
                <w:sz w:val="20"/>
              </w:rPr>
              <w:t>-</w:t>
            </w:r>
          </w:p>
        </w:tc>
      </w:tr>
      <w:tr w:rsidR="00A966B6" w:rsidRPr="00A966B6" w14:paraId="5E5AE459"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116AE741" w14:textId="77777777" w:rsidR="00A770D2" w:rsidRPr="00A966B6" w:rsidRDefault="00A770D2" w:rsidP="00A770D2">
            <w:pPr>
              <w:spacing w:after="0" w:line="300" w:lineRule="exact"/>
              <w:rPr>
                <w:rFonts w:cs="Arial"/>
                <w:sz w:val="20"/>
              </w:rPr>
            </w:pPr>
            <w:r w:rsidRPr="00A966B6">
              <w:rPr>
                <w:rFonts w:cs="Arial"/>
                <w:sz w:val="20"/>
              </w:rPr>
              <w:t>Z - Zlínský kraj</w:t>
            </w:r>
          </w:p>
        </w:tc>
        <w:tc>
          <w:tcPr>
            <w:tcW w:w="887" w:type="dxa"/>
            <w:tcBorders>
              <w:top w:val="nil"/>
              <w:left w:val="nil"/>
              <w:bottom w:val="single" w:sz="4" w:space="0" w:color="auto"/>
              <w:right w:val="single" w:sz="4" w:space="0" w:color="auto"/>
            </w:tcBorders>
            <w:shd w:val="clear" w:color="auto" w:fill="auto"/>
            <w:noWrap/>
            <w:vAlign w:val="bottom"/>
          </w:tcPr>
          <w:p w14:paraId="4D36750A" w14:textId="77777777" w:rsidR="00A770D2" w:rsidRPr="00A966B6" w:rsidRDefault="000449C1" w:rsidP="00A770D2">
            <w:pPr>
              <w:spacing w:after="0" w:line="300" w:lineRule="exact"/>
              <w:jc w:val="center"/>
              <w:rPr>
                <w:rFonts w:cs="Arial"/>
                <w:b/>
                <w:bCs/>
                <w:sz w:val="20"/>
              </w:rPr>
            </w:pPr>
            <w:r w:rsidRPr="00A966B6">
              <w:rPr>
                <w:rFonts w:cs="Arial"/>
                <w:b/>
                <w:bCs/>
                <w:sz w:val="20"/>
              </w:rPr>
              <w:t>6</w:t>
            </w:r>
          </w:p>
        </w:tc>
        <w:tc>
          <w:tcPr>
            <w:tcW w:w="1009" w:type="dxa"/>
            <w:tcBorders>
              <w:top w:val="nil"/>
              <w:left w:val="nil"/>
              <w:bottom w:val="single" w:sz="4" w:space="0" w:color="auto"/>
              <w:right w:val="single" w:sz="4" w:space="0" w:color="auto"/>
            </w:tcBorders>
            <w:shd w:val="clear" w:color="auto" w:fill="auto"/>
            <w:noWrap/>
            <w:vAlign w:val="bottom"/>
          </w:tcPr>
          <w:p w14:paraId="3D34E4F6" w14:textId="77777777" w:rsidR="00A770D2" w:rsidRPr="00A966B6" w:rsidRDefault="00AE0B42" w:rsidP="00476FD2">
            <w:pPr>
              <w:spacing w:after="0" w:line="300" w:lineRule="exact"/>
              <w:jc w:val="center"/>
              <w:rPr>
                <w:rFonts w:cs="Arial"/>
                <w:b/>
                <w:bCs/>
                <w:sz w:val="20"/>
              </w:rPr>
            </w:pPr>
            <w:r w:rsidRPr="00A966B6">
              <w:rPr>
                <w:rFonts w:cs="Arial"/>
                <w:b/>
                <w:bCs/>
                <w:sz w:val="20"/>
              </w:rPr>
              <w:t>3,</w:t>
            </w:r>
            <w:r w:rsidR="00476FD2" w:rsidRPr="00A966B6">
              <w:rPr>
                <w:rFonts w:cs="Arial"/>
                <w:b/>
                <w:bCs/>
                <w:sz w:val="20"/>
              </w:rPr>
              <w:t>20</w:t>
            </w:r>
            <w:r w:rsidRPr="00A966B6">
              <w:rPr>
                <w:rFonts w:cs="Arial"/>
                <w:b/>
                <w:bCs/>
                <w:sz w:val="20"/>
              </w:rPr>
              <w:t>%</w:t>
            </w:r>
          </w:p>
        </w:tc>
        <w:tc>
          <w:tcPr>
            <w:tcW w:w="674" w:type="dxa"/>
            <w:tcBorders>
              <w:top w:val="nil"/>
              <w:left w:val="nil"/>
              <w:bottom w:val="single" w:sz="4" w:space="0" w:color="auto"/>
              <w:right w:val="single" w:sz="4" w:space="0" w:color="auto"/>
            </w:tcBorders>
            <w:shd w:val="clear" w:color="auto" w:fill="auto"/>
            <w:noWrap/>
            <w:vAlign w:val="bottom"/>
          </w:tcPr>
          <w:p w14:paraId="31409386" w14:textId="77777777" w:rsidR="00A770D2" w:rsidRPr="00A966B6" w:rsidRDefault="00EE6162" w:rsidP="00A770D2">
            <w:pPr>
              <w:spacing w:after="0" w:line="300" w:lineRule="exact"/>
              <w:jc w:val="center"/>
              <w:rPr>
                <w:rFonts w:cs="Arial"/>
                <w:sz w:val="20"/>
              </w:rPr>
            </w:pPr>
            <w:r w:rsidRPr="00A966B6">
              <w:rPr>
                <w:rFonts w:cs="Arial"/>
                <w:sz w:val="20"/>
              </w:rPr>
              <w:t>-11</w:t>
            </w:r>
          </w:p>
        </w:tc>
        <w:tc>
          <w:tcPr>
            <w:tcW w:w="1277" w:type="dxa"/>
            <w:tcBorders>
              <w:top w:val="nil"/>
              <w:left w:val="nil"/>
              <w:bottom w:val="single" w:sz="4" w:space="0" w:color="auto"/>
              <w:right w:val="single" w:sz="4" w:space="0" w:color="auto"/>
            </w:tcBorders>
            <w:shd w:val="clear" w:color="auto" w:fill="auto"/>
            <w:noWrap/>
            <w:vAlign w:val="bottom"/>
          </w:tcPr>
          <w:p w14:paraId="15685393" w14:textId="77777777" w:rsidR="00A770D2" w:rsidRPr="00A966B6" w:rsidRDefault="009620ED" w:rsidP="00A770D2">
            <w:pPr>
              <w:spacing w:after="0" w:line="300" w:lineRule="exact"/>
              <w:jc w:val="center"/>
              <w:rPr>
                <w:rFonts w:cs="Arial"/>
                <w:sz w:val="20"/>
              </w:rPr>
            </w:pPr>
            <w:r w:rsidRPr="00A966B6">
              <w:rPr>
                <w:rFonts w:cs="Arial"/>
                <w:sz w:val="20"/>
              </w:rPr>
              <w:t>-64,71%</w:t>
            </w:r>
          </w:p>
        </w:tc>
      </w:tr>
      <w:tr w:rsidR="00A966B6" w:rsidRPr="00A966B6" w14:paraId="3DCBAC51" w14:textId="77777777" w:rsidTr="00A770D2">
        <w:trPr>
          <w:trHeight w:val="300"/>
          <w:jc w:val="center"/>
        </w:trPr>
        <w:tc>
          <w:tcPr>
            <w:tcW w:w="5822" w:type="dxa"/>
            <w:tcBorders>
              <w:top w:val="nil"/>
              <w:left w:val="nil"/>
              <w:bottom w:val="single" w:sz="4" w:space="0" w:color="auto"/>
              <w:right w:val="nil"/>
            </w:tcBorders>
            <w:shd w:val="clear" w:color="auto" w:fill="auto"/>
            <w:noWrap/>
            <w:vAlign w:val="bottom"/>
            <w:hideMark/>
          </w:tcPr>
          <w:p w14:paraId="5FF72224" w14:textId="77777777" w:rsidR="00A770D2" w:rsidRPr="00A966B6" w:rsidRDefault="00A770D2" w:rsidP="00A770D2">
            <w:pPr>
              <w:spacing w:after="0" w:line="300" w:lineRule="exact"/>
              <w:rPr>
                <w:rFonts w:cs="Arial"/>
                <w:sz w:val="20"/>
              </w:rPr>
            </w:pPr>
            <w:r w:rsidRPr="00A966B6">
              <w:rPr>
                <w:rFonts w:cs="Arial"/>
                <w:sz w:val="20"/>
              </w:rPr>
              <w:t> </w:t>
            </w:r>
          </w:p>
        </w:tc>
        <w:tc>
          <w:tcPr>
            <w:tcW w:w="887" w:type="dxa"/>
            <w:tcBorders>
              <w:top w:val="nil"/>
              <w:left w:val="nil"/>
              <w:bottom w:val="single" w:sz="4" w:space="0" w:color="auto"/>
              <w:right w:val="nil"/>
            </w:tcBorders>
            <w:shd w:val="clear" w:color="auto" w:fill="auto"/>
            <w:noWrap/>
            <w:vAlign w:val="bottom"/>
          </w:tcPr>
          <w:p w14:paraId="26E5A9ED" w14:textId="77777777" w:rsidR="00A770D2" w:rsidRPr="00A966B6" w:rsidRDefault="00A770D2" w:rsidP="00A770D2">
            <w:pPr>
              <w:spacing w:after="0" w:line="300" w:lineRule="exact"/>
              <w:jc w:val="center"/>
              <w:rPr>
                <w:rFonts w:cs="Arial"/>
                <w:b/>
                <w:bCs/>
                <w:sz w:val="20"/>
              </w:rPr>
            </w:pPr>
          </w:p>
        </w:tc>
        <w:tc>
          <w:tcPr>
            <w:tcW w:w="1009" w:type="dxa"/>
            <w:tcBorders>
              <w:top w:val="nil"/>
              <w:left w:val="nil"/>
              <w:bottom w:val="single" w:sz="4" w:space="0" w:color="auto"/>
              <w:right w:val="nil"/>
            </w:tcBorders>
            <w:shd w:val="clear" w:color="auto" w:fill="auto"/>
            <w:noWrap/>
            <w:vAlign w:val="bottom"/>
          </w:tcPr>
          <w:p w14:paraId="53B4C3AF" w14:textId="77777777" w:rsidR="00A770D2" w:rsidRPr="00A966B6" w:rsidRDefault="00A770D2" w:rsidP="00A770D2">
            <w:pPr>
              <w:spacing w:after="0" w:line="300" w:lineRule="exact"/>
              <w:jc w:val="center"/>
              <w:rPr>
                <w:rFonts w:cs="Arial"/>
                <w:b/>
                <w:bCs/>
                <w:sz w:val="20"/>
              </w:rPr>
            </w:pPr>
          </w:p>
        </w:tc>
        <w:tc>
          <w:tcPr>
            <w:tcW w:w="674" w:type="dxa"/>
            <w:tcBorders>
              <w:top w:val="nil"/>
              <w:left w:val="nil"/>
              <w:bottom w:val="single" w:sz="4" w:space="0" w:color="auto"/>
              <w:right w:val="nil"/>
            </w:tcBorders>
            <w:shd w:val="clear" w:color="auto" w:fill="auto"/>
            <w:noWrap/>
            <w:vAlign w:val="bottom"/>
          </w:tcPr>
          <w:p w14:paraId="58C40191" w14:textId="77777777" w:rsidR="00A770D2" w:rsidRPr="00A966B6" w:rsidRDefault="00A770D2" w:rsidP="00A770D2">
            <w:pPr>
              <w:spacing w:after="0" w:line="300" w:lineRule="exact"/>
              <w:jc w:val="center"/>
              <w:rPr>
                <w:rFonts w:cs="Arial"/>
                <w:sz w:val="20"/>
              </w:rPr>
            </w:pPr>
          </w:p>
        </w:tc>
        <w:tc>
          <w:tcPr>
            <w:tcW w:w="1277" w:type="dxa"/>
            <w:tcBorders>
              <w:top w:val="nil"/>
              <w:left w:val="nil"/>
              <w:bottom w:val="single" w:sz="4" w:space="0" w:color="auto"/>
              <w:right w:val="nil"/>
            </w:tcBorders>
            <w:shd w:val="clear" w:color="auto" w:fill="auto"/>
            <w:noWrap/>
            <w:vAlign w:val="bottom"/>
          </w:tcPr>
          <w:p w14:paraId="727CEE37" w14:textId="77777777" w:rsidR="00A770D2" w:rsidRPr="00A966B6" w:rsidRDefault="00A770D2" w:rsidP="00A770D2">
            <w:pPr>
              <w:spacing w:after="0" w:line="300" w:lineRule="exact"/>
              <w:jc w:val="center"/>
              <w:rPr>
                <w:rFonts w:cs="Arial"/>
                <w:sz w:val="20"/>
              </w:rPr>
            </w:pPr>
          </w:p>
        </w:tc>
      </w:tr>
      <w:tr w:rsidR="00A966B6" w:rsidRPr="00A966B6" w14:paraId="5CD2866E"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499E6E7A" w14:textId="77777777" w:rsidR="00A770D2" w:rsidRPr="00A966B6" w:rsidRDefault="00A770D2" w:rsidP="00A770D2">
            <w:pPr>
              <w:spacing w:after="0" w:line="300" w:lineRule="exact"/>
              <w:rPr>
                <w:rFonts w:cs="Arial"/>
                <w:b/>
                <w:bCs/>
                <w:sz w:val="20"/>
              </w:rPr>
            </w:pPr>
            <w:r w:rsidRPr="00A966B6">
              <w:rPr>
                <w:rFonts w:cs="Arial"/>
                <w:b/>
                <w:bCs/>
                <w:sz w:val="20"/>
              </w:rPr>
              <w:t>Podle věku v době spáchání trestné činnosti</w:t>
            </w:r>
          </w:p>
        </w:tc>
        <w:tc>
          <w:tcPr>
            <w:tcW w:w="887" w:type="dxa"/>
            <w:tcBorders>
              <w:top w:val="nil"/>
              <w:left w:val="nil"/>
              <w:bottom w:val="single" w:sz="4" w:space="0" w:color="auto"/>
              <w:right w:val="single" w:sz="4" w:space="0" w:color="auto"/>
            </w:tcBorders>
            <w:shd w:val="clear" w:color="auto" w:fill="auto"/>
            <w:noWrap/>
            <w:vAlign w:val="bottom"/>
          </w:tcPr>
          <w:p w14:paraId="5E0109FF" w14:textId="77777777" w:rsidR="00A770D2" w:rsidRPr="00A966B6" w:rsidRDefault="00A770D2" w:rsidP="00A770D2">
            <w:pPr>
              <w:spacing w:after="0" w:line="300" w:lineRule="exact"/>
              <w:jc w:val="center"/>
              <w:rPr>
                <w:rFonts w:cs="Arial"/>
                <w:b/>
                <w:bCs/>
                <w:sz w:val="20"/>
              </w:rPr>
            </w:pPr>
            <w:r w:rsidRPr="00A966B6">
              <w:rPr>
                <w:rFonts w:cs="Arial"/>
                <w:b/>
                <w:bCs/>
                <w:sz w:val="20"/>
              </w:rPr>
              <w:t>188</w:t>
            </w:r>
          </w:p>
        </w:tc>
        <w:tc>
          <w:tcPr>
            <w:tcW w:w="1009" w:type="dxa"/>
            <w:tcBorders>
              <w:top w:val="nil"/>
              <w:left w:val="nil"/>
              <w:bottom w:val="single" w:sz="4" w:space="0" w:color="auto"/>
              <w:right w:val="single" w:sz="4" w:space="0" w:color="auto"/>
            </w:tcBorders>
            <w:shd w:val="clear" w:color="auto" w:fill="auto"/>
            <w:noWrap/>
            <w:vAlign w:val="bottom"/>
          </w:tcPr>
          <w:p w14:paraId="68E96702" w14:textId="77777777" w:rsidR="00A770D2" w:rsidRPr="00A966B6" w:rsidRDefault="00A770D2" w:rsidP="00A770D2">
            <w:pPr>
              <w:spacing w:after="0" w:line="300" w:lineRule="exact"/>
              <w:jc w:val="center"/>
              <w:rPr>
                <w:rFonts w:cs="Arial"/>
                <w:b/>
                <w:bCs/>
                <w:sz w:val="20"/>
              </w:rPr>
            </w:pPr>
            <w:r w:rsidRPr="00A966B6">
              <w:rPr>
                <w:rFonts w:cs="Arial"/>
                <w:b/>
                <w:bCs/>
                <w:sz w:val="20"/>
              </w:rPr>
              <w:t>100,00%</w:t>
            </w:r>
          </w:p>
        </w:tc>
        <w:tc>
          <w:tcPr>
            <w:tcW w:w="674" w:type="dxa"/>
            <w:tcBorders>
              <w:top w:val="nil"/>
              <w:left w:val="nil"/>
              <w:bottom w:val="single" w:sz="4" w:space="0" w:color="auto"/>
              <w:right w:val="single" w:sz="4" w:space="0" w:color="auto"/>
            </w:tcBorders>
            <w:shd w:val="clear" w:color="auto" w:fill="auto"/>
            <w:noWrap/>
            <w:vAlign w:val="bottom"/>
          </w:tcPr>
          <w:p w14:paraId="5D219CBA" w14:textId="77777777" w:rsidR="00A770D2" w:rsidRPr="00A966B6" w:rsidRDefault="0081735D" w:rsidP="00A770D2">
            <w:pPr>
              <w:spacing w:after="0" w:line="300" w:lineRule="exact"/>
              <w:jc w:val="center"/>
              <w:rPr>
                <w:rFonts w:cs="Arial"/>
                <w:sz w:val="20"/>
              </w:rPr>
            </w:pPr>
            <w:r w:rsidRPr="00A966B6">
              <w:rPr>
                <w:rFonts w:cs="Arial"/>
                <w:sz w:val="20"/>
              </w:rPr>
              <w:t>-62</w:t>
            </w:r>
          </w:p>
        </w:tc>
        <w:tc>
          <w:tcPr>
            <w:tcW w:w="1277" w:type="dxa"/>
            <w:tcBorders>
              <w:top w:val="nil"/>
              <w:left w:val="nil"/>
              <w:bottom w:val="single" w:sz="4" w:space="0" w:color="auto"/>
              <w:right w:val="single" w:sz="4" w:space="0" w:color="auto"/>
            </w:tcBorders>
            <w:shd w:val="clear" w:color="auto" w:fill="auto"/>
            <w:noWrap/>
            <w:vAlign w:val="bottom"/>
          </w:tcPr>
          <w:p w14:paraId="6D868613" w14:textId="77777777" w:rsidR="00A770D2" w:rsidRPr="00A966B6" w:rsidRDefault="009620ED" w:rsidP="00A770D2">
            <w:pPr>
              <w:spacing w:after="0" w:line="300" w:lineRule="exact"/>
              <w:jc w:val="center"/>
              <w:rPr>
                <w:rFonts w:cs="Arial"/>
                <w:sz w:val="20"/>
              </w:rPr>
            </w:pPr>
            <w:r w:rsidRPr="00A966B6">
              <w:rPr>
                <w:rFonts w:cs="Arial"/>
                <w:sz w:val="20"/>
              </w:rPr>
              <w:t>-24,80%</w:t>
            </w:r>
          </w:p>
        </w:tc>
      </w:tr>
      <w:tr w:rsidR="00A966B6" w:rsidRPr="00A966B6" w14:paraId="3C40EE4E"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137C09CC" w14:textId="77777777" w:rsidR="00A770D2" w:rsidRPr="00A966B6" w:rsidRDefault="00A770D2" w:rsidP="00A770D2">
            <w:pPr>
              <w:spacing w:after="0" w:line="300" w:lineRule="exact"/>
              <w:rPr>
                <w:rFonts w:cs="Arial"/>
                <w:sz w:val="20"/>
              </w:rPr>
            </w:pPr>
            <w:r w:rsidRPr="00A966B6">
              <w:rPr>
                <w:rFonts w:cs="Arial"/>
                <w:sz w:val="20"/>
              </w:rPr>
              <w:t>00 až 24</w:t>
            </w:r>
          </w:p>
        </w:tc>
        <w:tc>
          <w:tcPr>
            <w:tcW w:w="887" w:type="dxa"/>
            <w:tcBorders>
              <w:top w:val="nil"/>
              <w:left w:val="nil"/>
              <w:bottom w:val="single" w:sz="4" w:space="0" w:color="auto"/>
              <w:right w:val="single" w:sz="4" w:space="0" w:color="auto"/>
            </w:tcBorders>
            <w:shd w:val="clear" w:color="auto" w:fill="auto"/>
            <w:noWrap/>
            <w:vAlign w:val="bottom"/>
          </w:tcPr>
          <w:p w14:paraId="189096CD" w14:textId="77777777" w:rsidR="00A770D2" w:rsidRPr="00A966B6" w:rsidRDefault="001C798E" w:rsidP="00A770D2">
            <w:pPr>
              <w:spacing w:after="0" w:line="300" w:lineRule="exact"/>
              <w:jc w:val="center"/>
              <w:rPr>
                <w:rFonts w:cs="Arial"/>
                <w:b/>
                <w:bCs/>
                <w:sz w:val="20"/>
              </w:rPr>
            </w:pPr>
            <w:r w:rsidRPr="00A966B6">
              <w:rPr>
                <w:rFonts w:cs="Arial"/>
                <w:b/>
                <w:bCs/>
                <w:sz w:val="20"/>
              </w:rPr>
              <w:t>14</w:t>
            </w:r>
          </w:p>
        </w:tc>
        <w:tc>
          <w:tcPr>
            <w:tcW w:w="1009" w:type="dxa"/>
            <w:tcBorders>
              <w:top w:val="nil"/>
              <w:left w:val="nil"/>
              <w:bottom w:val="single" w:sz="4" w:space="0" w:color="auto"/>
              <w:right w:val="single" w:sz="4" w:space="0" w:color="auto"/>
            </w:tcBorders>
            <w:shd w:val="clear" w:color="auto" w:fill="auto"/>
            <w:noWrap/>
            <w:vAlign w:val="bottom"/>
          </w:tcPr>
          <w:p w14:paraId="7DF5F915" w14:textId="77777777" w:rsidR="00A770D2" w:rsidRPr="00A966B6" w:rsidRDefault="001C798E" w:rsidP="00A770D2">
            <w:pPr>
              <w:spacing w:after="0" w:line="300" w:lineRule="exact"/>
              <w:jc w:val="center"/>
              <w:rPr>
                <w:rFonts w:cs="Arial"/>
                <w:b/>
                <w:bCs/>
                <w:sz w:val="20"/>
              </w:rPr>
            </w:pPr>
            <w:r w:rsidRPr="00A966B6">
              <w:rPr>
                <w:rFonts w:cs="Arial"/>
                <w:b/>
                <w:bCs/>
                <w:sz w:val="20"/>
              </w:rPr>
              <w:t>7,45%</w:t>
            </w:r>
          </w:p>
        </w:tc>
        <w:tc>
          <w:tcPr>
            <w:tcW w:w="674" w:type="dxa"/>
            <w:tcBorders>
              <w:top w:val="nil"/>
              <w:left w:val="nil"/>
              <w:bottom w:val="single" w:sz="4" w:space="0" w:color="auto"/>
              <w:right w:val="single" w:sz="4" w:space="0" w:color="auto"/>
            </w:tcBorders>
            <w:shd w:val="clear" w:color="auto" w:fill="auto"/>
            <w:noWrap/>
            <w:vAlign w:val="bottom"/>
          </w:tcPr>
          <w:p w14:paraId="606186D3" w14:textId="77777777" w:rsidR="00A770D2" w:rsidRPr="00A966B6" w:rsidRDefault="0081735D" w:rsidP="00A770D2">
            <w:pPr>
              <w:spacing w:after="0" w:line="300" w:lineRule="exact"/>
              <w:jc w:val="center"/>
              <w:rPr>
                <w:rFonts w:cs="Arial"/>
                <w:sz w:val="20"/>
              </w:rPr>
            </w:pPr>
            <w:r w:rsidRPr="00A966B6">
              <w:rPr>
                <w:rFonts w:cs="Arial"/>
                <w:sz w:val="20"/>
              </w:rPr>
              <w:t>+3</w:t>
            </w:r>
          </w:p>
        </w:tc>
        <w:tc>
          <w:tcPr>
            <w:tcW w:w="1277" w:type="dxa"/>
            <w:tcBorders>
              <w:top w:val="nil"/>
              <w:left w:val="nil"/>
              <w:bottom w:val="single" w:sz="4" w:space="0" w:color="auto"/>
              <w:right w:val="single" w:sz="4" w:space="0" w:color="auto"/>
            </w:tcBorders>
            <w:shd w:val="clear" w:color="auto" w:fill="auto"/>
            <w:noWrap/>
            <w:vAlign w:val="bottom"/>
          </w:tcPr>
          <w:p w14:paraId="187E3195" w14:textId="77777777" w:rsidR="00A770D2" w:rsidRPr="00A966B6" w:rsidRDefault="009620ED" w:rsidP="00A770D2">
            <w:pPr>
              <w:spacing w:after="0" w:line="300" w:lineRule="exact"/>
              <w:jc w:val="center"/>
              <w:rPr>
                <w:rFonts w:cs="Arial"/>
                <w:sz w:val="20"/>
              </w:rPr>
            </w:pPr>
            <w:r w:rsidRPr="00A966B6">
              <w:rPr>
                <w:rFonts w:cs="Arial"/>
                <w:sz w:val="20"/>
              </w:rPr>
              <w:t>+27,27%</w:t>
            </w:r>
          </w:p>
        </w:tc>
      </w:tr>
      <w:tr w:rsidR="00A966B6" w:rsidRPr="00A966B6" w14:paraId="1C3A305D"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220303A0" w14:textId="77777777" w:rsidR="00A770D2" w:rsidRPr="00A966B6" w:rsidRDefault="00A770D2" w:rsidP="00A770D2">
            <w:pPr>
              <w:spacing w:after="0" w:line="300" w:lineRule="exact"/>
              <w:rPr>
                <w:rFonts w:cs="Arial"/>
                <w:sz w:val="20"/>
              </w:rPr>
            </w:pPr>
            <w:r w:rsidRPr="00A966B6">
              <w:rPr>
                <w:rFonts w:cs="Arial"/>
                <w:sz w:val="20"/>
              </w:rPr>
              <w:t>25 až 29</w:t>
            </w:r>
          </w:p>
        </w:tc>
        <w:tc>
          <w:tcPr>
            <w:tcW w:w="887" w:type="dxa"/>
            <w:tcBorders>
              <w:top w:val="nil"/>
              <w:left w:val="nil"/>
              <w:bottom w:val="single" w:sz="4" w:space="0" w:color="auto"/>
              <w:right w:val="single" w:sz="4" w:space="0" w:color="auto"/>
            </w:tcBorders>
            <w:shd w:val="clear" w:color="auto" w:fill="auto"/>
            <w:noWrap/>
            <w:vAlign w:val="bottom"/>
          </w:tcPr>
          <w:p w14:paraId="68AECA11" w14:textId="77777777" w:rsidR="00A770D2" w:rsidRPr="00A966B6" w:rsidRDefault="001C798E" w:rsidP="00A770D2">
            <w:pPr>
              <w:spacing w:after="0" w:line="300" w:lineRule="exact"/>
              <w:jc w:val="center"/>
              <w:rPr>
                <w:rFonts w:cs="Arial"/>
                <w:b/>
                <w:bCs/>
                <w:sz w:val="20"/>
              </w:rPr>
            </w:pPr>
            <w:r w:rsidRPr="00A966B6">
              <w:rPr>
                <w:rFonts w:cs="Arial"/>
                <w:b/>
                <w:bCs/>
                <w:sz w:val="20"/>
              </w:rPr>
              <w:t>22</w:t>
            </w:r>
          </w:p>
        </w:tc>
        <w:tc>
          <w:tcPr>
            <w:tcW w:w="1009" w:type="dxa"/>
            <w:tcBorders>
              <w:top w:val="nil"/>
              <w:left w:val="nil"/>
              <w:bottom w:val="single" w:sz="4" w:space="0" w:color="auto"/>
              <w:right w:val="single" w:sz="4" w:space="0" w:color="auto"/>
            </w:tcBorders>
            <w:shd w:val="clear" w:color="auto" w:fill="auto"/>
            <w:noWrap/>
            <w:vAlign w:val="bottom"/>
          </w:tcPr>
          <w:p w14:paraId="148AF02E" w14:textId="77777777" w:rsidR="00A770D2" w:rsidRPr="00A966B6" w:rsidRDefault="001C798E" w:rsidP="00A770D2">
            <w:pPr>
              <w:spacing w:after="0" w:line="300" w:lineRule="exact"/>
              <w:jc w:val="center"/>
              <w:rPr>
                <w:rFonts w:cs="Arial"/>
                <w:b/>
                <w:bCs/>
                <w:sz w:val="20"/>
              </w:rPr>
            </w:pPr>
            <w:r w:rsidRPr="00A966B6">
              <w:rPr>
                <w:rFonts w:cs="Arial"/>
                <w:b/>
                <w:bCs/>
                <w:sz w:val="20"/>
              </w:rPr>
              <w:t>11,70%</w:t>
            </w:r>
          </w:p>
        </w:tc>
        <w:tc>
          <w:tcPr>
            <w:tcW w:w="674" w:type="dxa"/>
            <w:tcBorders>
              <w:top w:val="nil"/>
              <w:left w:val="nil"/>
              <w:bottom w:val="single" w:sz="4" w:space="0" w:color="auto"/>
              <w:right w:val="single" w:sz="4" w:space="0" w:color="auto"/>
            </w:tcBorders>
            <w:shd w:val="clear" w:color="auto" w:fill="auto"/>
            <w:noWrap/>
            <w:vAlign w:val="bottom"/>
          </w:tcPr>
          <w:p w14:paraId="312CCDCF" w14:textId="77777777" w:rsidR="00A770D2" w:rsidRPr="00A966B6" w:rsidRDefault="0081735D" w:rsidP="00A770D2">
            <w:pPr>
              <w:spacing w:after="0" w:line="300" w:lineRule="exact"/>
              <w:jc w:val="center"/>
              <w:rPr>
                <w:rFonts w:cs="Arial"/>
                <w:sz w:val="20"/>
              </w:rPr>
            </w:pPr>
            <w:r w:rsidRPr="00A966B6">
              <w:rPr>
                <w:rFonts w:cs="Arial"/>
                <w:sz w:val="20"/>
              </w:rPr>
              <w:t>-12</w:t>
            </w:r>
          </w:p>
        </w:tc>
        <w:tc>
          <w:tcPr>
            <w:tcW w:w="1277" w:type="dxa"/>
            <w:tcBorders>
              <w:top w:val="nil"/>
              <w:left w:val="nil"/>
              <w:bottom w:val="single" w:sz="4" w:space="0" w:color="auto"/>
              <w:right w:val="single" w:sz="4" w:space="0" w:color="auto"/>
            </w:tcBorders>
            <w:shd w:val="clear" w:color="auto" w:fill="auto"/>
            <w:noWrap/>
            <w:vAlign w:val="bottom"/>
          </w:tcPr>
          <w:p w14:paraId="1EE0416A" w14:textId="77777777" w:rsidR="00A770D2" w:rsidRPr="00A966B6" w:rsidRDefault="009620ED" w:rsidP="00A770D2">
            <w:pPr>
              <w:spacing w:after="0" w:line="300" w:lineRule="exact"/>
              <w:jc w:val="center"/>
              <w:rPr>
                <w:rFonts w:cs="Arial"/>
                <w:sz w:val="20"/>
              </w:rPr>
            </w:pPr>
            <w:r w:rsidRPr="00A966B6">
              <w:rPr>
                <w:rFonts w:cs="Arial"/>
                <w:sz w:val="20"/>
              </w:rPr>
              <w:t>-35,29%</w:t>
            </w:r>
          </w:p>
        </w:tc>
      </w:tr>
      <w:tr w:rsidR="00A966B6" w:rsidRPr="00A966B6" w14:paraId="369D1DDB"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7F5E23BE" w14:textId="77777777" w:rsidR="00A770D2" w:rsidRPr="00A966B6" w:rsidRDefault="00A770D2" w:rsidP="00A770D2">
            <w:pPr>
              <w:spacing w:after="0" w:line="300" w:lineRule="exact"/>
              <w:rPr>
                <w:rFonts w:cs="Arial"/>
                <w:sz w:val="20"/>
              </w:rPr>
            </w:pPr>
            <w:r w:rsidRPr="00A966B6">
              <w:rPr>
                <w:rFonts w:cs="Arial"/>
                <w:sz w:val="20"/>
              </w:rPr>
              <w:t>30 až 34</w:t>
            </w:r>
          </w:p>
        </w:tc>
        <w:tc>
          <w:tcPr>
            <w:tcW w:w="887" w:type="dxa"/>
            <w:tcBorders>
              <w:top w:val="nil"/>
              <w:left w:val="nil"/>
              <w:bottom w:val="single" w:sz="4" w:space="0" w:color="auto"/>
              <w:right w:val="single" w:sz="4" w:space="0" w:color="auto"/>
            </w:tcBorders>
            <w:shd w:val="clear" w:color="auto" w:fill="auto"/>
            <w:noWrap/>
            <w:vAlign w:val="bottom"/>
          </w:tcPr>
          <w:p w14:paraId="598E268F" w14:textId="77777777" w:rsidR="00A770D2" w:rsidRPr="00A966B6" w:rsidRDefault="001C798E" w:rsidP="00A770D2">
            <w:pPr>
              <w:spacing w:after="0" w:line="300" w:lineRule="exact"/>
              <w:jc w:val="center"/>
              <w:rPr>
                <w:rFonts w:cs="Arial"/>
                <w:b/>
                <w:bCs/>
                <w:sz w:val="20"/>
              </w:rPr>
            </w:pPr>
            <w:r w:rsidRPr="00A966B6">
              <w:rPr>
                <w:rFonts w:cs="Arial"/>
                <w:b/>
                <w:bCs/>
                <w:sz w:val="20"/>
              </w:rPr>
              <w:t>33</w:t>
            </w:r>
          </w:p>
        </w:tc>
        <w:tc>
          <w:tcPr>
            <w:tcW w:w="1009" w:type="dxa"/>
            <w:tcBorders>
              <w:top w:val="nil"/>
              <w:left w:val="nil"/>
              <w:bottom w:val="single" w:sz="4" w:space="0" w:color="auto"/>
              <w:right w:val="single" w:sz="4" w:space="0" w:color="auto"/>
            </w:tcBorders>
            <w:shd w:val="clear" w:color="auto" w:fill="auto"/>
            <w:noWrap/>
            <w:vAlign w:val="bottom"/>
          </w:tcPr>
          <w:p w14:paraId="3D6A2393" w14:textId="77777777" w:rsidR="00A770D2" w:rsidRPr="00A966B6" w:rsidRDefault="001C798E" w:rsidP="00A770D2">
            <w:pPr>
              <w:spacing w:after="0" w:line="300" w:lineRule="exact"/>
              <w:jc w:val="center"/>
              <w:rPr>
                <w:rFonts w:cs="Arial"/>
                <w:b/>
                <w:bCs/>
                <w:sz w:val="20"/>
              </w:rPr>
            </w:pPr>
            <w:r w:rsidRPr="00A966B6">
              <w:rPr>
                <w:rFonts w:cs="Arial"/>
                <w:b/>
                <w:bCs/>
                <w:sz w:val="20"/>
              </w:rPr>
              <w:t>17,55%</w:t>
            </w:r>
          </w:p>
        </w:tc>
        <w:tc>
          <w:tcPr>
            <w:tcW w:w="674" w:type="dxa"/>
            <w:tcBorders>
              <w:top w:val="nil"/>
              <w:left w:val="nil"/>
              <w:bottom w:val="single" w:sz="4" w:space="0" w:color="auto"/>
              <w:right w:val="single" w:sz="4" w:space="0" w:color="auto"/>
            </w:tcBorders>
            <w:shd w:val="clear" w:color="auto" w:fill="auto"/>
            <w:noWrap/>
            <w:vAlign w:val="bottom"/>
          </w:tcPr>
          <w:p w14:paraId="2BE3A043" w14:textId="77777777" w:rsidR="00A770D2" w:rsidRPr="00A966B6" w:rsidRDefault="0081735D" w:rsidP="00A770D2">
            <w:pPr>
              <w:spacing w:after="0" w:line="300" w:lineRule="exact"/>
              <w:jc w:val="center"/>
              <w:rPr>
                <w:rFonts w:cs="Arial"/>
                <w:sz w:val="20"/>
              </w:rPr>
            </w:pPr>
            <w:r w:rsidRPr="00A966B6">
              <w:rPr>
                <w:rFonts w:cs="Arial"/>
                <w:sz w:val="20"/>
              </w:rPr>
              <w:t>-9</w:t>
            </w:r>
          </w:p>
        </w:tc>
        <w:tc>
          <w:tcPr>
            <w:tcW w:w="1277" w:type="dxa"/>
            <w:tcBorders>
              <w:top w:val="nil"/>
              <w:left w:val="nil"/>
              <w:bottom w:val="single" w:sz="4" w:space="0" w:color="auto"/>
              <w:right w:val="single" w:sz="4" w:space="0" w:color="auto"/>
            </w:tcBorders>
            <w:shd w:val="clear" w:color="auto" w:fill="auto"/>
            <w:noWrap/>
            <w:vAlign w:val="bottom"/>
          </w:tcPr>
          <w:p w14:paraId="5687E65B" w14:textId="77777777" w:rsidR="00A770D2" w:rsidRPr="00A966B6" w:rsidRDefault="009620ED" w:rsidP="00A770D2">
            <w:pPr>
              <w:spacing w:after="0" w:line="300" w:lineRule="exact"/>
              <w:jc w:val="center"/>
              <w:rPr>
                <w:rFonts w:cs="Arial"/>
                <w:sz w:val="20"/>
              </w:rPr>
            </w:pPr>
            <w:r w:rsidRPr="00A966B6">
              <w:rPr>
                <w:rFonts w:cs="Arial"/>
                <w:sz w:val="20"/>
              </w:rPr>
              <w:t>-21,43%</w:t>
            </w:r>
          </w:p>
        </w:tc>
      </w:tr>
      <w:tr w:rsidR="00A966B6" w:rsidRPr="00A966B6" w14:paraId="2F03DFC9"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448F2A82" w14:textId="77777777" w:rsidR="00A770D2" w:rsidRPr="00A966B6" w:rsidRDefault="00A770D2" w:rsidP="00A770D2">
            <w:pPr>
              <w:spacing w:after="0" w:line="300" w:lineRule="exact"/>
              <w:rPr>
                <w:rFonts w:cs="Arial"/>
                <w:sz w:val="20"/>
              </w:rPr>
            </w:pPr>
            <w:r w:rsidRPr="00A966B6">
              <w:rPr>
                <w:rFonts w:cs="Arial"/>
                <w:sz w:val="20"/>
              </w:rPr>
              <w:t>35 až 39</w:t>
            </w:r>
          </w:p>
        </w:tc>
        <w:tc>
          <w:tcPr>
            <w:tcW w:w="887" w:type="dxa"/>
            <w:tcBorders>
              <w:top w:val="nil"/>
              <w:left w:val="nil"/>
              <w:bottom w:val="single" w:sz="4" w:space="0" w:color="auto"/>
              <w:right w:val="single" w:sz="4" w:space="0" w:color="auto"/>
            </w:tcBorders>
            <w:shd w:val="clear" w:color="auto" w:fill="auto"/>
            <w:noWrap/>
            <w:vAlign w:val="bottom"/>
          </w:tcPr>
          <w:p w14:paraId="435E8FCC" w14:textId="77777777" w:rsidR="00A770D2" w:rsidRPr="00A966B6" w:rsidRDefault="001C798E" w:rsidP="00A770D2">
            <w:pPr>
              <w:spacing w:after="0" w:line="300" w:lineRule="exact"/>
              <w:jc w:val="center"/>
              <w:rPr>
                <w:rFonts w:cs="Arial"/>
                <w:b/>
                <w:bCs/>
                <w:sz w:val="20"/>
              </w:rPr>
            </w:pPr>
            <w:r w:rsidRPr="00A966B6">
              <w:rPr>
                <w:rFonts w:cs="Arial"/>
                <w:b/>
                <w:bCs/>
                <w:sz w:val="20"/>
              </w:rPr>
              <w:t>42</w:t>
            </w:r>
          </w:p>
        </w:tc>
        <w:tc>
          <w:tcPr>
            <w:tcW w:w="1009" w:type="dxa"/>
            <w:tcBorders>
              <w:top w:val="nil"/>
              <w:left w:val="nil"/>
              <w:bottom w:val="single" w:sz="4" w:space="0" w:color="auto"/>
              <w:right w:val="single" w:sz="4" w:space="0" w:color="auto"/>
            </w:tcBorders>
            <w:shd w:val="clear" w:color="auto" w:fill="auto"/>
            <w:noWrap/>
            <w:vAlign w:val="bottom"/>
          </w:tcPr>
          <w:p w14:paraId="1DBF6565" w14:textId="77777777" w:rsidR="00A770D2" w:rsidRPr="00A966B6" w:rsidRDefault="001C798E" w:rsidP="00A770D2">
            <w:pPr>
              <w:spacing w:after="0" w:line="300" w:lineRule="exact"/>
              <w:jc w:val="center"/>
              <w:rPr>
                <w:rFonts w:cs="Arial"/>
                <w:b/>
                <w:bCs/>
                <w:sz w:val="20"/>
              </w:rPr>
            </w:pPr>
            <w:r w:rsidRPr="00A966B6">
              <w:rPr>
                <w:rFonts w:cs="Arial"/>
                <w:b/>
                <w:bCs/>
                <w:sz w:val="20"/>
              </w:rPr>
              <w:t>22,34%</w:t>
            </w:r>
          </w:p>
        </w:tc>
        <w:tc>
          <w:tcPr>
            <w:tcW w:w="674" w:type="dxa"/>
            <w:tcBorders>
              <w:top w:val="nil"/>
              <w:left w:val="nil"/>
              <w:bottom w:val="single" w:sz="4" w:space="0" w:color="auto"/>
              <w:right w:val="single" w:sz="4" w:space="0" w:color="auto"/>
            </w:tcBorders>
            <w:shd w:val="clear" w:color="auto" w:fill="auto"/>
            <w:noWrap/>
            <w:vAlign w:val="bottom"/>
          </w:tcPr>
          <w:p w14:paraId="52A196D4" w14:textId="77777777" w:rsidR="00A770D2" w:rsidRPr="00A966B6" w:rsidRDefault="0081735D" w:rsidP="00A770D2">
            <w:pPr>
              <w:spacing w:after="0" w:line="300" w:lineRule="exact"/>
              <w:jc w:val="center"/>
              <w:rPr>
                <w:rFonts w:cs="Arial"/>
                <w:sz w:val="20"/>
              </w:rPr>
            </w:pPr>
            <w:r w:rsidRPr="00A966B6">
              <w:rPr>
                <w:rFonts w:cs="Arial"/>
                <w:sz w:val="20"/>
              </w:rPr>
              <w:t>0</w:t>
            </w:r>
          </w:p>
        </w:tc>
        <w:tc>
          <w:tcPr>
            <w:tcW w:w="1277" w:type="dxa"/>
            <w:tcBorders>
              <w:top w:val="nil"/>
              <w:left w:val="nil"/>
              <w:bottom w:val="single" w:sz="4" w:space="0" w:color="auto"/>
              <w:right w:val="single" w:sz="4" w:space="0" w:color="auto"/>
            </w:tcBorders>
            <w:shd w:val="clear" w:color="auto" w:fill="auto"/>
            <w:noWrap/>
            <w:vAlign w:val="bottom"/>
          </w:tcPr>
          <w:p w14:paraId="1C241344" w14:textId="77777777" w:rsidR="00A770D2" w:rsidRPr="00A966B6" w:rsidRDefault="009620ED" w:rsidP="00A770D2">
            <w:pPr>
              <w:spacing w:after="0" w:line="300" w:lineRule="exact"/>
              <w:jc w:val="center"/>
              <w:rPr>
                <w:rFonts w:cs="Arial"/>
                <w:sz w:val="20"/>
              </w:rPr>
            </w:pPr>
            <w:r w:rsidRPr="00A966B6">
              <w:rPr>
                <w:rFonts w:cs="Arial"/>
                <w:sz w:val="20"/>
              </w:rPr>
              <w:t>0,00%</w:t>
            </w:r>
          </w:p>
        </w:tc>
      </w:tr>
      <w:tr w:rsidR="00A966B6" w:rsidRPr="00A966B6" w14:paraId="34BE1441"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42ACF1D1" w14:textId="77777777" w:rsidR="00A770D2" w:rsidRPr="00A966B6" w:rsidRDefault="00A770D2" w:rsidP="00A770D2">
            <w:pPr>
              <w:spacing w:after="0" w:line="300" w:lineRule="exact"/>
              <w:rPr>
                <w:rFonts w:cs="Arial"/>
                <w:sz w:val="20"/>
              </w:rPr>
            </w:pPr>
            <w:r w:rsidRPr="00A966B6">
              <w:rPr>
                <w:rFonts w:cs="Arial"/>
                <w:sz w:val="20"/>
              </w:rPr>
              <w:t>40 až 44</w:t>
            </w:r>
          </w:p>
        </w:tc>
        <w:tc>
          <w:tcPr>
            <w:tcW w:w="887" w:type="dxa"/>
            <w:tcBorders>
              <w:top w:val="nil"/>
              <w:left w:val="nil"/>
              <w:bottom w:val="single" w:sz="4" w:space="0" w:color="auto"/>
              <w:right w:val="single" w:sz="4" w:space="0" w:color="auto"/>
            </w:tcBorders>
            <w:shd w:val="clear" w:color="auto" w:fill="auto"/>
            <w:noWrap/>
            <w:vAlign w:val="bottom"/>
          </w:tcPr>
          <w:p w14:paraId="7FC5C9EB" w14:textId="77777777" w:rsidR="00A770D2" w:rsidRPr="00A966B6" w:rsidRDefault="001C798E" w:rsidP="00A770D2">
            <w:pPr>
              <w:spacing w:after="0" w:line="300" w:lineRule="exact"/>
              <w:jc w:val="center"/>
              <w:rPr>
                <w:rFonts w:cs="Arial"/>
                <w:b/>
                <w:bCs/>
                <w:sz w:val="20"/>
              </w:rPr>
            </w:pPr>
            <w:r w:rsidRPr="00A966B6">
              <w:rPr>
                <w:rFonts w:cs="Arial"/>
                <w:b/>
                <w:bCs/>
                <w:sz w:val="20"/>
              </w:rPr>
              <w:t>37</w:t>
            </w:r>
          </w:p>
        </w:tc>
        <w:tc>
          <w:tcPr>
            <w:tcW w:w="1009" w:type="dxa"/>
            <w:tcBorders>
              <w:top w:val="nil"/>
              <w:left w:val="nil"/>
              <w:bottom w:val="single" w:sz="4" w:space="0" w:color="auto"/>
              <w:right w:val="single" w:sz="4" w:space="0" w:color="auto"/>
            </w:tcBorders>
            <w:shd w:val="clear" w:color="auto" w:fill="auto"/>
            <w:noWrap/>
            <w:vAlign w:val="bottom"/>
          </w:tcPr>
          <w:p w14:paraId="61E04B42" w14:textId="77777777" w:rsidR="00A770D2" w:rsidRPr="00A966B6" w:rsidRDefault="001C798E" w:rsidP="00A770D2">
            <w:pPr>
              <w:spacing w:after="0" w:line="300" w:lineRule="exact"/>
              <w:jc w:val="center"/>
              <w:rPr>
                <w:rFonts w:cs="Arial"/>
                <w:b/>
                <w:bCs/>
                <w:sz w:val="20"/>
              </w:rPr>
            </w:pPr>
            <w:r w:rsidRPr="00A966B6">
              <w:rPr>
                <w:rFonts w:cs="Arial"/>
                <w:b/>
                <w:bCs/>
                <w:sz w:val="20"/>
              </w:rPr>
              <w:t>19,68%</w:t>
            </w:r>
          </w:p>
        </w:tc>
        <w:tc>
          <w:tcPr>
            <w:tcW w:w="674" w:type="dxa"/>
            <w:tcBorders>
              <w:top w:val="nil"/>
              <w:left w:val="nil"/>
              <w:bottom w:val="single" w:sz="4" w:space="0" w:color="auto"/>
              <w:right w:val="single" w:sz="4" w:space="0" w:color="auto"/>
            </w:tcBorders>
            <w:shd w:val="clear" w:color="auto" w:fill="auto"/>
            <w:noWrap/>
            <w:vAlign w:val="bottom"/>
          </w:tcPr>
          <w:p w14:paraId="74B40BCC" w14:textId="77777777" w:rsidR="00A770D2" w:rsidRPr="00A966B6" w:rsidRDefault="0081735D" w:rsidP="00A770D2">
            <w:pPr>
              <w:spacing w:after="0" w:line="300" w:lineRule="exact"/>
              <w:jc w:val="center"/>
              <w:rPr>
                <w:rFonts w:cs="Arial"/>
                <w:sz w:val="20"/>
              </w:rPr>
            </w:pPr>
            <w:r w:rsidRPr="00A966B6">
              <w:rPr>
                <w:rFonts w:cs="Arial"/>
                <w:sz w:val="20"/>
              </w:rPr>
              <w:t>-9</w:t>
            </w:r>
          </w:p>
        </w:tc>
        <w:tc>
          <w:tcPr>
            <w:tcW w:w="1277" w:type="dxa"/>
            <w:tcBorders>
              <w:top w:val="nil"/>
              <w:left w:val="nil"/>
              <w:bottom w:val="single" w:sz="4" w:space="0" w:color="auto"/>
              <w:right w:val="single" w:sz="4" w:space="0" w:color="auto"/>
            </w:tcBorders>
            <w:shd w:val="clear" w:color="auto" w:fill="auto"/>
            <w:noWrap/>
            <w:vAlign w:val="bottom"/>
          </w:tcPr>
          <w:p w14:paraId="3A3595BC" w14:textId="77777777" w:rsidR="00A770D2" w:rsidRPr="00A966B6" w:rsidRDefault="009620ED" w:rsidP="00A770D2">
            <w:pPr>
              <w:spacing w:after="0" w:line="300" w:lineRule="exact"/>
              <w:jc w:val="center"/>
              <w:rPr>
                <w:rFonts w:cs="Arial"/>
                <w:sz w:val="20"/>
              </w:rPr>
            </w:pPr>
            <w:r w:rsidRPr="00A966B6">
              <w:rPr>
                <w:rFonts w:cs="Arial"/>
                <w:sz w:val="20"/>
              </w:rPr>
              <w:t>-19,56%</w:t>
            </w:r>
          </w:p>
        </w:tc>
      </w:tr>
      <w:tr w:rsidR="00A966B6" w:rsidRPr="00A966B6" w14:paraId="5485DDD5"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7B1BDBF9" w14:textId="77777777" w:rsidR="00A770D2" w:rsidRPr="00A966B6" w:rsidRDefault="00A770D2" w:rsidP="00A770D2">
            <w:pPr>
              <w:spacing w:after="0" w:line="300" w:lineRule="exact"/>
              <w:rPr>
                <w:rFonts w:cs="Arial"/>
                <w:sz w:val="20"/>
              </w:rPr>
            </w:pPr>
            <w:r w:rsidRPr="00A966B6">
              <w:rPr>
                <w:rFonts w:cs="Arial"/>
                <w:sz w:val="20"/>
              </w:rPr>
              <w:t>45 až 49</w:t>
            </w:r>
          </w:p>
        </w:tc>
        <w:tc>
          <w:tcPr>
            <w:tcW w:w="887" w:type="dxa"/>
            <w:tcBorders>
              <w:top w:val="nil"/>
              <w:left w:val="nil"/>
              <w:bottom w:val="single" w:sz="4" w:space="0" w:color="auto"/>
              <w:right w:val="single" w:sz="4" w:space="0" w:color="auto"/>
            </w:tcBorders>
            <w:shd w:val="clear" w:color="auto" w:fill="auto"/>
            <w:noWrap/>
            <w:vAlign w:val="bottom"/>
          </w:tcPr>
          <w:p w14:paraId="76D2E1E7" w14:textId="77777777" w:rsidR="00A770D2" w:rsidRPr="00A966B6" w:rsidRDefault="001C798E" w:rsidP="00A770D2">
            <w:pPr>
              <w:spacing w:after="0" w:line="300" w:lineRule="exact"/>
              <w:jc w:val="center"/>
              <w:rPr>
                <w:rFonts w:cs="Arial"/>
                <w:b/>
                <w:bCs/>
                <w:sz w:val="20"/>
              </w:rPr>
            </w:pPr>
            <w:r w:rsidRPr="00A966B6">
              <w:rPr>
                <w:rFonts w:cs="Arial"/>
                <w:b/>
                <w:bCs/>
                <w:sz w:val="20"/>
              </w:rPr>
              <w:t>17</w:t>
            </w:r>
          </w:p>
        </w:tc>
        <w:tc>
          <w:tcPr>
            <w:tcW w:w="1009" w:type="dxa"/>
            <w:tcBorders>
              <w:top w:val="nil"/>
              <w:left w:val="nil"/>
              <w:bottom w:val="single" w:sz="4" w:space="0" w:color="auto"/>
              <w:right w:val="single" w:sz="4" w:space="0" w:color="auto"/>
            </w:tcBorders>
            <w:shd w:val="clear" w:color="auto" w:fill="auto"/>
            <w:noWrap/>
            <w:vAlign w:val="bottom"/>
          </w:tcPr>
          <w:p w14:paraId="13316444" w14:textId="77777777" w:rsidR="00A770D2" w:rsidRPr="00A966B6" w:rsidRDefault="001C798E" w:rsidP="00A770D2">
            <w:pPr>
              <w:spacing w:after="0" w:line="300" w:lineRule="exact"/>
              <w:jc w:val="center"/>
              <w:rPr>
                <w:rFonts w:cs="Arial"/>
                <w:b/>
                <w:bCs/>
                <w:sz w:val="20"/>
              </w:rPr>
            </w:pPr>
            <w:r w:rsidRPr="00A966B6">
              <w:rPr>
                <w:rFonts w:cs="Arial"/>
                <w:b/>
                <w:bCs/>
                <w:sz w:val="20"/>
              </w:rPr>
              <w:t>9,04%</w:t>
            </w:r>
          </w:p>
        </w:tc>
        <w:tc>
          <w:tcPr>
            <w:tcW w:w="674" w:type="dxa"/>
            <w:tcBorders>
              <w:top w:val="nil"/>
              <w:left w:val="nil"/>
              <w:bottom w:val="single" w:sz="4" w:space="0" w:color="auto"/>
              <w:right w:val="single" w:sz="4" w:space="0" w:color="auto"/>
            </w:tcBorders>
            <w:shd w:val="clear" w:color="auto" w:fill="auto"/>
            <w:noWrap/>
            <w:vAlign w:val="bottom"/>
          </w:tcPr>
          <w:p w14:paraId="68E0363B" w14:textId="77777777" w:rsidR="00A770D2" w:rsidRPr="00A966B6" w:rsidRDefault="0081735D" w:rsidP="00A770D2">
            <w:pPr>
              <w:spacing w:after="0" w:line="300" w:lineRule="exact"/>
              <w:jc w:val="center"/>
              <w:rPr>
                <w:rFonts w:cs="Arial"/>
                <w:sz w:val="20"/>
              </w:rPr>
            </w:pPr>
            <w:r w:rsidRPr="00A966B6">
              <w:rPr>
                <w:rFonts w:cs="Arial"/>
                <w:sz w:val="20"/>
              </w:rPr>
              <w:t>-19</w:t>
            </w:r>
          </w:p>
        </w:tc>
        <w:tc>
          <w:tcPr>
            <w:tcW w:w="1277" w:type="dxa"/>
            <w:tcBorders>
              <w:top w:val="nil"/>
              <w:left w:val="nil"/>
              <w:bottom w:val="single" w:sz="4" w:space="0" w:color="auto"/>
              <w:right w:val="single" w:sz="4" w:space="0" w:color="auto"/>
            </w:tcBorders>
            <w:shd w:val="clear" w:color="auto" w:fill="auto"/>
            <w:noWrap/>
            <w:vAlign w:val="bottom"/>
          </w:tcPr>
          <w:p w14:paraId="7C8D51BE" w14:textId="77777777" w:rsidR="00A770D2" w:rsidRPr="00A966B6" w:rsidRDefault="009620ED" w:rsidP="00A770D2">
            <w:pPr>
              <w:spacing w:after="0" w:line="300" w:lineRule="exact"/>
              <w:jc w:val="center"/>
              <w:rPr>
                <w:rFonts w:cs="Arial"/>
                <w:sz w:val="20"/>
              </w:rPr>
            </w:pPr>
            <w:r w:rsidRPr="00A966B6">
              <w:rPr>
                <w:rFonts w:cs="Arial"/>
                <w:sz w:val="20"/>
              </w:rPr>
              <w:t>-52,78%</w:t>
            </w:r>
          </w:p>
        </w:tc>
      </w:tr>
      <w:tr w:rsidR="00A966B6" w:rsidRPr="00A966B6" w14:paraId="7B69D597"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2E9C1F4E" w14:textId="77777777" w:rsidR="00A770D2" w:rsidRPr="00A966B6" w:rsidRDefault="00A770D2" w:rsidP="00A770D2">
            <w:pPr>
              <w:spacing w:after="0" w:line="300" w:lineRule="exact"/>
              <w:rPr>
                <w:rFonts w:cs="Arial"/>
                <w:sz w:val="20"/>
              </w:rPr>
            </w:pPr>
            <w:r w:rsidRPr="00A966B6">
              <w:rPr>
                <w:rFonts w:cs="Arial"/>
                <w:sz w:val="20"/>
              </w:rPr>
              <w:t>50 až 99</w:t>
            </w:r>
          </w:p>
        </w:tc>
        <w:tc>
          <w:tcPr>
            <w:tcW w:w="887" w:type="dxa"/>
            <w:tcBorders>
              <w:top w:val="nil"/>
              <w:left w:val="nil"/>
              <w:bottom w:val="single" w:sz="4" w:space="0" w:color="auto"/>
              <w:right w:val="single" w:sz="4" w:space="0" w:color="auto"/>
            </w:tcBorders>
            <w:shd w:val="clear" w:color="auto" w:fill="auto"/>
            <w:noWrap/>
            <w:vAlign w:val="bottom"/>
          </w:tcPr>
          <w:p w14:paraId="3669AE88" w14:textId="77777777" w:rsidR="00A770D2" w:rsidRPr="00A966B6" w:rsidRDefault="001C798E" w:rsidP="00A770D2">
            <w:pPr>
              <w:spacing w:after="0" w:line="300" w:lineRule="exact"/>
              <w:jc w:val="center"/>
              <w:rPr>
                <w:rFonts w:cs="Arial"/>
                <w:b/>
                <w:bCs/>
                <w:sz w:val="20"/>
              </w:rPr>
            </w:pPr>
            <w:r w:rsidRPr="00A966B6">
              <w:rPr>
                <w:rFonts w:cs="Arial"/>
                <w:b/>
                <w:bCs/>
                <w:sz w:val="20"/>
              </w:rPr>
              <w:t>23</w:t>
            </w:r>
          </w:p>
        </w:tc>
        <w:tc>
          <w:tcPr>
            <w:tcW w:w="1009" w:type="dxa"/>
            <w:tcBorders>
              <w:top w:val="nil"/>
              <w:left w:val="nil"/>
              <w:bottom w:val="single" w:sz="4" w:space="0" w:color="auto"/>
              <w:right w:val="single" w:sz="4" w:space="0" w:color="auto"/>
            </w:tcBorders>
            <w:shd w:val="clear" w:color="auto" w:fill="auto"/>
            <w:noWrap/>
            <w:vAlign w:val="bottom"/>
          </w:tcPr>
          <w:p w14:paraId="0F595DEB" w14:textId="77777777" w:rsidR="00A770D2" w:rsidRPr="00A966B6" w:rsidRDefault="001C798E" w:rsidP="00080231">
            <w:pPr>
              <w:spacing w:after="0" w:line="300" w:lineRule="exact"/>
              <w:jc w:val="center"/>
              <w:rPr>
                <w:rFonts w:cs="Arial"/>
                <w:b/>
                <w:bCs/>
                <w:sz w:val="20"/>
              </w:rPr>
            </w:pPr>
            <w:r w:rsidRPr="00A966B6">
              <w:rPr>
                <w:rFonts w:cs="Arial"/>
                <w:b/>
                <w:bCs/>
                <w:sz w:val="20"/>
              </w:rPr>
              <w:t>12,2</w:t>
            </w:r>
            <w:r w:rsidR="00080231" w:rsidRPr="00A966B6">
              <w:rPr>
                <w:rFonts w:cs="Arial"/>
                <w:b/>
                <w:bCs/>
                <w:sz w:val="20"/>
              </w:rPr>
              <w:t>4</w:t>
            </w:r>
            <w:r w:rsidRPr="00A966B6">
              <w:rPr>
                <w:rFonts w:cs="Arial"/>
                <w:b/>
                <w:bCs/>
                <w:sz w:val="20"/>
              </w:rPr>
              <w:t>%</w:t>
            </w:r>
          </w:p>
        </w:tc>
        <w:tc>
          <w:tcPr>
            <w:tcW w:w="674" w:type="dxa"/>
            <w:tcBorders>
              <w:top w:val="nil"/>
              <w:left w:val="nil"/>
              <w:bottom w:val="single" w:sz="4" w:space="0" w:color="auto"/>
              <w:right w:val="single" w:sz="4" w:space="0" w:color="auto"/>
            </w:tcBorders>
            <w:shd w:val="clear" w:color="auto" w:fill="auto"/>
            <w:noWrap/>
            <w:vAlign w:val="bottom"/>
          </w:tcPr>
          <w:p w14:paraId="7274B0EC" w14:textId="77777777" w:rsidR="00A770D2" w:rsidRPr="00A966B6" w:rsidRDefault="0081735D" w:rsidP="00A770D2">
            <w:pPr>
              <w:spacing w:after="0" w:line="300" w:lineRule="exact"/>
              <w:jc w:val="center"/>
              <w:rPr>
                <w:rFonts w:cs="Arial"/>
                <w:sz w:val="20"/>
              </w:rPr>
            </w:pPr>
            <w:r w:rsidRPr="00A966B6">
              <w:rPr>
                <w:rFonts w:cs="Arial"/>
                <w:sz w:val="20"/>
              </w:rPr>
              <w:t>-16</w:t>
            </w:r>
          </w:p>
        </w:tc>
        <w:tc>
          <w:tcPr>
            <w:tcW w:w="1277" w:type="dxa"/>
            <w:tcBorders>
              <w:top w:val="nil"/>
              <w:left w:val="nil"/>
              <w:bottom w:val="single" w:sz="4" w:space="0" w:color="auto"/>
              <w:right w:val="single" w:sz="4" w:space="0" w:color="auto"/>
            </w:tcBorders>
            <w:shd w:val="clear" w:color="auto" w:fill="auto"/>
            <w:noWrap/>
            <w:vAlign w:val="bottom"/>
          </w:tcPr>
          <w:p w14:paraId="01B4428D" w14:textId="77777777" w:rsidR="00A770D2" w:rsidRPr="00A966B6" w:rsidRDefault="009620ED" w:rsidP="00A770D2">
            <w:pPr>
              <w:spacing w:after="0" w:line="300" w:lineRule="exact"/>
              <w:jc w:val="center"/>
              <w:rPr>
                <w:rFonts w:cs="Arial"/>
                <w:sz w:val="20"/>
              </w:rPr>
            </w:pPr>
            <w:r w:rsidRPr="00A966B6">
              <w:rPr>
                <w:rFonts w:cs="Arial"/>
                <w:sz w:val="20"/>
              </w:rPr>
              <w:t>-41,03%</w:t>
            </w:r>
          </w:p>
        </w:tc>
      </w:tr>
      <w:tr w:rsidR="00A966B6" w:rsidRPr="00A966B6" w14:paraId="6D10D3BC" w14:textId="77777777" w:rsidTr="00A770D2">
        <w:trPr>
          <w:trHeight w:val="300"/>
          <w:jc w:val="center"/>
        </w:trPr>
        <w:tc>
          <w:tcPr>
            <w:tcW w:w="5822" w:type="dxa"/>
            <w:tcBorders>
              <w:top w:val="nil"/>
              <w:left w:val="nil"/>
              <w:bottom w:val="single" w:sz="4" w:space="0" w:color="auto"/>
              <w:right w:val="nil"/>
            </w:tcBorders>
            <w:shd w:val="clear" w:color="auto" w:fill="auto"/>
            <w:noWrap/>
            <w:vAlign w:val="bottom"/>
            <w:hideMark/>
          </w:tcPr>
          <w:p w14:paraId="2633EECE" w14:textId="77777777" w:rsidR="00A770D2" w:rsidRPr="00A966B6" w:rsidRDefault="00A770D2" w:rsidP="00A770D2">
            <w:pPr>
              <w:spacing w:after="0" w:line="300" w:lineRule="exact"/>
              <w:rPr>
                <w:rFonts w:cs="Arial"/>
                <w:sz w:val="20"/>
              </w:rPr>
            </w:pPr>
            <w:r w:rsidRPr="00A966B6">
              <w:rPr>
                <w:rFonts w:cs="Arial"/>
                <w:sz w:val="20"/>
              </w:rPr>
              <w:t> </w:t>
            </w:r>
          </w:p>
        </w:tc>
        <w:tc>
          <w:tcPr>
            <w:tcW w:w="887" w:type="dxa"/>
            <w:tcBorders>
              <w:top w:val="nil"/>
              <w:left w:val="nil"/>
              <w:bottom w:val="single" w:sz="4" w:space="0" w:color="auto"/>
              <w:right w:val="nil"/>
            </w:tcBorders>
            <w:shd w:val="clear" w:color="auto" w:fill="auto"/>
            <w:noWrap/>
            <w:vAlign w:val="bottom"/>
            <w:hideMark/>
          </w:tcPr>
          <w:p w14:paraId="315D2370" w14:textId="77777777" w:rsidR="00A770D2" w:rsidRPr="00A966B6" w:rsidRDefault="00A770D2" w:rsidP="00A770D2">
            <w:pPr>
              <w:spacing w:after="0" w:line="300" w:lineRule="exact"/>
              <w:jc w:val="center"/>
              <w:rPr>
                <w:rFonts w:cs="Arial"/>
                <w:b/>
                <w:bCs/>
                <w:sz w:val="20"/>
              </w:rPr>
            </w:pPr>
            <w:r w:rsidRPr="00A966B6">
              <w:rPr>
                <w:rFonts w:cs="Arial"/>
                <w:b/>
                <w:bCs/>
                <w:sz w:val="20"/>
              </w:rPr>
              <w:t> </w:t>
            </w:r>
          </w:p>
        </w:tc>
        <w:tc>
          <w:tcPr>
            <w:tcW w:w="1009" w:type="dxa"/>
            <w:tcBorders>
              <w:top w:val="nil"/>
              <w:left w:val="nil"/>
              <w:bottom w:val="single" w:sz="4" w:space="0" w:color="auto"/>
              <w:right w:val="nil"/>
            </w:tcBorders>
            <w:shd w:val="clear" w:color="auto" w:fill="auto"/>
            <w:noWrap/>
            <w:vAlign w:val="bottom"/>
            <w:hideMark/>
          </w:tcPr>
          <w:p w14:paraId="5D2547EB" w14:textId="77777777" w:rsidR="00A770D2" w:rsidRPr="00A966B6" w:rsidRDefault="00A770D2" w:rsidP="00A770D2">
            <w:pPr>
              <w:spacing w:after="0" w:line="300" w:lineRule="exact"/>
              <w:jc w:val="center"/>
              <w:rPr>
                <w:rFonts w:cs="Arial"/>
                <w:b/>
                <w:bCs/>
                <w:sz w:val="20"/>
              </w:rPr>
            </w:pPr>
            <w:r w:rsidRPr="00A966B6">
              <w:rPr>
                <w:rFonts w:cs="Arial"/>
                <w:b/>
                <w:bCs/>
                <w:sz w:val="20"/>
              </w:rPr>
              <w:t> </w:t>
            </w:r>
          </w:p>
        </w:tc>
        <w:tc>
          <w:tcPr>
            <w:tcW w:w="674" w:type="dxa"/>
            <w:tcBorders>
              <w:top w:val="nil"/>
              <w:left w:val="nil"/>
              <w:bottom w:val="single" w:sz="4" w:space="0" w:color="auto"/>
              <w:right w:val="nil"/>
            </w:tcBorders>
            <w:shd w:val="clear" w:color="auto" w:fill="auto"/>
            <w:noWrap/>
            <w:vAlign w:val="bottom"/>
            <w:hideMark/>
          </w:tcPr>
          <w:p w14:paraId="7A44E01A" w14:textId="77777777" w:rsidR="00A770D2" w:rsidRPr="00A966B6" w:rsidRDefault="00A770D2" w:rsidP="00A770D2">
            <w:pPr>
              <w:spacing w:after="0" w:line="300" w:lineRule="exact"/>
              <w:jc w:val="center"/>
              <w:rPr>
                <w:rFonts w:cs="Arial"/>
                <w:sz w:val="20"/>
              </w:rPr>
            </w:pPr>
            <w:r w:rsidRPr="00A966B6">
              <w:rPr>
                <w:rFonts w:cs="Arial"/>
                <w:sz w:val="20"/>
              </w:rPr>
              <w:t> </w:t>
            </w:r>
          </w:p>
        </w:tc>
        <w:tc>
          <w:tcPr>
            <w:tcW w:w="1277" w:type="dxa"/>
            <w:tcBorders>
              <w:top w:val="nil"/>
              <w:left w:val="nil"/>
              <w:bottom w:val="single" w:sz="4" w:space="0" w:color="auto"/>
              <w:right w:val="nil"/>
            </w:tcBorders>
            <w:shd w:val="clear" w:color="auto" w:fill="auto"/>
            <w:noWrap/>
            <w:vAlign w:val="bottom"/>
            <w:hideMark/>
          </w:tcPr>
          <w:p w14:paraId="3F564E91" w14:textId="77777777" w:rsidR="00A770D2" w:rsidRPr="00A966B6" w:rsidRDefault="00A770D2" w:rsidP="00A770D2">
            <w:pPr>
              <w:spacing w:after="0" w:line="300" w:lineRule="exact"/>
              <w:jc w:val="center"/>
              <w:rPr>
                <w:rFonts w:cs="Arial"/>
                <w:sz w:val="20"/>
              </w:rPr>
            </w:pPr>
            <w:r w:rsidRPr="00A966B6">
              <w:rPr>
                <w:rFonts w:cs="Arial"/>
                <w:sz w:val="20"/>
              </w:rPr>
              <w:t> </w:t>
            </w:r>
          </w:p>
        </w:tc>
      </w:tr>
      <w:tr w:rsidR="00A966B6" w:rsidRPr="00A966B6" w14:paraId="7C36AEEA"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3997C2F1" w14:textId="77777777" w:rsidR="00A770D2" w:rsidRPr="00A966B6" w:rsidRDefault="00A770D2" w:rsidP="00A770D2">
            <w:pPr>
              <w:spacing w:after="0" w:line="300" w:lineRule="exact"/>
              <w:rPr>
                <w:rFonts w:cs="Arial"/>
                <w:b/>
                <w:bCs/>
                <w:sz w:val="20"/>
              </w:rPr>
            </w:pPr>
            <w:r w:rsidRPr="00A966B6">
              <w:rPr>
                <w:rFonts w:cs="Arial"/>
                <w:b/>
                <w:bCs/>
                <w:sz w:val="20"/>
              </w:rPr>
              <w:t>Podle délky služby/práce u sboru v době spáchání trestné činnosti</w:t>
            </w:r>
          </w:p>
        </w:tc>
        <w:tc>
          <w:tcPr>
            <w:tcW w:w="887" w:type="dxa"/>
            <w:tcBorders>
              <w:top w:val="nil"/>
              <w:left w:val="nil"/>
              <w:bottom w:val="single" w:sz="4" w:space="0" w:color="auto"/>
              <w:right w:val="single" w:sz="4" w:space="0" w:color="auto"/>
            </w:tcBorders>
            <w:shd w:val="clear" w:color="auto" w:fill="auto"/>
            <w:noWrap/>
            <w:vAlign w:val="bottom"/>
          </w:tcPr>
          <w:p w14:paraId="0E1E63E8" w14:textId="77777777" w:rsidR="00A770D2" w:rsidRPr="00A966B6" w:rsidRDefault="00A722ED" w:rsidP="00A770D2">
            <w:pPr>
              <w:spacing w:after="0" w:line="300" w:lineRule="exact"/>
              <w:jc w:val="center"/>
              <w:rPr>
                <w:rFonts w:cs="Arial"/>
                <w:b/>
                <w:bCs/>
                <w:sz w:val="20"/>
              </w:rPr>
            </w:pPr>
            <w:r w:rsidRPr="00A966B6">
              <w:rPr>
                <w:rFonts w:cs="Arial"/>
                <w:b/>
                <w:bCs/>
                <w:sz w:val="20"/>
              </w:rPr>
              <w:t>151</w:t>
            </w:r>
          </w:p>
        </w:tc>
        <w:tc>
          <w:tcPr>
            <w:tcW w:w="1009" w:type="dxa"/>
            <w:tcBorders>
              <w:top w:val="nil"/>
              <w:left w:val="nil"/>
              <w:bottom w:val="single" w:sz="4" w:space="0" w:color="auto"/>
              <w:right w:val="single" w:sz="4" w:space="0" w:color="auto"/>
            </w:tcBorders>
            <w:shd w:val="clear" w:color="auto" w:fill="auto"/>
            <w:noWrap/>
            <w:vAlign w:val="bottom"/>
          </w:tcPr>
          <w:p w14:paraId="3EEB7247" w14:textId="77777777" w:rsidR="00A770D2" w:rsidRPr="00A966B6" w:rsidRDefault="00A722ED" w:rsidP="00A770D2">
            <w:pPr>
              <w:spacing w:after="0" w:line="300" w:lineRule="exact"/>
              <w:jc w:val="center"/>
              <w:rPr>
                <w:rFonts w:cs="Arial"/>
                <w:b/>
                <w:bCs/>
                <w:sz w:val="20"/>
              </w:rPr>
            </w:pPr>
            <w:r w:rsidRPr="00A966B6">
              <w:rPr>
                <w:rFonts w:cs="Arial"/>
                <w:b/>
                <w:bCs/>
                <w:sz w:val="20"/>
              </w:rPr>
              <w:t>100%</w:t>
            </w:r>
          </w:p>
        </w:tc>
        <w:tc>
          <w:tcPr>
            <w:tcW w:w="674" w:type="dxa"/>
            <w:tcBorders>
              <w:top w:val="nil"/>
              <w:left w:val="nil"/>
              <w:bottom w:val="single" w:sz="4" w:space="0" w:color="auto"/>
              <w:right w:val="single" w:sz="4" w:space="0" w:color="auto"/>
            </w:tcBorders>
            <w:shd w:val="clear" w:color="auto" w:fill="auto"/>
            <w:noWrap/>
            <w:vAlign w:val="bottom"/>
          </w:tcPr>
          <w:p w14:paraId="698BF411" w14:textId="77777777" w:rsidR="00A770D2" w:rsidRPr="00A966B6" w:rsidRDefault="00536EAE" w:rsidP="00A770D2">
            <w:pPr>
              <w:spacing w:after="0" w:line="300" w:lineRule="exact"/>
              <w:jc w:val="center"/>
              <w:rPr>
                <w:rFonts w:cs="Arial"/>
                <w:sz w:val="20"/>
              </w:rPr>
            </w:pPr>
            <w:r w:rsidRPr="00A966B6">
              <w:rPr>
                <w:rFonts w:cs="Arial"/>
                <w:sz w:val="20"/>
              </w:rPr>
              <w:t>-55</w:t>
            </w:r>
          </w:p>
        </w:tc>
        <w:tc>
          <w:tcPr>
            <w:tcW w:w="1277" w:type="dxa"/>
            <w:tcBorders>
              <w:top w:val="nil"/>
              <w:left w:val="nil"/>
              <w:bottom w:val="single" w:sz="4" w:space="0" w:color="auto"/>
              <w:right w:val="single" w:sz="4" w:space="0" w:color="auto"/>
            </w:tcBorders>
            <w:shd w:val="clear" w:color="auto" w:fill="auto"/>
            <w:noWrap/>
            <w:vAlign w:val="bottom"/>
          </w:tcPr>
          <w:p w14:paraId="391F2E0E" w14:textId="77777777" w:rsidR="00A770D2" w:rsidRPr="00A966B6" w:rsidRDefault="007F1EF6" w:rsidP="00A770D2">
            <w:pPr>
              <w:spacing w:after="0" w:line="300" w:lineRule="exact"/>
              <w:jc w:val="center"/>
              <w:rPr>
                <w:rFonts w:cs="Arial"/>
                <w:sz w:val="20"/>
              </w:rPr>
            </w:pPr>
            <w:r w:rsidRPr="00A966B6">
              <w:rPr>
                <w:rFonts w:cs="Arial"/>
                <w:sz w:val="20"/>
              </w:rPr>
              <w:t>-26,70%</w:t>
            </w:r>
          </w:p>
        </w:tc>
      </w:tr>
      <w:tr w:rsidR="00A966B6" w:rsidRPr="00A966B6" w14:paraId="5948D27C"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58E1536C" w14:textId="77777777" w:rsidR="00A770D2" w:rsidRPr="00A966B6" w:rsidRDefault="00A770D2" w:rsidP="00A770D2">
            <w:pPr>
              <w:spacing w:after="0" w:line="300" w:lineRule="exact"/>
              <w:rPr>
                <w:rFonts w:cs="Arial"/>
                <w:sz w:val="20"/>
              </w:rPr>
            </w:pPr>
            <w:r w:rsidRPr="00A966B6">
              <w:rPr>
                <w:rFonts w:cs="Arial"/>
                <w:sz w:val="20"/>
              </w:rPr>
              <w:t>00 až 04</w:t>
            </w:r>
          </w:p>
        </w:tc>
        <w:tc>
          <w:tcPr>
            <w:tcW w:w="887" w:type="dxa"/>
            <w:tcBorders>
              <w:top w:val="nil"/>
              <w:left w:val="nil"/>
              <w:bottom w:val="single" w:sz="4" w:space="0" w:color="auto"/>
              <w:right w:val="single" w:sz="4" w:space="0" w:color="auto"/>
            </w:tcBorders>
            <w:shd w:val="clear" w:color="auto" w:fill="auto"/>
            <w:noWrap/>
            <w:vAlign w:val="bottom"/>
          </w:tcPr>
          <w:p w14:paraId="574A3F5C" w14:textId="77777777" w:rsidR="00A770D2" w:rsidRPr="00A966B6" w:rsidRDefault="00A722ED" w:rsidP="00A770D2">
            <w:pPr>
              <w:spacing w:after="0" w:line="300" w:lineRule="exact"/>
              <w:jc w:val="center"/>
              <w:rPr>
                <w:rFonts w:cs="Arial"/>
                <w:b/>
                <w:bCs/>
                <w:sz w:val="20"/>
              </w:rPr>
            </w:pPr>
            <w:r w:rsidRPr="00A966B6">
              <w:rPr>
                <w:rFonts w:cs="Arial"/>
                <w:b/>
                <w:bCs/>
                <w:sz w:val="20"/>
              </w:rPr>
              <w:t>23</w:t>
            </w:r>
          </w:p>
        </w:tc>
        <w:tc>
          <w:tcPr>
            <w:tcW w:w="1009" w:type="dxa"/>
            <w:tcBorders>
              <w:top w:val="nil"/>
              <w:left w:val="nil"/>
              <w:bottom w:val="single" w:sz="4" w:space="0" w:color="auto"/>
              <w:right w:val="single" w:sz="4" w:space="0" w:color="auto"/>
            </w:tcBorders>
            <w:shd w:val="clear" w:color="auto" w:fill="auto"/>
            <w:noWrap/>
            <w:vAlign w:val="bottom"/>
          </w:tcPr>
          <w:p w14:paraId="566D8031" w14:textId="77777777" w:rsidR="00A770D2" w:rsidRPr="00A966B6" w:rsidRDefault="00A722ED" w:rsidP="00A770D2">
            <w:pPr>
              <w:spacing w:after="0" w:line="300" w:lineRule="exact"/>
              <w:jc w:val="center"/>
              <w:rPr>
                <w:rFonts w:cs="Arial"/>
                <w:b/>
                <w:bCs/>
                <w:sz w:val="20"/>
              </w:rPr>
            </w:pPr>
            <w:r w:rsidRPr="00A966B6">
              <w:rPr>
                <w:rFonts w:cs="Arial"/>
                <w:b/>
                <w:bCs/>
                <w:sz w:val="20"/>
              </w:rPr>
              <w:t>15,23%</w:t>
            </w:r>
          </w:p>
        </w:tc>
        <w:tc>
          <w:tcPr>
            <w:tcW w:w="674" w:type="dxa"/>
            <w:tcBorders>
              <w:top w:val="nil"/>
              <w:left w:val="nil"/>
              <w:bottom w:val="single" w:sz="4" w:space="0" w:color="auto"/>
              <w:right w:val="single" w:sz="4" w:space="0" w:color="auto"/>
            </w:tcBorders>
            <w:shd w:val="clear" w:color="auto" w:fill="auto"/>
            <w:noWrap/>
            <w:vAlign w:val="bottom"/>
          </w:tcPr>
          <w:p w14:paraId="41DBB47D" w14:textId="77777777" w:rsidR="00A770D2" w:rsidRPr="00A966B6" w:rsidRDefault="00536EAE" w:rsidP="00A770D2">
            <w:pPr>
              <w:spacing w:after="0" w:line="300" w:lineRule="exact"/>
              <w:jc w:val="center"/>
              <w:rPr>
                <w:rFonts w:cs="Arial"/>
                <w:sz w:val="20"/>
              </w:rPr>
            </w:pPr>
            <w:r w:rsidRPr="00A966B6">
              <w:rPr>
                <w:rFonts w:cs="Arial"/>
                <w:sz w:val="20"/>
              </w:rPr>
              <w:t>-10</w:t>
            </w:r>
          </w:p>
        </w:tc>
        <w:tc>
          <w:tcPr>
            <w:tcW w:w="1277" w:type="dxa"/>
            <w:tcBorders>
              <w:top w:val="nil"/>
              <w:left w:val="nil"/>
              <w:bottom w:val="single" w:sz="4" w:space="0" w:color="auto"/>
              <w:right w:val="single" w:sz="4" w:space="0" w:color="auto"/>
            </w:tcBorders>
            <w:shd w:val="clear" w:color="auto" w:fill="auto"/>
            <w:noWrap/>
            <w:vAlign w:val="bottom"/>
          </w:tcPr>
          <w:p w14:paraId="24A7ED56" w14:textId="77777777" w:rsidR="00A770D2" w:rsidRPr="00A966B6" w:rsidRDefault="007F1EF6" w:rsidP="00A770D2">
            <w:pPr>
              <w:spacing w:after="0" w:line="300" w:lineRule="exact"/>
              <w:jc w:val="center"/>
              <w:rPr>
                <w:rFonts w:cs="Arial"/>
                <w:sz w:val="20"/>
              </w:rPr>
            </w:pPr>
            <w:r w:rsidRPr="00A966B6">
              <w:rPr>
                <w:rFonts w:cs="Arial"/>
                <w:sz w:val="20"/>
              </w:rPr>
              <w:t>-30,30%</w:t>
            </w:r>
          </w:p>
        </w:tc>
      </w:tr>
      <w:tr w:rsidR="00A966B6" w:rsidRPr="00A966B6" w14:paraId="72E5F8E1"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59BFBB82" w14:textId="77777777" w:rsidR="00A770D2" w:rsidRPr="00A966B6" w:rsidRDefault="00A770D2" w:rsidP="00A770D2">
            <w:pPr>
              <w:spacing w:after="0" w:line="300" w:lineRule="exact"/>
              <w:rPr>
                <w:rFonts w:cs="Arial"/>
                <w:sz w:val="20"/>
              </w:rPr>
            </w:pPr>
            <w:r w:rsidRPr="00A966B6">
              <w:rPr>
                <w:rFonts w:cs="Arial"/>
                <w:sz w:val="20"/>
              </w:rPr>
              <w:t>05 až 09</w:t>
            </w:r>
          </w:p>
        </w:tc>
        <w:tc>
          <w:tcPr>
            <w:tcW w:w="887" w:type="dxa"/>
            <w:tcBorders>
              <w:top w:val="nil"/>
              <w:left w:val="nil"/>
              <w:bottom w:val="single" w:sz="4" w:space="0" w:color="auto"/>
              <w:right w:val="single" w:sz="4" w:space="0" w:color="auto"/>
            </w:tcBorders>
            <w:shd w:val="clear" w:color="auto" w:fill="auto"/>
            <w:noWrap/>
            <w:vAlign w:val="bottom"/>
          </w:tcPr>
          <w:p w14:paraId="2B89499D" w14:textId="77777777" w:rsidR="00A770D2" w:rsidRPr="00A966B6" w:rsidRDefault="00A722ED" w:rsidP="00A770D2">
            <w:pPr>
              <w:spacing w:after="0" w:line="300" w:lineRule="exact"/>
              <w:jc w:val="center"/>
              <w:rPr>
                <w:rFonts w:cs="Arial"/>
                <w:b/>
                <w:bCs/>
                <w:sz w:val="20"/>
              </w:rPr>
            </w:pPr>
            <w:r w:rsidRPr="00A966B6">
              <w:rPr>
                <w:rFonts w:cs="Arial"/>
                <w:b/>
                <w:bCs/>
                <w:sz w:val="20"/>
              </w:rPr>
              <w:t>26</w:t>
            </w:r>
          </w:p>
        </w:tc>
        <w:tc>
          <w:tcPr>
            <w:tcW w:w="1009" w:type="dxa"/>
            <w:tcBorders>
              <w:top w:val="nil"/>
              <w:left w:val="nil"/>
              <w:bottom w:val="single" w:sz="4" w:space="0" w:color="auto"/>
              <w:right w:val="single" w:sz="4" w:space="0" w:color="auto"/>
            </w:tcBorders>
            <w:shd w:val="clear" w:color="auto" w:fill="auto"/>
            <w:noWrap/>
            <w:vAlign w:val="bottom"/>
          </w:tcPr>
          <w:p w14:paraId="4CD9C847" w14:textId="77777777" w:rsidR="00A770D2" w:rsidRPr="00A966B6" w:rsidRDefault="00A722ED" w:rsidP="00A770D2">
            <w:pPr>
              <w:spacing w:after="0" w:line="300" w:lineRule="exact"/>
              <w:jc w:val="center"/>
              <w:rPr>
                <w:rFonts w:cs="Arial"/>
                <w:b/>
                <w:bCs/>
                <w:sz w:val="20"/>
              </w:rPr>
            </w:pPr>
            <w:r w:rsidRPr="00A966B6">
              <w:rPr>
                <w:rFonts w:cs="Arial"/>
                <w:b/>
                <w:bCs/>
                <w:sz w:val="20"/>
              </w:rPr>
              <w:t>17,23%</w:t>
            </w:r>
          </w:p>
        </w:tc>
        <w:tc>
          <w:tcPr>
            <w:tcW w:w="674" w:type="dxa"/>
            <w:tcBorders>
              <w:top w:val="nil"/>
              <w:left w:val="nil"/>
              <w:bottom w:val="single" w:sz="4" w:space="0" w:color="auto"/>
              <w:right w:val="single" w:sz="4" w:space="0" w:color="auto"/>
            </w:tcBorders>
            <w:shd w:val="clear" w:color="auto" w:fill="auto"/>
            <w:noWrap/>
            <w:vAlign w:val="bottom"/>
          </w:tcPr>
          <w:p w14:paraId="59E52721" w14:textId="77777777" w:rsidR="00A770D2" w:rsidRPr="00A966B6" w:rsidRDefault="00536EAE" w:rsidP="00A770D2">
            <w:pPr>
              <w:spacing w:after="0" w:line="300" w:lineRule="exact"/>
              <w:jc w:val="center"/>
              <w:rPr>
                <w:rFonts w:cs="Arial"/>
                <w:sz w:val="20"/>
              </w:rPr>
            </w:pPr>
            <w:r w:rsidRPr="00A966B6">
              <w:rPr>
                <w:rFonts w:cs="Arial"/>
                <w:sz w:val="20"/>
              </w:rPr>
              <w:t>-22</w:t>
            </w:r>
          </w:p>
        </w:tc>
        <w:tc>
          <w:tcPr>
            <w:tcW w:w="1277" w:type="dxa"/>
            <w:tcBorders>
              <w:top w:val="nil"/>
              <w:left w:val="nil"/>
              <w:bottom w:val="single" w:sz="4" w:space="0" w:color="auto"/>
              <w:right w:val="single" w:sz="4" w:space="0" w:color="auto"/>
            </w:tcBorders>
            <w:shd w:val="clear" w:color="auto" w:fill="auto"/>
            <w:noWrap/>
            <w:vAlign w:val="bottom"/>
          </w:tcPr>
          <w:p w14:paraId="471B06F0" w14:textId="77777777" w:rsidR="00A770D2" w:rsidRPr="00A966B6" w:rsidRDefault="007F1EF6" w:rsidP="00A770D2">
            <w:pPr>
              <w:spacing w:after="0" w:line="300" w:lineRule="exact"/>
              <w:jc w:val="center"/>
              <w:rPr>
                <w:rFonts w:cs="Arial"/>
                <w:sz w:val="20"/>
              </w:rPr>
            </w:pPr>
            <w:r w:rsidRPr="00A966B6">
              <w:rPr>
                <w:rFonts w:cs="Arial"/>
                <w:sz w:val="20"/>
              </w:rPr>
              <w:t>-45,83%</w:t>
            </w:r>
          </w:p>
        </w:tc>
      </w:tr>
      <w:tr w:rsidR="00A966B6" w:rsidRPr="00A966B6" w14:paraId="5B0ECD5B" w14:textId="77777777" w:rsidTr="00CB57EE">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7B89CBD1" w14:textId="77777777" w:rsidR="00A770D2" w:rsidRPr="00A966B6" w:rsidRDefault="00A770D2" w:rsidP="00A770D2">
            <w:pPr>
              <w:spacing w:after="0" w:line="300" w:lineRule="exact"/>
              <w:rPr>
                <w:rFonts w:cs="Arial"/>
                <w:sz w:val="20"/>
              </w:rPr>
            </w:pPr>
            <w:r w:rsidRPr="00A966B6">
              <w:rPr>
                <w:rFonts w:cs="Arial"/>
                <w:sz w:val="20"/>
              </w:rPr>
              <w:t>10 až 14</w:t>
            </w:r>
          </w:p>
        </w:tc>
        <w:tc>
          <w:tcPr>
            <w:tcW w:w="887" w:type="dxa"/>
            <w:tcBorders>
              <w:top w:val="nil"/>
              <w:left w:val="nil"/>
              <w:bottom w:val="single" w:sz="4" w:space="0" w:color="auto"/>
              <w:right w:val="single" w:sz="4" w:space="0" w:color="auto"/>
            </w:tcBorders>
            <w:shd w:val="clear" w:color="auto" w:fill="auto"/>
            <w:noWrap/>
            <w:vAlign w:val="bottom"/>
          </w:tcPr>
          <w:p w14:paraId="705D0955" w14:textId="77777777" w:rsidR="00A770D2" w:rsidRPr="00A966B6" w:rsidRDefault="00A722ED" w:rsidP="00A770D2">
            <w:pPr>
              <w:spacing w:after="0" w:line="300" w:lineRule="exact"/>
              <w:jc w:val="center"/>
              <w:rPr>
                <w:rFonts w:cs="Arial"/>
                <w:b/>
                <w:bCs/>
                <w:sz w:val="20"/>
              </w:rPr>
            </w:pPr>
            <w:r w:rsidRPr="00A966B6">
              <w:rPr>
                <w:rFonts w:cs="Arial"/>
                <w:b/>
                <w:bCs/>
                <w:sz w:val="20"/>
              </w:rPr>
              <w:t>36</w:t>
            </w:r>
          </w:p>
        </w:tc>
        <w:tc>
          <w:tcPr>
            <w:tcW w:w="1009" w:type="dxa"/>
            <w:tcBorders>
              <w:top w:val="nil"/>
              <w:left w:val="nil"/>
              <w:bottom w:val="single" w:sz="4" w:space="0" w:color="auto"/>
              <w:right w:val="single" w:sz="4" w:space="0" w:color="auto"/>
            </w:tcBorders>
            <w:shd w:val="clear" w:color="auto" w:fill="auto"/>
            <w:noWrap/>
            <w:vAlign w:val="bottom"/>
          </w:tcPr>
          <w:p w14:paraId="3C3BFE2F" w14:textId="77777777" w:rsidR="00A770D2" w:rsidRPr="00A966B6" w:rsidRDefault="00A722ED" w:rsidP="00A770D2">
            <w:pPr>
              <w:spacing w:after="0" w:line="300" w:lineRule="exact"/>
              <w:jc w:val="center"/>
              <w:rPr>
                <w:rFonts w:cs="Arial"/>
                <w:b/>
                <w:bCs/>
                <w:sz w:val="20"/>
              </w:rPr>
            </w:pPr>
            <w:r w:rsidRPr="00A966B6">
              <w:rPr>
                <w:rFonts w:cs="Arial"/>
                <w:b/>
                <w:bCs/>
                <w:sz w:val="20"/>
              </w:rPr>
              <w:t>23,84%</w:t>
            </w:r>
          </w:p>
        </w:tc>
        <w:tc>
          <w:tcPr>
            <w:tcW w:w="674" w:type="dxa"/>
            <w:tcBorders>
              <w:top w:val="nil"/>
              <w:left w:val="nil"/>
              <w:bottom w:val="single" w:sz="4" w:space="0" w:color="auto"/>
              <w:right w:val="single" w:sz="4" w:space="0" w:color="auto"/>
            </w:tcBorders>
            <w:shd w:val="clear" w:color="auto" w:fill="auto"/>
            <w:noWrap/>
            <w:vAlign w:val="bottom"/>
          </w:tcPr>
          <w:p w14:paraId="64933819" w14:textId="77777777" w:rsidR="00A770D2" w:rsidRPr="00A966B6" w:rsidRDefault="00536EAE" w:rsidP="00A770D2">
            <w:pPr>
              <w:spacing w:after="0" w:line="300" w:lineRule="exact"/>
              <w:jc w:val="center"/>
              <w:rPr>
                <w:rFonts w:cs="Arial"/>
                <w:sz w:val="20"/>
              </w:rPr>
            </w:pPr>
            <w:r w:rsidRPr="00A966B6">
              <w:rPr>
                <w:rFonts w:cs="Arial"/>
                <w:sz w:val="20"/>
              </w:rPr>
              <w:t>+2</w:t>
            </w:r>
          </w:p>
        </w:tc>
        <w:tc>
          <w:tcPr>
            <w:tcW w:w="1277" w:type="dxa"/>
            <w:tcBorders>
              <w:top w:val="nil"/>
              <w:left w:val="nil"/>
              <w:bottom w:val="single" w:sz="4" w:space="0" w:color="auto"/>
              <w:right w:val="single" w:sz="4" w:space="0" w:color="auto"/>
            </w:tcBorders>
            <w:shd w:val="clear" w:color="auto" w:fill="auto"/>
            <w:noWrap/>
            <w:vAlign w:val="bottom"/>
          </w:tcPr>
          <w:p w14:paraId="7EDC0DEA" w14:textId="77777777" w:rsidR="00A770D2" w:rsidRPr="00A966B6" w:rsidRDefault="00036C74" w:rsidP="00A770D2">
            <w:pPr>
              <w:spacing w:after="0" w:line="300" w:lineRule="exact"/>
              <w:jc w:val="center"/>
              <w:rPr>
                <w:rFonts w:cs="Arial"/>
                <w:sz w:val="20"/>
              </w:rPr>
            </w:pPr>
            <w:r w:rsidRPr="00A966B6">
              <w:rPr>
                <w:rFonts w:cs="Arial"/>
                <w:sz w:val="20"/>
              </w:rPr>
              <w:t>+5,88%</w:t>
            </w:r>
          </w:p>
        </w:tc>
      </w:tr>
      <w:tr w:rsidR="00A966B6" w:rsidRPr="00A966B6" w14:paraId="246C70FD" w14:textId="77777777" w:rsidTr="00CB57EE">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905EE" w14:textId="77777777" w:rsidR="00A770D2" w:rsidRPr="00A966B6" w:rsidRDefault="00A770D2" w:rsidP="00A770D2">
            <w:pPr>
              <w:spacing w:after="0" w:line="300" w:lineRule="exact"/>
              <w:rPr>
                <w:rFonts w:cs="Arial"/>
                <w:sz w:val="20"/>
              </w:rPr>
            </w:pPr>
            <w:r w:rsidRPr="00A966B6">
              <w:rPr>
                <w:rFonts w:cs="Arial"/>
                <w:sz w:val="20"/>
              </w:rPr>
              <w:lastRenderedPageBreak/>
              <w:t>15 až 19</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43956E8D" w14:textId="77777777" w:rsidR="00A770D2" w:rsidRPr="00A966B6" w:rsidRDefault="00A722ED" w:rsidP="00A770D2">
            <w:pPr>
              <w:spacing w:after="0" w:line="300" w:lineRule="exact"/>
              <w:jc w:val="center"/>
              <w:rPr>
                <w:rFonts w:cs="Arial"/>
                <w:b/>
                <w:bCs/>
                <w:sz w:val="20"/>
              </w:rPr>
            </w:pPr>
            <w:r w:rsidRPr="00A966B6">
              <w:rPr>
                <w:rFonts w:cs="Arial"/>
                <w:b/>
                <w:bCs/>
                <w:sz w:val="20"/>
              </w:rPr>
              <w:t>36</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6BEF110" w14:textId="77777777" w:rsidR="00A770D2" w:rsidRPr="00A966B6" w:rsidRDefault="00A722ED" w:rsidP="00A770D2">
            <w:pPr>
              <w:spacing w:after="0" w:line="300" w:lineRule="exact"/>
              <w:jc w:val="center"/>
              <w:rPr>
                <w:rFonts w:cs="Arial"/>
                <w:b/>
                <w:bCs/>
                <w:sz w:val="20"/>
              </w:rPr>
            </w:pPr>
            <w:r w:rsidRPr="00A966B6">
              <w:rPr>
                <w:rFonts w:cs="Arial"/>
                <w:b/>
                <w:bCs/>
                <w:sz w:val="20"/>
              </w:rPr>
              <w:t>23,84%</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7632C47B" w14:textId="77777777" w:rsidR="00A770D2" w:rsidRPr="00A966B6" w:rsidRDefault="00536EAE" w:rsidP="00A770D2">
            <w:pPr>
              <w:spacing w:after="0" w:line="300" w:lineRule="exact"/>
              <w:jc w:val="center"/>
              <w:rPr>
                <w:rFonts w:cs="Arial"/>
                <w:sz w:val="20"/>
              </w:rPr>
            </w:pPr>
            <w:r w:rsidRPr="00A966B6">
              <w:rPr>
                <w:rFonts w:cs="Arial"/>
                <w:sz w:val="20"/>
              </w:rPr>
              <w:t>-2</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14A8A270" w14:textId="77777777" w:rsidR="00A770D2" w:rsidRPr="00A966B6" w:rsidRDefault="007A4BFC" w:rsidP="00A770D2">
            <w:pPr>
              <w:spacing w:after="0" w:line="300" w:lineRule="exact"/>
              <w:jc w:val="center"/>
              <w:rPr>
                <w:rFonts w:cs="Arial"/>
                <w:sz w:val="20"/>
              </w:rPr>
            </w:pPr>
            <w:r w:rsidRPr="00A966B6">
              <w:rPr>
                <w:rFonts w:cs="Arial"/>
                <w:sz w:val="20"/>
              </w:rPr>
              <w:t>-5,26%</w:t>
            </w:r>
          </w:p>
        </w:tc>
      </w:tr>
      <w:tr w:rsidR="00A966B6" w:rsidRPr="00A966B6" w14:paraId="1E8C99DA" w14:textId="77777777" w:rsidTr="00CB57EE">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76CA1" w14:textId="77777777" w:rsidR="00A770D2" w:rsidRPr="00A966B6" w:rsidRDefault="00A770D2" w:rsidP="00A770D2">
            <w:pPr>
              <w:spacing w:after="0" w:line="300" w:lineRule="exact"/>
              <w:rPr>
                <w:rFonts w:cs="Arial"/>
                <w:sz w:val="20"/>
              </w:rPr>
            </w:pPr>
            <w:r w:rsidRPr="00A966B6">
              <w:rPr>
                <w:rFonts w:cs="Arial"/>
                <w:sz w:val="20"/>
              </w:rPr>
              <w:t>20 až 24</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3C4F4AB5" w14:textId="77777777" w:rsidR="00A770D2" w:rsidRPr="00A966B6" w:rsidRDefault="00A722ED" w:rsidP="00A770D2">
            <w:pPr>
              <w:spacing w:after="0" w:line="300" w:lineRule="exact"/>
              <w:jc w:val="center"/>
              <w:rPr>
                <w:rFonts w:cs="Arial"/>
                <w:b/>
                <w:bCs/>
                <w:sz w:val="20"/>
              </w:rPr>
            </w:pPr>
            <w:r w:rsidRPr="00A966B6">
              <w:rPr>
                <w:rFonts w:cs="Arial"/>
                <w:b/>
                <w:bCs/>
                <w:sz w:val="20"/>
              </w:rPr>
              <w:t>15</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48F1E316" w14:textId="77777777" w:rsidR="00A770D2" w:rsidRPr="00A966B6" w:rsidRDefault="00A722ED" w:rsidP="00A770D2">
            <w:pPr>
              <w:spacing w:after="0" w:line="300" w:lineRule="exact"/>
              <w:jc w:val="center"/>
              <w:rPr>
                <w:rFonts w:cs="Arial"/>
                <w:b/>
                <w:bCs/>
                <w:sz w:val="20"/>
              </w:rPr>
            </w:pPr>
            <w:r w:rsidRPr="00A966B6">
              <w:rPr>
                <w:rFonts w:cs="Arial"/>
                <w:b/>
                <w:bCs/>
                <w:sz w:val="20"/>
              </w:rPr>
              <w:t>9,93%</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02A19AF6" w14:textId="77777777" w:rsidR="00A770D2" w:rsidRPr="00A966B6" w:rsidRDefault="00536EAE" w:rsidP="00A770D2">
            <w:pPr>
              <w:spacing w:after="0" w:line="300" w:lineRule="exact"/>
              <w:jc w:val="center"/>
              <w:rPr>
                <w:rFonts w:cs="Arial"/>
                <w:sz w:val="20"/>
              </w:rPr>
            </w:pPr>
            <w:r w:rsidRPr="00A966B6">
              <w:rPr>
                <w:rFonts w:cs="Arial"/>
                <w:sz w:val="20"/>
              </w:rPr>
              <w:t>-19</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0CC28C4A" w14:textId="77777777" w:rsidR="00A770D2" w:rsidRPr="00A966B6" w:rsidRDefault="007A4BFC" w:rsidP="00A770D2">
            <w:pPr>
              <w:spacing w:after="0" w:line="300" w:lineRule="exact"/>
              <w:jc w:val="center"/>
              <w:rPr>
                <w:rFonts w:cs="Arial"/>
                <w:sz w:val="20"/>
              </w:rPr>
            </w:pPr>
            <w:r w:rsidRPr="00A966B6">
              <w:rPr>
                <w:rFonts w:cs="Arial"/>
                <w:sz w:val="20"/>
              </w:rPr>
              <w:t>-55,88%</w:t>
            </w:r>
          </w:p>
        </w:tc>
      </w:tr>
      <w:tr w:rsidR="00A966B6" w:rsidRPr="00A966B6" w14:paraId="6C64CC55"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12F6F5B0" w14:textId="77777777" w:rsidR="00A770D2" w:rsidRPr="00A966B6" w:rsidRDefault="00A770D2" w:rsidP="00A770D2">
            <w:pPr>
              <w:spacing w:after="0" w:line="300" w:lineRule="exact"/>
              <w:rPr>
                <w:rFonts w:cs="Arial"/>
                <w:sz w:val="20"/>
              </w:rPr>
            </w:pPr>
            <w:r w:rsidRPr="00A966B6">
              <w:rPr>
                <w:rFonts w:cs="Arial"/>
                <w:sz w:val="20"/>
              </w:rPr>
              <w:t>25 až 99</w:t>
            </w:r>
          </w:p>
        </w:tc>
        <w:tc>
          <w:tcPr>
            <w:tcW w:w="887" w:type="dxa"/>
            <w:tcBorders>
              <w:top w:val="nil"/>
              <w:left w:val="nil"/>
              <w:bottom w:val="single" w:sz="4" w:space="0" w:color="auto"/>
              <w:right w:val="single" w:sz="4" w:space="0" w:color="auto"/>
            </w:tcBorders>
            <w:shd w:val="clear" w:color="auto" w:fill="auto"/>
            <w:noWrap/>
            <w:vAlign w:val="bottom"/>
          </w:tcPr>
          <w:p w14:paraId="273C1FB1" w14:textId="77777777" w:rsidR="00A770D2" w:rsidRPr="00A966B6" w:rsidRDefault="00A722ED" w:rsidP="00A770D2">
            <w:pPr>
              <w:spacing w:after="0" w:line="300" w:lineRule="exact"/>
              <w:jc w:val="center"/>
              <w:rPr>
                <w:rFonts w:cs="Arial"/>
                <w:b/>
                <w:bCs/>
                <w:sz w:val="20"/>
              </w:rPr>
            </w:pPr>
            <w:r w:rsidRPr="00A966B6">
              <w:rPr>
                <w:rFonts w:cs="Arial"/>
                <w:b/>
                <w:bCs/>
                <w:sz w:val="20"/>
              </w:rPr>
              <w:t>15</w:t>
            </w:r>
          </w:p>
        </w:tc>
        <w:tc>
          <w:tcPr>
            <w:tcW w:w="1009" w:type="dxa"/>
            <w:tcBorders>
              <w:top w:val="nil"/>
              <w:left w:val="nil"/>
              <w:bottom w:val="single" w:sz="4" w:space="0" w:color="auto"/>
              <w:right w:val="single" w:sz="4" w:space="0" w:color="auto"/>
            </w:tcBorders>
            <w:shd w:val="clear" w:color="auto" w:fill="auto"/>
            <w:noWrap/>
            <w:vAlign w:val="bottom"/>
          </w:tcPr>
          <w:p w14:paraId="489894B7" w14:textId="77777777" w:rsidR="00A770D2" w:rsidRPr="00A966B6" w:rsidRDefault="00A722ED" w:rsidP="00A770D2">
            <w:pPr>
              <w:spacing w:after="0" w:line="300" w:lineRule="exact"/>
              <w:jc w:val="center"/>
              <w:rPr>
                <w:rFonts w:cs="Arial"/>
                <w:b/>
                <w:bCs/>
                <w:sz w:val="20"/>
              </w:rPr>
            </w:pPr>
            <w:r w:rsidRPr="00A966B6">
              <w:rPr>
                <w:rFonts w:cs="Arial"/>
                <w:b/>
                <w:bCs/>
                <w:sz w:val="20"/>
              </w:rPr>
              <w:t>9,93%</w:t>
            </w:r>
          </w:p>
        </w:tc>
        <w:tc>
          <w:tcPr>
            <w:tcW w:w="674" w:type="dxa"/>
            <w:tcBorders>
              <w:top w:val="nil"/>
              <w:left w:val="nil"/>
              <w:bottom w:val="single" w:sz="4" w:space="0" w:color="auto"/>
              <w:right w:val="single" w:sz="4" w:space="0" w:color="auto"/>
            </w:tcBorders>
            <w:shd w:val="clear" w:color="auto" w:fill="auto"/>
            <w:noWrap/>
            <w:vAlign w:val="bottom"/>
          </w:tcPr>
          <w:p w14:paraId="208E16A6" w14:textId="77777777" w:rsidR="00A770D2" w:rsidRPr="00A966B6" w:rsidRDefault="00536EAE" w:rsidP="00A770D2">
            <w:pPr>
              <w:spacing w:after="0" w:line="300" w:lineRule="exact"/>
              <w:jc w:val="center"/>
              <w:rPr>
                <w:rFonts w:cs="Arial"/>
                <w:sz w:val="20"/>
              </w:rPr>
            </w:pPr>
            <w:r w:rsidRPr="00A966B6">
              <w:rPr>
                <w:rFonts w:cs="Arial"/>
                <w:sz w:val="20"/>
              </w:rPr>
              <w:t>-4</w:t>
            </w:r>
          </w:p>
        </w:tc>
        <w:tc>
          <w:tcPr>
            <w:tcW w:w="1277" w:type="dxa"/>
            <w:tcBorders>
              <w:top w:val="nil"/>
              <w:left w:val="nil"/>
              <w:bottom w:val="single" w:sz="4" w:space="0" w:color="auto"/>
              <w:right w:val="single" w:sz="4" w:space="0" w:color="auto"/>
            </w:tcBorders>
            <w:shd w:val="clear" w:color="auto" w:fill="auto"/>
            <w:noWrap/>
            <w:vAlign w:val="bottom"/>
          </w:tcPr>
          <w:p w14:paraId="06079827" w14:textId="77777777" w:rsidR="00A770D2" w:rsidRPr="00A966B6" w:rsidRDefault="007A4BFC" w:rsidP="00A770D2">
            <w:pPr>
              <w:spacing w:after="0" w:line="300" w:lineRule="exact"/>
              <w:jc w:val="center"/>
              <w:rPr>
                <w:rFonts w:cs="Arial"/>
                <w:sz w:val="20"/>
              </w:rPr>
            </w:pPr>
            <w:r w:rsidRPr="00A966B6">
              <w:rPr>
                <w:rFonts w:cs="Arial"/>
                <w:sz w:val="20"/>
              </w:rPr>
              <w:t>-21,05%</w:t>
            </w:r>
          </w:p>
        </w:tc>
      </w:tr>
      <w:tr w:rsidR="00A966B6" w:rsidRPr="00A966B6" w14:paraId="0594AE1C" w14:textId="77777777" w:rsidTr="00A770D2">
        <w:trPr>
          <w:trHeight w:val="300"/>
          <w:jc w:val="center"/>
        </w:trPr>
        <w:tc>
          <w:tcPr>
            <w:tcW w:w="5822" w:type="dxa"/>
            <w:tcBorders>
              <w:top w:val="nil"/>
              <w:left w:val="nil"/>
              <w:bottom w:val="single" w:sz="4" w:space="0" w:color="auto"/>
              <w:right w:val="nil"/>
            </w:tcBorders>
            <w:shd w:val="clear" w:color="auto" w:fill="auto"/>
            <w:noWrap/>
            <w:vAlign w:val="bottom"/>
            <w:hideMark/>
          </w:tcPr>
          <w:p w14:paraId="71FFD39C" w14:textId="77777777" w:rsidR="00A770D2" w:rsidRPr="00A966B6" w:rsidRDefault="00A770D2" w:rsidP="00A770D2">
            <w:pPr>
              <w:spacing w:after="0" w:line="300" w:lineRule="exact"/>
              <w:rPr>
                <w:rFonts w:cs="Arial"/>
                <w:sz w:val="20"/>
              </w:rPr>
            </w:pPr>
            <w:r w:rsidRPr="00A966B6">
              <w:rPr>
                <w:rFonts w:cs="Arial"/>
                <w:sz w:val="20"/>
              </w:rPr>
              <w:t> </w:t>
            </w:r>
          </w:p>
        </w:tc>
        <w:tc>
          <w:tcPr>
            <w:tcW w:w="887" w:type="dxa"/>
            <w:tcBorders>
              <w:top w:val="nil"/>
              <w:left w:val="nil"/>
              <w:bottom w:val="single" w:sz="4" w:space="0" w:color="auto"/>
              <w:right w:val="nil"/>
            </w:tcBorders>
            <w:shd w:val="clear" w:color="auto" w:fill="auto"/>
            <w:noWrap/>
            <w:vAlign w:val="bottom"/>
          </w:tcPr>
          <w:p w14:paraId="7E65F5E3" w14:textId="77777777" w:rsidR="00A770D2" w:rsidRPr="00A966B6" w:rsidRDefault="00A770D2" w:rsidP="00A770D2">
            <w:pPr>
              <w:spacing w:after="0" w:line="300" w:lineRule="exact"/>
              <w:jc w:val="center"/>
              <w:rPr>
                <w:rFonts w:cs="Arial"/>
                <w:b/>
                <w:bCs/>
                <w:sz w:val="20"/>
              </w:rPr>
            </w:pPr>
          </w:p>
        </w:tc>
        <w:tc>
          <w:tcPr>
            <w:tcW w:w="1009" w:type="dxa"/>
            <w:tcBorders>
              <w:top w:val="nil"/>
              <w:left w:val="nil"/>
              <w:bottom w:val="single" w:sz="4" w:space="0" w:color="auto"/>
              <w:right w:val="nil"/>
            </w:tcBorders>
            <w:shd w:val="clear" w:color="auto" w:fill="auto"/>
            <w:noWrap/>
            <w:vAlign w:val="bottom"/>
          </w:tcPr>
          <w:p w14:paraId="28970D29" w14:textId="77777777" w:rsidR="00A770D2" w:rsidRPr="00A966B6" w:rsidRDefault="00A770D2" w:rsidP="00A770D2">
            <w:pPr>
              <w:spacing w:after="0" w:line="300" w:lineRule="exact"/>
              <w:jc w:val="center"/>
              <w:rPr>
                <w:rFonts w:cs="Arial"/>
                <w:b/>
                <w:bCs/>
                <w:sz w:val="20"/>
              </w:rPr>
            </w:pPr>
          </w:p>
        </w:tc>
        <w:tc>
          <w:tcPr>
            <w:tcW w:w="674" w:type="dxa"/>
            <w:tcBorders>
              <w:top w:val="nil"/>
              <w:left w:val="nil"/>
              <w:bottom w:val="single" w:sz="4" w:space="0" w:color="auto"/>
              <w:right w:val="nil"/>
            </w:tcBorders>
            <w:shd w:val="clear" w:color="auto" w:fill="auto"/>
            <w:noWrap/>
            <w:vAlign w:val="bottom"/>
          </w:tcPr>
          <w:p w14:paraId="45E0B5EF" w14:textId="77777777" w:rsidR="00A770D2" w:rsidRPr="00A966B6" w:rsidRDefault="00A770D2" w:rsidP="00A770D2">
            <w:pPr>
              <w:spacing w:after="0" w:line="300" w:lineRule="exact"/>
              <w:jc w:val="center"/>
              <w:rPr>
                <w:rFonts w:cs="Arial"/>
                <w:sz w:val="20"/>
              </w:rPr>
            </w:pPr>
          </w:p>
        </w:tc>
        <w:tc>
          <w:tcPr>
            <w:tcW w:w="1277" w:type="dxa"/>
            <w:tcBorders>
              <w:top w:val="nil"/>
              <w:left w:val="nil"/>
              <w:bottom w:val="single" w:sz="4" w:space="0" w:color="auto"/>
              <w:right w:val="nil"/>
            </w:tcBorders>
            <w:shd w:val="clear" w:color="auto" w:fill="auto"/>
            <w:noWrap/>
            <w:vAlign w:val="bottom"/>
          </w:tcPr>
          <w:p w14:paraId="58B07C12" w14:textId="77777777" w:rsidR="00A770D2" w:rsidRPr="00A966B6" w:rsidRDefault="00A770D2" w:rsidP="00A770D2">
            <w:pPr>
              <w:spacing w:after="0" w:line="300" w:lineRule="exact"/>
              <w:jc w:val="center"/>
              <w:rPr>
                <w:rFonts w:cs="Arial"/>
                <w:sz w:val="20"/>
              </w:rPr>
            </w:pPr>
          </w:p>
        </w:tc>
      </w:tr>
      <w:tr w:rsidR="00A966B6" w:rsidRPr="00A966B6" w14:paraId="33983A4B"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33E82D68" w14:textId="77777777" w:rsidR="00A770D2" w:rsidRPr="00A966B6" w:rsidRDefault="00A770D2" w:rsidP="00A770D2">
            <w:pPr>
              <w:spacing w:after="0" w:line="300" w:lineRule="exact"/>
              <w:rPr>
                <w:rFonts w:cs="Arial"/>
                <w:b/>
                <w:bCs/>
                <w:sz w:val="20"/>
              </w:rPr>
            </w:pPr>
            <w:r w:rsidRPr="00A966B6">
              <w:rPr>
                <w:rFonts w:cs="Arial"/>
                <w:b/>
                <w:bCs/>
                <w:sz w:val="20"/>
              </w:rPr>
              <w:t>Podle funkce služebního/pracovního zařazení (vedoucí)</w:t>
            </w:r>
          </w:p>
        </w:tc>
        <w:tc>
          <w:tcPr>
            <w:tcW w:w="887" w:type="dxa"/>
            <w:tcBorders>
              <w:top w:val="nil"/>
              <w:left w:val="nil"/>
              <w:bottom w:val="single" w:sz="4" w:space="0" w:color="auto"/>
              <w:right w:val="single" w:sz="4" w:space="0" w:color="auto"/>
            </w:tcBorders>
            <w:shd w:val="clear" w:color="auto" w:fill="auto"/>
            <w:noWrap/>
            <w:vAlign w:val="bottom"/>
          </w:tcPr>
          <w:p w14:paraId="6D22C253" w14:textId="77777777" w:rsidR="00A770D2" w:rsidRPr="00A966B6" w:rsidRDefault="00A722ED" w:rsidP="00A770D2">
            <w:pPr>
              <w:spacing w:after="0" w:line="300" w:lineRule="exact"/>
              <w:jc w:val="center"/>
              <w:rPr>
                <w:rFonts w:cs="Arial"/>
                <w:b/>
                <w:bCs/>
                <w:sz w:val="20"/>
              </w:rPr>
            </w:pPr>
            <w:r w:rsidRPr="00A966B6">
              <w:rPr>
                <w:rFonts w:cs="Arial"/>
                <w:b/>
                <w:bCs/>
                <w:sz w:val="20"/>
              </w:rPr>
              <w:t>151</w:t>
            </w:r>
          </w:p>
        </w:tc>
        <w:tc>
          <w:tcPr>
            <w:tcW w:w="1009" w:type="dxa"/>
            <w:tcBorders>
              <w:top w:val="nil"/>
              <w:left w:val="nil"/>
              <w:bottom w:val="single" w:sz="4" w:space="0" w:color="auto"/>
              <w:right w:val="single" w:sz="4" w:space="0" w:color="auto"/>
            </w:tcBorders>
            <w:shd w:val="clear" w:color="auto" w:fill="auto"/>
            <w:noWrap/>
            <w:vAlign w:val="bottom"/>
          </w:tcPr>
          <w:p w14:paraId="6985D84B" w14:textId="77777777" w:rsidR="00A770D2" w:rsidRPr="00A966B6" w:rsidRDefault="00A722ED" w:rsidP="00A770D2">
            <w:pPr>
              <w:spacing w:after="0" w:line="300" w:lineRule="exact"/>
              <w:jc w:val="center"/>
              <w:rPr>
                <w:rFonts w:cs="Arial"/>
                <w:b/>
                <w:bCs/>
                <w:sz w:val="20"/>
              </w:rPr>
            </w:pPr>
            <w:r w:rsidRPr="00A966B6">
              <w:rPr>
                <w:rFonts w:cs="Arial"/>
                <w:b/>
                <w:bCs/>
                <w:sz w:val="20"/>
              </w:rPr>
              <w:t>100%</w:t>
            </w:r>
          </w:p>
        </w:tc>
        <w:tc>
          <w:tcPr>
            <w:tcW w:w="674" w:type="dxa"/>
            <w:tcBorders>
              <w:top w:val="nil"/>
              <w:left w:val="nil"/>
              <w:bottom w:val="single" w:sz="4" w:space="0" w:color="auto"/>
              <w:right w:val="single" w:sz="4" w:space="0" w:color="auto"/>
            </w:tcBorders>
            <w:shd w:val="clear" w:color="auto" w:fill="auto"/>
            <w:noWrap/>
            <w:vAlign w:val="bottom"/>
          </w:tcPr>
          <w:p w14:paraId="4EC7B60C" w14:textId="77777777" w:rsidR="00A770D2" w:rsidRPr="00A966B6" w:rsidRDefault="0002396B" w:rsidP="00A770D2">
            <w:pPr>
              <w:spacing w:after="0" w:line="300" w:lineRule="exact"/>
              <w:jc w:val="center"/>
              <w:rPr>
                <w:rFonts w:cs="Arial"/>
                <w:sz w:val="20"/>
              </w:rPr>
            </w:pPr>
            <w:r w:rsidRPr="00A966B6">
              <w:rPr>
                <w:rFonts w:cs="Arial"/>
                <w:sz w:val="20"/>
              </w:rPr>
              <w:t>-55</w:t>
            </w:r>
          </w:p>
        </w:tc>
        <w:tc>
          <w:tcPr>
            <w:tcW w:w="1277" w:type="dxa"/>
            <w:tcBorders>
              <w:top w:val="nil"/>
              <w:left w:val="nil"/>
              <w:bottom w:val="single" w:sz="4" w:space="0" w:color="auto"/>
              <w:right w:val="single" w:sz="4" w:space="0" w:color="auto"/>
            </w:tcBorders>
            <w:shd w:val="clear" w:color="auto" w:fill="auto"/>
            <w:noWrap/>
            <w:vAlign w:val="bottom"/>
          </w:tcPr>
          <w:p w14:paraId="5E9FCD6A" w14:textId="77777777" w:rsidR="00A770D2" w:rsidRPr="00A966B6" w:rsidRDefault="003045EB" w:rsidP="00A770D2">
            <w:pPr>
              <w:spacing w:after="0" w:line="300" w:lineRule="exact"/>
              <w:jc w:val="center"/>
              <w:rPr>
                <w:rFonts w:cs="Arial"/>
                <w:sz w:val="20"/>
              </w:rPr>
            </w:pPr>
            <w:r w:rsidRPr="00A966B6">
              <w:rPr>
                <w:rFonts w:cs="Arial"/>
                <w:sz w:val="20"/>
              </w:rPr>
              <w:t>-26,70%</w:t>
            </w:r>
          </w:p>
        </w:tc>
      </w:tr>
      <w:tr w:rsidR="00A966B6" w:rsidRPr="00A966B6" w14:paraId="42EB6856"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72012077" w14:textId="77777777" w:rsidR="00A770D2" w:rsidRPr="00A966B6" w:rsidRDefault="00A770D2" w:rsidP="00A770D2">
            <w:pPr>
              <w:spacing w:after="0" w:line="300" w:lineRule="exact"/>
              <w:rPr>
                <w:rFonts w:cs="Arial"/>
                <w:sz w:val="20"/>
              </w:rPr>
            </w:pPr>
            <w:r w:rsidRPr="00A966B6">
              <w:rPr>
                <w:rFonts w:cs="Arial"/>
                <w:sz w:val="20"/>
              </w:rPr>
              <w:t>řídící pracovník</w:t>
            </w:r>
          </w:p>
        </w:tc>
        <w:tc>
          <w:tcPr>
            <w:tcW w:w="887" w:type="dxa"/>
            <w:tcBorders>
              <w:top w:val="nil"/>
              <w:left w:val="nil"/>
              <w:bottom w:val="single" w:sz="4" w:space="0" w:color="auto"/>
              <w:right w:val="single" w:sz="4" w:space="0" w:color="auto"/>
            </w:tcBorders>
            <w:shd w:val="clear" w:color="auto" w:fill="auto"/>
            <w:noWrap/>
            <w:vAlign w:val="bottom"/>
          </w:tcPr>
          <w:p w14:paraId="3047718A" w14:textId="77777777" w:rsidR="00A770D2" w:rsidRPr="00A966B6" w:rsidRDefault="0002396B" w:rsidP="00A770D2">
            <w:pPr>
              <w:spacing w:after="0" w:line="300" w:lineRule="exact"/>
              <w:jc w:val="center"/>
              <w:rPr>
                <w:rFonts w:cs="Arial"/>
                <w:b/>
                <w:bCs/>
                <w:sz w:val="20"/>
              </w:rPr>
            </w:pPr>
            <w:r w:rsidRPr="00A966B6">
              <w:rPr>
                <w:rFonts w:cs="Arial"/>
                <w:b/>
                <w:bCs/>
                <w:sz w:val="20"/>
              </w:rPr>
              <w:t>14</w:t>
            </w:r>
          </w:p>
        </w:tc>
        <w:tc>
          <w:tcPr>
            <w:tcW w:w="1009" w:type="dxa"/>
            <w:tcBorders>
              <w:top w:val="nil"/>
              <w:left w:val="nil"/>
              <w:bottom w:val="single" w:sz="4" w:space="0" w:color="auto"/>
              <w:right w:val="single" w:sz="4" w:space="0" w:color="auto"/>
            </w:tcBorders>
            <w:shd w:val="clear" w:color="auto" w:fill="auto"/>
            <w:noWrap/>
            <w:vAlign w:val="bottom"/>
          </w:tcPr>
          <w:p w14:paraId="3FDB7BCC" w14:textId="77777777" w:rsidR="00A770D2" w:rsidRPr="00A966B6" w:rsidRDefault="0002396B" w:rsidP="00A770D2">
            <w:pPr>
              <w:spacing w:after="0" w:line="300" w:lineRule="exact"/>
              <w:jc w:val="center"/>
              <w:rPr>
                <w:rFonts w:cs="Arial"/>
                <w:b/>
                <w:bCs/>
                <w:sz w:val="20"/>
              </w:rPr>
            </w:pPr>
            <w:r w:rsidRPr="00A966B6">
              <w:rPr>
                <w:rFonts w:cs="Arial"/>
                <w:b/>
                <w:bCs/>
                <w:sz w:val="20"/>
              </w:rPr>
              <w:t>9,27%</w:t>
            </w:r>
          </w:p>
        </w:tc>
        <w:tc>
          <w:tcPr>
            <w:tcW w:w="674" w:type="dxa"/>
            <w:tcBorders>
              <w:top w:val="nil"/>
              <w:left w:val="nil"/>
              <w:bottom w:val="single" w:sz="4" w:space="0" w:color="auto"/>
              <w:right w:val="single" w:sz="4" w:space="0" w:color="auto"/>
            </w:tcBorders>
            <w:shd w:val="clear" w:color="auto" w:fill="auto"/>
            <w:noWrap/>
            <w:vAlign w:val="bottom"/>
          </w:tcPr>
          <w:p w14:paraId="62291195" w14:textId="77777777" w:rsidR="00A770D2" w:rsidRPr="00A966B6" w:rsidRDefault="0002396B" w:rsidP="00A770D2">
            <w:pPr>
              <w:spacing w:after="0" w:line="300" w:lineRule="exact"/>
              <w:jc w:val="center"/>
              <w:rPr>
                <w:rFonts w:cs="Arial"/>
                <w:sz w:val="20"/>
              </w:rPr>
            </w:pPr>
            <w:r w:rsidRPr="00A966B6">
              <w:rPr>
                <w:rFonts w:cs="Arial"/>
                <w:sz w:val="20"/>
              </w:rPr>
              <w:t>-8</w:t>
            </w:r>
          </w:p>
        </w:tc>
        <w:tc>
          <w:tcPr>
            <w:tcW w:w="1277" w:type="dxa"/>
            <w:tcBorders>
              <w:top w:val="nil"/>
              <w:left w:val="nil"/>
              <w:bottom w:val="single" w:sz="4" w:space="0" w:color="auto"/>
              <w:right w:val="single" w:sz="4" w:space="0" w:color="auto"/>
            </w:tcBorders>
            <w:shd w:val="clear" w:color="auto" w:fill="auto"/>
            <w:noWrap/>
            <w:vAlign w:val="bottom"/>
          </w:tcPr>
          <w:p w14:paraId="5C945E1D" w14:textId="77777777" w:rsidR="00A770D2" w:rsidRPr="00A966B6" w:rsidRDefault="003045EB" w:rsidP="00A770D2">
            <w:pPr>
              <w:spacing w:after="0" w:line="300" w:lineRule="exact"/>
              <w:jc w:val="center"/>
              <w:rPr>
                <w:rFonts w:cs="Arial"/>
                <w:sz w:val="20"/>
              </w:rPr>
            </w:pPr>
            <w:r w:rsidRPr="00A966B6">
              <w:rPr>
                <w:rFonts w:cs="Arial"/>
                <w:sz w:val="20"/>
              </w:rPr>
              <w:t>-36,36%</w:t>
            </w:r>
          </w:p>
        </w:tc>
      </w:tr>
      <w:tr w:rsidR="00A966B6" w:rsidRPr="00A966B6" w14:paraId="3EC08A85"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5C0E7100" w14:textId="77777777" w:rsidR="00A770D2" w:rsidRPr="00A966B6" w:rsidRDefault="00A770D2" w:rsidP="00A770D2">
            <w:pPr>
              <w:spacing w:after="0" w:line="300" w:lineRule="exact"/>
              <w:rPr>
                <w:rFonts w:cs="Arial"/>
                <w:sz w:val="20"/>
              </w:rPr>
            </w:pPr>
            <w:r w:rsidRPr="00A966B6">
              <w:rPr>
                <w:rFonts w:cs="Arial"/>
                <w:sz w:val="20"/>
              </w:rPr>
              <w:t>řízený pracovník</w:t>
            </w:r>
          </w:p>
        </w:tc>
        <w:tc>
          <w:tcPr>
            <w:tcW w:w="887" w:type="dxa"/>
            <w:tcBorders>
              <w:top w:val="nil"/>
              <w:left w:val="nil"/>
              <w:bottom w:val="single" w:sz="4" w:space="0" w:color="auto"/>
              <w:right w:val="single" w:sz="4" w:space="0" w:color="auto"/>
            </w:tcBorders>
            <w:shd w:val="clear" w:color="auto" w:fill="auto"/>
            <w:noWrap/>
            <w:vAlign w:val="bottom"/>
          </w:tcPr>
          <w:p w14:paraId="3111EAF6" w14:textId="77777777" w:rsidR="00A770D2" w:rsidRPr="00A966B6" w:rsidRDefault="0002396B" w:rsidP="00A770D2">
            <w:pPr>
              <w:spacing w:after="0" w:line="300" w:lineRule="exact"/>
              <w:jc w:val="center"/>
              <w:rPr>
                <w:rFonts w:cs="Arial"/>
                <w:b/>
                <w:bCs/>
                <w:sz w:val="20"/>
              </w:rPr>
            </w:pPr>
            <w:r w:rsidRPr="00A966B6">
              <w:rPr>
                <w:rFonts w:cs="Arial"/>
                <w:b/>
                <w:bCs/>
                <w:sz w:val="20"/>
              </w:rPr>
              <w:t>137</w:t>
            </w:r>
          </w:p>
        </w:tc>
        <w:tc>
          <w:tcPr>
            <w:tcW w:w="1009" w:type="dxa"/>
            <w:tcBorders>
              <w:top w:val="nil"/>
              <w:left w:val="nil"/>
              <w:bottom w:val="single" w:sz="4" w:space="0" w:color="auto"/>
              <w:right w:val="single" w:sz="4" w:space="0" w:color="auto"/>
            </w:tcBorders>
            <w:shd w:val="clear" w:color="auto" w:fill="auto"/>
            <w:noWrap/>
            <w:vAlign w:val="bottom"/>
          </w:tcPr>
          <w:p w14:paraId="176FB0AB" w14:textId="77777777" w:rsidR="00A770D2" w:rsidRPr="00A966B6" w:rsidRDefault="0002396B" w:rsidP="00A770D2">
            <w:pPr>
              <w:spacing w:after="0" w:line="300" w:lineRule="exact"/>
              <w:jc w:val="center"/>
              <w:rPr>
                <w:rFonts w:cs="Arial"/>
                <w:b/>
                <w:bCs/>
                <w:sz w:val="20"/>
              </w:rPr>
            </w:pPr>
            <w:r w:rsidRPr="00A966B6">
              <w:rPr>
                <w:rFonts w:cs="Arial"/>
                <w:b/>
                <w:bCs/>
                <w:sz w:val="20"/>
              </w:rPr>
              <w:t>90,73%</w:t>
            </w:r>
          </w:p>
        </w:tc>
        <w:tc>
          <w:tcPr>
            <w:tcW w:w="674" w:type="dxa"/>
            <w:tcBorders>
              <w:top w:val="nil"/>
              <w:left w:val="nil"/>
              <w:bottom w:val="single" w:sz="4" w:space="0" w:color="auto"/>
              <w:right w:val="single" w:sz="4" w:space="0" w:color="auto"/>
            </w:tcBorders>
            <w:shd w:val="clear" w:color="auto" w:fill="auto"/>
            <w:noWrap/>
            <w:vAlign w:val="bottom"/>
          </w:tcPr>
          <w:p w14:paraId="32D946AC" w14:textId="77777777" w:rsidR="00A770D2" w:rsidRPr="00A966B6" w:rsidRDefault="0002396B" w:rsidP="00A770D2">
            <w:pPr>
              <w:spacing w:after="0" w:line="300" w:lineRule="exact"/>
              <w:jc w:val="center"/>
              <w:rPr>
                <w:rFonts w:cs="Arial"/>
                <w:sz w:val="20"/>
              </w:rPr>
            </w:pPr>
            <w:r w:rsidRPr="00A966B6">
              <w:rPr>
                <w:rFonts w:cs="Arial"/>
                <w:sz w:val="20"/>
              </w:rPr>
              <w:t>-47</w:t>
            </w:r>
          </w:p>
        </w:tc>
        <w:tc>
          <w:tcPr>
            <w:tcW w:w="1277" w:type="dxa"/>
            <w:tcBorders>
              <w:top w:val="nil"/>
              <w:left w:val="nil"/>
              <w:bottom w:val="single" w:sz="4" w:space="0" w:color="auto"/>
              <w:right w:val="single" w:sz="4" w:space="0" w:color="auto"/>
            </w:tcBorders>
            <w:shd w:val="clear" w:color="auto" w:fill="auto"/>
            <w:noWrap/>
            <w:vAlign w:val="bottom"/>
          </w:tcPr>
          <w:p w14:paraId="5478F0F3" w14:textId="77777777" w:rsidR="00A770D2" w:rsidRPr="00A966B6" w:rsidRDefault="003045EB" w:rsidP="00A770D2">
            <w:pPr>
              <w:spacing w:after="0" w:line="300" w:lineRule="exact"/>
              <w:jc w:val="center"/>
              <w:rPr>
                <w:rFonts w:cs="Arial"/>
                <w:sz w:val="20"/>
              </w:rPr>
            </w:pPr>
            <w:r w:rsidRPr="00A966B6">
              <w:rPr>
                <w:rFonts w:cs="Arial"/>
                <w:sz w:val="20"/>
              </w:rPr>
              <w:t>-25,54%</w:t>
            </w:r>
          </w:p>
        </w:tc>
      </w:tr>
      <w:tr w:rsidR="00A966B6" w:rsidRPr="00A966B6" w14:paraId="27C92D6F" w14:textId="77777777" w:rsidTr="00916BE7">
        <w:trPr>
          <w:trHeight w:val="300"/>
          <w:jc w:val="center"/>
        </w:trPr>
        <w:tc>
          <w:tcPr>
            <w:tcW w:w="5822" w:type="dxa"/>
            <w:tcBorders>
              <w:top w:val="nil"/>
              <w:left w:val="nil"/>
              <w:bottom w:val="single" w:sz="4" w:space="0" w:color="auto"/>
              <w:right w:val="nil"/>
            </w:tcBorders>
            <w:shd w:val="clear" w:color="auto" w:fill="auto"/>
            <w:noWrap/>
            <w:vAlign w:val="bottom"/>
            <w:hideMark/>
          </w:tcPr>
          <w:p w14:paraId="7B8EEDE6" w14:textId="77777777" w:rsidR="00A770D2" w:rsidRPr="00A966B6" w:rsidRDefault="00A770D2" w:rsidP="00A770D2">
            <w:pPr>
              <w:spacing w:after="0" w:line="300" w:lineRule="exact"/>
              <w:rPr>
                <w:rFonts w:cs="Arial"/>
                <w:sz w:val="20"/>
              </w:rPr>
            </w:pPr>
            <w:r w:rsidRPr="00A966B6">
              <w:rPr>
                <w:rFonts w:cs="Arial"/>
                <w:sz w:val="20"/>
              </w:rPr>
              <w:t> </w:t>
            </w:r>
          </w:p>
        </w:tc>
        <w:tc>
          <w:tcPr>
            <w:tcW w:w="887" w:type="dxa"/>
            <w:tcBorders>
              <w:top w:val="nil"/>
              <w:left w:val="nil"/>
              <w:bottom w:val="single" w:sz="4" w:space="0" w:color="auto"/>
              <w:right w:val="nil"/>
            </w:tcBorders>
            <w:shd w:val="clear" w:color="auto" w:fill="auto"/>
            <w:noWrap/>
            <w:vAlign w:val="bottom"/>
          </w:tcPr>
          <w:p w14:paraId="35498BBD" w14:textId="77777777" w:rsidR="00A770D2" w:rsidRPr="00A966B6" w:rsidRDefault="00A770D2" w:rsidP="00A770D2">
            <w:pPr>
              <w:spacing w:after="0" w:line="300" w:lineRule="exact"/>
              <w:jc w:val="center"/>
              <w:rPr>
                <w:rFonts w:cs="Arial"/>
                <w:b/>
                <w:bCs/>
                <w:sz w:val="20"/>
              </w:rPr>
            </w:pPr>
          </w:p>
        </w:tc>
        <w:tc>
          <w:tcPr>
            <w:tcW w:w="1009" w:type="dxa"/>
            <w:tcBorders>
              <w:top w:val="nil"/>
              <w:left w:val="nil"/>
              <w:bottom w:val="single" w:sz="4" w:space="0" w:color="auto"/>
              <w:right w:val="nil"/>
            </w:tcBorders>
            <w:shd w:val="clear" w:color="auto" w:fill="auto"/>
            <w:noWrap/>
            <w:vAlign w:val="bottom"/>
          </w:tcPr>
          <w:p w14:paraId="61829CD0" w14:textId="77777777" w:rsidR="00A770D2" w:rsidRPr="00A966B6" w:rsidRDefault="00A770D2" w:rsidP="00A770D2">
            <w:pPr>
              <w:spacing w:after="0" w:line="300" w:lineRule="exact"/>
              <w:jc w:val="center"/>
              <w:rPr>
                <w:rFonts w:cs="Arial"/>
                <w:b/>
                <w:bCs/>
                <w:sz w:val="20"/>
              </w:rPr>
            </w:pPr>
          </w:p>
        </w:tc>
        <w:tc>
          <w:tcPr>
            <w:tcW w:w="674" w:type="dxa"/>
            <w:tcBorders>
              <w:top w:val="nil"/>
              <w:left w:val="nil"/>
              <w:bottom w:val="single" w:sz="4" w:space="0" w:color="auto"/>
              <w:right w:val="nil"/>
            </w:tcBorders>
            <w:shd w:val="clear" w:color="auto" w:fill="auto"/>
            <w:noWrap/>
            <w:vAlign w:val="bottom"/>
          </w:tcPr>
          <w:p w14:paraId="6AC6B884" w14:textId="77777777" w:rsidR="00A770D2" w:rsidRPr="00A966B6" w:rsidRDefault="00A770D2" w:rsidP="00A770D2">
            <w:pPr>
              <w:spacing w:after="0" w:line="300" w:lineRule="exact"/>
              <w:jc w:val="center"/>
              <w:rPr>
                <w:rFonts w:cs="Arial"/>
                <w:sz w:val="20"/>
                <w:highlight w:val="yellow"/>
              </w:rPr>
            </w:pPr>
          </w:p>
        </w:tc>
        <w:tc>
          <w:tcPr>
            <w:tcW w:w="1277" w:type="dxa"/>
            <w:tcBorders>
              <w:top w:val="nil"/>
              <w:left w:val="nil"/>
              <w:bottom w:val="single" w:sz="4" w:space="0" w:color="auto"/>
              <w:right w:val="nil"/>
            </w:tcBorders>
            <w:shd w:val="clear" w:color="auto" w:fill="auto"/>
            <w:noWrap/>
            <w:vAlign w:val="bottom"/>
          </w:tcPr>
          <w:p w14:paraId="64A1A1CD" w14:textId="77777777" w:rsidR="00A770D2" w:rsidRPr="00A966B6" w:rsidRDefault="00A770D2" w:rsidP="00A770D2">
            <w:pPr>
              <w:spacing w:after="0" w:line="300" w:lineRule="exact"/>
              <w:jc w:val="center"/>
              <w:rPr>
                <w:rFonts w:cs="Arial"/>
                <w:sz w:val="20"/>
              </w:rPr>
            </w:pPr>
          </w:p>
        </w:tc>
      </w:tr>
      <w:tr w:rsidR="00A966B6" w:rsidRPr="00A966B6" w14:paraId="6958956D" w14:textId="77777777" w:rsidTr="00916BE7">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0CDBE" w14:textId="77777777" w:rsidR="00A770D2" w:rsidRPr="00A966B6" w:rsidRDefault="00A770D2" w:rsidP="00A770D2">
            <w:pPr>
              <w:spacing w:after="0" w:line="300" w:lineRule="exact"/>
              <w:rPr>
                <w:rFonts w:cs="Arial"/>
                <w:b/>
                <w:bCs/>
                <w:sz w:val="20"/>
              </w:rPr>
            </w:pPr>
            <w:r w:rsidRPr="00A966B6">
              <w:rPr>
                <w:rFonts w:cs="Arial"/>
                <w:b/>
                <w:bCs/>
                <w:sz w:val="20"/>
              </w:rPr>
              <w:t>Podle místa služebního/pracovního zařazení</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2A41EABC" w14:textId="77777777" w:rsidR="00A770D2" w:rsidRPr="00A966B6" w:rsidRDefault="00A722ED" w:rsidP="00A770D2">
            <w:pPr>
              <w:spacing w:after="0" w:line="300" w:lineRule="exact"/>
              <w:jc w:val="center"/>
              <w:rPr>
                <w:rFonts w:cs="Arial"/>
                <w:b/>
                <w:bCs/>
                <w:sz w:val="20"/>
              </w:rPr>
            </w:pPr>
            <w:r w:rsidRPr="00A966B6">
              <w:rPr>
                <w:rFonts w:cs="Arial"/>
                <w:b/>
                <w:bCs/>
                <w:sz w:val="20"/>
              </w:rPr>
              <w:t>151</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DD6F9C0" w14:textId="77777777" w:rsidR="00A770D2" w:rsidRPr="00A966B6" w:rsidRDefault="00A722ED" w:rsidP="00A770D2">
            <w:pPr>
              <w:spacing w:after="0" w:line="300" w:lineRule="exact"/>
              <w:jc w:val="center"/>
              <w:rPr>
                <w:rFonts w:cs="Arial"/>
                <w:b/>
                <w:bCs/>
                <w:sz w:val="20"/>
              </w:rPr>
            </w:pPr>
            <w:r w:rsidRPr="00A966B6">
              <w:rPr>
                <w:rFonts w:cs="Arial"/>
                <w:b/>
                <w:bCs/>
                <w:sz w:val="20"/>
              </w:rPr>
              <w:t>100%</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7B381137" w14:textId="77777777" w:rsidR="00A770D2" w:rsidRPr="00A966B6" w:rsidRDefault="009C31E7" w:rsidP="00A770D2">
            <w:pPr>
              <w:spacing w:after="0" w:line="300" w:lineRule="exact"/>
              <w:jc w:val="center"/>
              <w:rPr>
                <w:rFonts w:cs="Arial"/>
                <w:sz w:val="20"/>
              </w:rPr>
            </w:pPr>
            <w:r w:rsidRPr="00A966B6">
              <w:rPr>
                <w:rFonts w:cs="Arial"/>
                <w:sz w:val="20"/>
              </w:rPr>
              <w:t>-55</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30F95C59" w14:textId="77777777" w:rsidR="00A770D2" w:rsidRPr="00A966B6" w:rsidRDefault="00CC21BC" w:rsidP="00A770D2">
            <w:pPr>
              <w:spacing w:after="0" w:line="300" w:lineRule="exact"/>
              <w:jc w:val="center"/>
              <w:rPr>
                <w:rFonts w:cs="Arial"/>
                <w:sz w:val="20"/>
              </w:rPr>
            </w:pPr>
            <w:r w:rsidRPr="00A966B6">
              <w:rPr>
                <w:rFonts w:cs="Arial"/>
                <w:sz w:val="20"/>
              </w:rPr>
              <w:t>-27,70%</w:t>
            </w:r>
          </w:p>
        </w:tc>
      </w:tr>
      <w:tr w:rsidR="00A966B6" w:rsidRPr="00A966B6" w14:paraId="61EE7AA4" w14:textId="77777777" w:rsidTr="00916BE7">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9614D" w14:textId="77777777" w:rsidR="00A770D2" w:rsidRPr="00A966B6" w:rsidRDefault="00A770D2" w:rsidP="00A770D2">
            <w:pPr>
              <w:spacing w:after="0" w:line="300" w:lineRule="exact"/>
              <w:rPr>
                <w:rFonts w:cs="Arial"/>
                <w:sz w:val="20"/>
              </w:rPr>
            </w:pPr>
            <w:r w:rsidRPr="00A966B6">
              <w:rPr>
                <w:rFonts w:cs="Arial"/>
                <w:sz w:val="20"/>
              </w:rPr>
              <w:t>hlavní město Praha</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13C66D44" w14:textId="77777777" w:rsidR="00A770D2" w:rsidRPr="00A966B6" w:rsidRDefault="00471FE6" w:rsidP="00A770D2">
            <w:pPr>
              <w:spacing w:after="0" w:line="300" w:lineRule="exact"/>
              <w:jc w:val="center"/>
              <w:rPr>
                <w:rFonts w:cs="Arial"/>
                <w:b/>
                <w:bCs/>
                <w:sz w:val="20"/>
              </w:rPr>
            </w:pPr>
            <w:r w:rsidRPr="00A966B6">
              <w:rPr>
                <w:rFonts w:cs="Arial"/>
                <w:b/>
                <w:bCs/>
                <w:sz w:val="20"/>
              </w:rPr>
              <w:t>44</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E5A7636" w14:textId="77777777" w:rsidR="00A770D2" w:rsidRPr="00A966B6" w:rsidRDefault="009C31E7" w:rsidP="00A770D2">
            <w:pPr>
              <w:spacing w:after="0" w:line="300" w:lineRule="exact"/>
              <w:jc w:val="center"/>
              <w:rPr>
                <w:rFonts w:cs="Arial"/>
                <w:b/>
                <w:bCs/>
                <w:sz w:val="20"/>
              </w:rPr>
            </w:pPr>
            <w:r w:rsidRPr="00A966B6">
              <w:rPr>
                <w:rFonts w:cs="Arial"/>
                <w:b/>
                <w:bCs/>
                <w:sz w:val="20"/>
              </w:rPr>
              <w:t>29,14%</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2F75CB69" w14:textId="77777777" w:rsidR="00A770D2" w:rsidRPr="00A966B6" w:rsidRDefault="009C31E7" w:rsidP="00A770D2">
            <w:pPr>
              <w:spacing w:after="0" w:line="300" w:lineRule="exact"/>
              <w:jc w:val="center"/>
              <w:rPr>
                <w:rFonts w:cs="Arial"/>
                <w:sz w:val="20"/>
              </w:rPr>
            </w:pPr>
            <w:r w:rsidRPr="00A966B6">
              <w:rPr>
                <w:rFonts w:cs="Arial"/>
                <w:sz w:val="20"/>
              </w:rPr>
              <w:t>-12</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55095429" w14:textId="77777777" w:rsidR="00A770D2" w:rsidRPr="00A966B6" w:rsidRDefault="00CC21BC" w:rsidP="00A770D2">
            <w:pPr>
              <w:spacing w:after="0" w:line="300" w:lineRule="exact"/>
              <w:jc w:val="center"/>
              <w:rPr>
                <w:rFonts w:cs="Arial"/>
                <w:sz w:val="20"/>
              </w:rPr>
            </w:pPr>
            <w:r w:rsidRPr="00A966B6">
              <w:rPr>
                <w:rFonts w:cs="Arial"/>
                <w:sz w:val="20"/>
              </w:rPr>
              <w:t>-21,43%</w:t>
            </w:r>
          </w:p>
        </w:tc>
      </w:tr>
      <w:tr w:rsidR="00A966B6" w:rsidRPr="00A966B6" w14:paraId="56F94823"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14E3C5F0" w14:textId="77777777" w:rsidR="00A770D2" w:rsidRPr="00A966B6" w:rsidRDefault="00A770D2" w:rsidP="00A770D2">
            <w:pPr>
              <w:spacing w:after="0" w:line="300" w:lineRule="exact"/>
              <w:rPr>
                <w:rFonts w:cs="Arial"/>
                <w:sz w:val="20"/>
              </w:rPr>
            </w:pPr>
            <w:r w:rsidRPr="00A966B6">
              <w:rPr>
                <w:rFonts w:cs="Arial"/>
                <w:sz w:val="20"/>
              </w:rPr>
              <w:t>Jihočeský kraj</w:t>
            </w:r>
          </w:p>
        </w:tc>
        <w:tc>
          <w:tcPr>
            <w:tcW w:w="887" w:type="dxa"/>
            <w:tcBorders>
              <w:top w:val="nil"/>
              <w:left w:val="nil"/>
              <w:bottom w:val="single" w:sz="4" w:space="0" w:color="auto"/>
              <w:right w:val="single" w:sz="4" w:space="0" w:color="auto"/>
            </w:tcBorders>
            <w:shd w:val="clear" w:color="auto" w:fill="auto"/>
            <w:noWrap/>
            <w:vAlign w:val="bottom"/>
          </w:tcPr>
          <w:p w14:paraId="012D524C" w14:textId="77777777" w:rsidR="00A770D2" w:rsidRPr="00A966B6" w:rsidRDefault="00471FE6" w:rsidP="00A770D2">
            <w:pPr>
              <w:spacing w:after="0" w:line="300" w:lineRule="exact"/>
              <w:jc w:val="center"/>
              <w:rPr>
                <w:rFonts w:cs="Arial"/>
                <w:b/>
                <w:bCs/>
                <w:sz w:val="20"/>
              </w:rPr>
            </w:pPr>
            <w:r w:rsidRPr="00A966B6">
              <w:rPr>
                <w:rFonts w:cs="Arial"/>
                <w:b/>
                <w:bCs/>
                <w:sz w:val="20"/>
              </w:rPr>
              <w:t>4</w:t>
            </w:r>
          </w:p>
        </w:tc>
        <w:tc>
          <w:tcPr>
            <w:tcW w:w="1009" w:type="dxa"/>
            <w:tcBorders>
              <w:top w:val="nil"/>
              <w:left w:val="nil"/>
              <w:bottom w:val="single" w:sz="4" w:space="0" w:color="auto"/>
              <w:right w:val="single" w:sz="4" w:space="0" w:color="auto"/>
            </w:tcBorders>
            <w:shd w:val="clear" w:color="auto" w:fill="auto"/>
            <w:noWrap/>
            <w:vAlign w:val="bottom"/>
          </w:tcPr>
          <w:p w14:paraId="42BAD360" w14:textId="77777777" w:rsidR="00A770D2" w:rsidRPr="00A966B6" w:rsidRDefault="009C31E7" w:rsidP="00A770D2">
            <w:pPr>
              <w:spacing w:after="0" w:line="300" w:lineRule="exact"/>
              <w:jc w:val="center"/>
              <w:rPr>
                <w:rFonts w:cs="Arial"/>
                <w:b/>
                <w:bCs/>
                <w:sz w:val="20"/>
              </w:rPr>
            </w:pPr>
            <w:r w:rsidRPr="00A966B6">
              <w:rPr>
                <w:rFonts w:cs="Arial"/>
                <w:b/>
                <w:bCs/>
                <w:sz w:val="20"/>
              </w:rPr>
              <w:t>2,65%</w:t>
            </w:r>
          </w:p>
        </w:tc>
        <w:tc>
          <w:tcPr>
            <w:tcW w:w="674" w:type="dxa"/>
            <w:tcBorders>
              <w:top w:val="nil"/>
              <w:left w:val="nil"/>
              <w:bottom w:val="single" w:sz="4" w:space="0" w:color="auto"/>
              <w:right w:val="single" w:sz="4" w:space="0" w:color="auto"/>
            </w:tcBorders>
            <w:shd w:val="clear" w:color="auto" w:fill="auto"/>
            <w:noWrap/>
            <w:vAlign w:val="bottom"/>
          </w:tcPr>
          <w:p w14:paraId="144BD256" w14:textId="77777777" w:rsidR="00A770D2" w:rsidRPr="00A966B6" w:rsidRDefault="009C31E7" w:rsidP="00A770D2">
            <w:pPr>
              <w:spacing w:after="0" w:line="300" w:lineRule="exact"/>
              <w:jc w:val="center"/>
              <w:rPr>
                <w:rFonts w:cs="Arial"/>
                <w:sz w:val="20"/>
              </w:rPr>
            </w:pPr>
            <w:r w:rsidRPr="00A966B6">
              <w:rPr>
                <w:rFonts w:cs="Arial"/>
                <w:sz w:val="20"/>
              </w:rPr>
              <w:t>-4</w:t>
            </w:r>
          </w:p>
        </w:tc>
        <w:tc>
          <w:tcPr>
            <w:tcW w:w="1277" w:type="dxa"/>
            <w:tcBorders>
              <w:top w:val="nil"/>
              <w:left w:val="nil"/>
              <w:bottom w:val="single" w:sz="4" w:space="0" w:color="auto"/>
              <w:right w:val="single" w:sz="4" w:space="0" w:color="auto"/>
            </w:tcBorders>
            <w:shd w:val="clear" w:color="auto" w:fill="auto"/>
            <w:noWrap/>
            <w:vAlign w:val="bottom"/>
          </w:tcPr>
          <w:p w14:paraId="3BD0DE9F" w14:textId="77777777" w:rsidR="00A770D2" w:rsidRPr="00A966B6" w:rsidRDefault="00CC21BC" w:rsidP="00A770D2">
            <w:pPr>
              <w:spacing w:after="0" w:line="300" w:lineRule="exact"/>
              <w:jc w:val="center"/>
              <w:rPr>
                <w:rFonts w:cs="Arial"/>
                <w:sz w:val="20"/>
              </w:rPr>
            </w:pPr>
            <w:r w:rsidRPr="00A966B6">
              <w:rPr>
                <w:rFonts w:cs="Arial"/>
                <w:sz w:val="20"/>
              </w:rPr>
              <w:t>-50,00%</w:t>
            </w:r>
          </w:p>
        </w:tc>
      </w:tr>
      <w:tr w:rsidR="00A966B6" w:rsidRPr="00A966B6" w14:paraId="55BA3A65"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34514068" w14:textId="77777777" w:rsidR="00A770D2" w:rsidRPr="00A966B6" w:rsidRDefault="00A770D2" w:rsidP="00A770D2">
            <w:pPr>
              <w:spacing w:after="0" w:line="300" w:lineRule="exact"/>
              <w:rPr>
                <w:rFonts w:cs="Arial"/>
                <w:sz w:val="20"/>
              </w:rPr>
            </w:pPr>
            <w:r w:rsidRPr="00A966B6">
              <w:rPr>
                <w:rFonts w:cs="Arial"/>
                <w:sz w:val="20"/>
              </w:rPr>
              <w:t>Jihomoravský kraj</w:t>
            </w:r>
          </w:p>
        </w:tc>
        <w:tc>
          <w:tcPr>
            <w:tcW w:w="887" w:type="dxa"/>
            <w:tcBorders>
              <w:top w:val="nil"/>
              <w:left w:val="nil"/>
              <w:bottom w:val="single" w:sz="4" w:space="0" w:color="auto"/>
              <w:right w:val="single" w:sz="4" w:space="0" w:color="auto"/>
            </w:tcBorders>
            <w:shd w:val="clear" w:color="auto" w:fill="auto"/>
            <w:noWrap/>
            <w:vAlign w:val="bottom"/>
          </w:tcPr>
          <w:p w14:paraId="2C209985" w14:textId="77777777" w:rsidR="00A770D2" w:rsidRPr="00A966B6" w:rsidRDefault="00471FE6" w:rsidP="00A770D2">
            <w:pPr>
              <w:spacing w:after="0" w:line="300" w:lineRule="exact"/>
              <w:jc w:val="center"/>
              <w:rPr>
                <w:rFonts w:cs="Arial"/>
                <w:b/>
                <w:bCs/>
                <w:sz w:val="20"/>
              </w:rPr>
            </w:pPr>
            <w:r w:rsidRPr="00A966B6">
              <w:rPr>
                <w:rFonts w:cs="Arial"/>
                <w:b/>
                <w:bCs/>
                <w:sz w:val="20"/>
              </w:rPr>
              <w:t>9</w:t>
            </w:r>
          </w:p>
        </w:tc>
        <w:tc>
          <w:tcPr>
            <w:tcW w:w="1009" w:type="dxa"/>
            <w:tcBorders>
              <w:top w:val="nil"/>
              <w:left w:val="nil"/>
              <w:bottom w:val="single" w:sz="4" w:space="0" w:color="auto"/>
              <w:right w:val="single" w:sz="4" w:space="0" w:color="auto"/>
            </w:tcBorders>
            <w:shd w:val="clear" w:color="auto" w:fill="auto"/>
            <w:noWrap/>
            <w:vAlign w:val="bottom"/>
          </w:tcPr>
          <w:p w14:paraId="79AE3E95" w14:textId="77777777" w:rsidR="00A770D2" w:rsidRPr="00A966B6" w:rsidRDefault="009C31E7" w:rsidP="00A770D2">
            <w:pPr>
              <w:spacing w:after="0" w:line="300" w:lineRule="exact"/>
              <w:jc w:val="center"/>
              <w:rPr>
                <w:rFonts w:cs="Arial"/>
                <w:b/>
                <w:bCs/>
                <w:sz w:val="20"/>
              </w:rPr>
            </w:pPr>
            <w:r w:rsidRPr="00A966B6">
              <w:rPr>
                <w:rFonts w:cs="Arial"/>
                <w:b/>
                <w:bCs/>
                <w:sz w:val="20"/>
              </w:rPr>
              <w:t>5,96%</w:t>
            </w:r>
          </w:p>
        </w:tc>
        <w:tc>
          <w:tcPr>
            <w:tcW w:w="674" w:type="dxa"/>
            <w:tcBorders>
              <w:top w:val="nil"/>
              <w:left w:val="nil"/>
              <w:bottom w:val="single" w:sz="4" w:space="0" w:color="auto"/>
              <w:right w:val="single" w:sz="4" w:space="0" w:color="auto"/>
            </w:tcBorders>
            <w:shd w:val="clear" w:color="auto" w:fill="auto"/>
            <w:noWrap/>
            <w:vAlign w:val="bottom"/>
          </w:tcPr>
          <w:p w14:paraId="2CA3CDF8" w14:textId="77777777" w:rsidR="00A770D2" w:rsidRPr="00A966B6" w:rsidRDefault="009C31E7" w:rsidP="00A770D2">
            <w:pPr>
              <w:spacing w:after="0" w:line="300" w:lineRule="exact"/>
              <w:jc w:val="center"/>
              <w:rPr>
                <w:rFonts w:cs="Arial"/>
                <w:sz w:val="20"/>
              </w:rPr>
            </w:pPr>
            <w:r w:rsidRPr="00A966B6">
              <w:rPr>
                <w:rFonts w:cs="Arial"/>
                <w:sz w:val="20"/>
              </w:rPr>
              <w:t>-8</w:t>
            </w:r>
          </w:p>
        </w:tc>
        <w:tc>
          <w:tcPr>
            <w:tcW w:w="1277" w:type="dxa"/>
            <w:tcBorders>
              <w:top w:val="nil"/>
              <w:left w:val="nil"/>
              <w:bottom w:val="single" w:sz="4" w:space="0" w:color="auto"/>
              <w:right w:val="single" w:sz="4" w:space="0" w:color="auto"/>
            </w:tcBorders>
            <w:shd w:val="clear" w:color="auto" w:fill="auto"/>
            <w:noWrap/>
            <w:vAlign w:val="bottom"/>
          </w:tcPr>
          <w:p w14:paraId="2321760B" w14:textId="77777777" w:rsidR="00A770D2" w:rsidRPr="00A966B6" w:rsidRDefault="00CC21BC" w:rsidP="00A770D2">
            <w:pPr>
              <w:spacing w:after="0" w:line="300" w:lineRule="exact"/>
              <w:jc w:val="center"/>
              <w:rPr>
                <w:rFonts w:cs="Arial"/>
                <w:sz w:val="20"/>
              </w:rPr>
            </w:pPr>
            <w:r w:rsidRPr="00A966B6">
              <w:rPr>
                <w:rFonts w:cs="Arial"/>
                <w:sz w:val="20"/>
              </w:rPr>
              <w:t>-47,06%</w:t>
            </w:r>
          </w:p>
        </w:tc>
      </w:tr>
      <w:tr w:rsidR="00A966B6" w:rsidRPr="00A966B6" w14:paraId="561B0916"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645F0995" w14:textId="77777777" w:rsidR="00A770D2" w:rsidRPr="00A966B6" w:rsidRDefault="00A770D2" w:rsidP="00A770D2">
            <w:pPr>
              <w:spacing w:after="0" w:line="300" w:lineRule="exact"/>
              <w:rPr>
                <w:rFonts w:cs="Arial"/>
                <w:sz w:val="20"/>
              </w:rPr>
            </w:pPr>
            <w:r w:rsidRPr="00A966B6">
              <w:rPr>
                <w:rFonts w:cs="Arial"/>
                <w:sz w:val="20"/>
              </w:rPr>
              <w:t>Karlovarský kraj</w:t>
            </w:r>
          </w:p>
        </w:tc>
        <w:tc>
          <w:tcPr>
            <w:tcW w:w="887" w:type="dxa"/>
            <w:tcBorders>
              <w:top w:val="nil"/>
              <w:left w:val="nil"/>
              <w:bottom w:val="single" w:sz="4" w:space="0" w:color="auto"/>
              <w:right w:val="single" w:sz="4" w:space="0" w:color="auto"/>
            </w:tcBorders>
            <w:shd w:val="clear" w:color="auto" w:fill="auto"/>
            <w:noWrap/>
            <w:vAlign w:val="bottom"/>
          </w:tcPr>
          <w:p w14:paraId="2CFF919D" w14:textId="77777777" w:rsidR="00A770D2" w:rsidRPr="00A966B6" w:rsidRDefault="00471FE6" w:rsidP="00A770D2">
            <w:pPr>
              <w:spacing w:after="0" w:line="300" w:lineRule="exact"/>
              <w:jc w:val="center"/>
              <w:rPr>
                <w:rFonts w:cs="Arial"/>
                <w:b/>
                <w:bCs/>
                <w:sz w:val="20"/>
              </w:rPr>
            </w:pPr>
            <w:r w:rsidRPr="00A966B6">
              <w:rPr>
                <w:rFonts w:cs="Arial"/>
                <w:b/>
                <w:bCs/>
                <w:sz w:val="20"/>
              </w:rPr>
              <w:t>7</w:t>
            </w:r>
          </w:p>
        </w:tc>
        <w:tc>
          <w:tcPr>
            <w:tcW w:w="1009" w:type="dxa"/>
            <w:tcBorders>
              <w:top w:val="nil"/>
              <w:left w:val="nil"/>
              <w:bottom w:val="single" w:sz="4" w:space="0" w:color="auto"/>
              <w:right w:val="single" w:sz="4" w:space="0" w:color="auto"/>
            </w:tcBorders>
            <w:shd w:val="clear" w:color="auto" w:fill="auto"/>
            <w:noWrap/>
            <w:vAlign w:val="bottom"/>
          </w:tcPr>
          <w:p w14:paraId="638210DF" w14:textId="77777777" w:rsidR="00A770D2" w:rsidRPr="00A966B6" w:rsidRDefault="009C31E7" w:rsidP="00A770D2">
            <w:pPr>
              <w:spacing w:after="0" w:line="300" w:lineRule="exact"/>
              <w:jc w:val="center"/>
              <w:rPr>
                <w:rFonts w:cs="Arial"/>
                <w:b/>
                <w:bCs/>
                <w:sz w:val="20"/>
              </w:rPr>
            </w:pPr>
            <w:r w:rsidRPr="00A966B6">
              <w:rPr>
                <w:rFonts w:cs="Arial"/>
                <w:b/>
                <w:bCs/>
                <w:sz w:val="20"/>
              </w:rPr>
              <w:t>4,64%</w:t>
            </w:r>
          </w:p>
        </w:tc>
        <w:tc>
          <w:tcPr>
            <w:tcW w:w="674" w:type="dxa"/>
            <w:tcBorders>
              <w:top w:val="nil"/>
              <w:left w:val="nil"/>
              <w:bottom w:val="single" w:sz="4" w:space="0" w:color="auto"/>
              <w:right w:val="single" w:sz="4" w:space="0" w:color="auto"/>
            </w:tcBorders>
            <w:shd w:val="clear" w:color="auto" w:fill="auto"/>
            <w:noWrap/>
            <w:vAlign w:val="bottom"/>
          </w:tcPr>
          <w:p w14:paraId="0FCE16E1" w14:textId="77777777" w:rsidR="00A770D2" w:rsidRPr="00A966B6" w:rsidRDefault="009C31E7" w:rsidP="00A770D2">
            <w:pPr>
              <w:spacing w:after="0" w:line="300" w:lineRule="exact"/>
              <w:jc w:val="center"/>
              <w:rPr>
                <w:rFonts w:cs="Arial"/>
                <w:sz w:val="20"/>
              </w:rPr>
            </w:pPr>
            <w:r w:rsidRPr="00A966B6">
              <w:rPr>
                <w:rFonts w:cs="Arial"/>
                <w:sz w:val="20"/>
              </w:rPr>
              <w:t>-2</w:t>
            </w:r>
          </w:p>
        </w:tc>
        <w:tc>
          <w:tcPr>
            <w:tcW w:w="1277" w:type="dxa"/>
            <w:tcBorders>
              <w:top w:val="nil"/>
              <w:left w:val="nil"/>
              <w:bottom w:val="single" w:sz="4" w:space="0" w:color="auto"/>
              <w:right w:val="single" w:sz="4" w:space="0" w:color="auto"/>
            </w:tcBorders>
            <w:shd w:val="clear" w:color="auto" w:fill="auto"/>
            <w:noWrap/>
            <w:vAlign w:val="bottom"/>
          </w:tcPr>
          <w:p w14:paraId="70505D5F" w14:textId="77777777" w:rsidR="00A770D2" w:rsidRPr="00A966B6" w:rsidRDefault="00956A23" w:rsidP="00A770D2">
            <w:pPr>
              <w:spacing w:after="0" w:line="300" w:lineRule="exact"/>
              <w:jc w:val="center"/>
              <w:rPr>
                <w:rFonts w:cs="Arial"/>
                <w:sz w:val="20"/>
              </w:rPr>
            </w:pPr>
            <w:r w:rsidRPr="00A966B6">
              <w:rPr>
                <w:rFonts w:cs="Arial"/>
                <w:sz w:val="20"/>
              </w:rPr>
              <w:t>-22,22%</w:t>
            </w:r>
          </w:p>
        </w:tc>
      </w:tr>
      <w:tr w:rsidR="00A966B6" w:rsidRPr="00A966B6" w14:paraId="77D40E10"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66386955" w14:textId="77777777" w:rsidR="00A770D2" w:rsidRPr="00A966B6" w:rsidRDefault="00A770D2" w:rsidP="00A770D2">
            <w:pPr>
              <w:spacing w:after="0" w:line="300" w:lineRule="exact"/>
              <w:rPr>
                <w:rFonts w:cs="Arial"/>
                <w:sz w:val="20"/>
              </w:rPr>
            </w:pPr>
            <w:r w:rsidRPr="00A966B6">
              <w:rPr>
                <w:rFonts w:cs="Arial"/>
                <w:sz w:val="20"/>
              </w:rPr>
              <w:t>Kraj Vysočina</w:t>
            </w:r>
          </w:p>
        </w:tc>
        <w:tc>
          <w:tcPr>
            <w:tcW w:w="887" w:type="dxa"/>
            <w:tcBorders>
              <w:top w:val="nil"/>
              <w:left w:val="nil"/>
              <w:bottom w:val="single" w:sz="4" w:space="0" w:color="auto"/>
              <w:right w:val="single" w:sz="4" w:space="0" w:color="auto"/>
            </w:tcBorders>
            <w:shd w:val="clear" w:color="auto" w:fill="auto"/>
            <w:noWrap/>
            <w:vAlign w:val="bottom"/>
          </w:tcPr>
          <w:p w14:paraId="1D2DC1A4" w14:textId="77777777" w:rsidR="00A770D2" w:rsidRPr="00A966B6" w:rsidRDefault="00471FE6" w:rsidP="00A770D2">
            <w:pPr>
              <w:spacing w:after="0" w:line="300" w:lineRule="exact"/>
              <w:jc w:val="center"/>
              <w:rPr>
                <w:rFonts w:cs="Arial"/>
                <w:b/>
                <w:bCs/>
                <w:sz w:val="20"/>
              </w:rPr>
            </w:pPr>
            <w:r w:rsidRPr="00A966B6">
              <w:rPr>
                <w:rFonts w:cs="Arial"/>
                <w:b/>
                <w:bCs/>
                <w:sz w:val="20"/>
              </w:rPr>
              <w:t>0</w:t>
            </w:r>
          </w:p>
        </w:tc>
        <w:tc>
          <w:tcPr>
            <w:tcW w:w="1009" w:type="dxa"/>
            <w:tcBorders>
              <w:top w:val="nil"/>
              <w:left w:val="nil"/>
              <w:bottom w:val="single" w:sz="4" w:space="0" w:color="auto"/>
              <w:right w:val="single" w:sz="4" w:space="0" w:color="auto"/>
            </w:tcBorders>
            <w:shd w:val="clear" w:color="auto" w:fill="auto"/>
            <w:noWrap/>
            <w:vAlign w:val="bottom"/>
          </w:tcPr>
          <w:p w14:paraId="7F6A694C" w14:textId="77777777" w:rsidR="00A770D2" w:rsidRPr="00A966B6" w:rsidRDefault="009C31E7" w:rsidP="00A770D2">
            <w:pPr>
              <w:spacing w:after="0" w:line="300" w:lineRule="exact"/>
              <w:jc w:val="center"/>
              <w:rPr>
                <w:rFonts w:cs="Arial"/>
                <w:b/>
                <w:bCs/>
                <w:sz w:val="20"/>
              </w:rPr>
            </w:pPr>
            <w:r w:rsidRPr="00A966B6">
              <w:rPr>
                <w:rFonts w:cs="Arial"/>
                <w:b/>
                <w:bCs/>
                <w:sz w:val="20"/>
              </w:rPr>
              <w:t>0%</w:t>
            </w:r>
          </w:p>
        </w:tc>
        <w:tc>
          <w:tcPr>
            <w:tcW w:w="674" w:type="dxa"/>
            <w:tcBorders>
              <w:top w:val="nil"/>
              <w:left w:val="nil"/>
              <w:bottom w:val="single" w:sz="4" w:space="0" w:color="auto"/>
              <w:right w:val="single" w:sz="4" w:space="0" w:color="auto"/>
            </w:tcBorders>
            <w:shd w:val="clear" w:color="auto" w:fill="auto"/>
            <w:noWrap/>
            <w:vAlign w:val="bottom"/>
          </w:tcPr>
          <w:p w14:paraId="305675B5" w14:textId="77777777" w:rsidR="00A770D2" w:rsidRPr="00A966B6" w:rsidRDefault="009C31E7" w:rsidP="00A770D2">
            <w:pPr>
              <w:spacing w:after="0" w:line="300" w:lineRule="exact"/>
              <w:jc w:val="center"/>
              <w:rPr>
                <w:rFonts w:cs="Arial"/>
                <w:sz w:val="20"/>
              </w:rPr>
            </w:pPr>
            <w:r w:rsidRPr="00A966B6">
              <w:rPr>
                <w:rFonts w:cs="Arial"/>
                <w:sz w:val="20"/>
              </w:rPr>
              <w:t>-1</w:t>
            </w:r>
          </w:p>
        </w:tc>
        <w:tc>
          <w:tcPr>
            <w:tcW w:w="1277" w:type="dxa"/>
            <w:tcBorders>
              <w:top w:val="nil"/>
              <w:left w:val="nil"/>
              <w:bottom w:val="single" w:sz="4" w:space="0" w:color="auto"/>
              <w:right w:val="single" w:sz="4" w:space="0" w:color="auto"/>
            </w:tcBorders>
            <w:shd w:val="clear" w:color="auto" w:fill="auto"/>
            <w:noWrap/>
            <w:vAlign w:val="bottom"/>
          </w:tcPr>
          <w:p w14:paraId="7FEE6635" w14:textId="77777777" w:rsidR="00A770D2" w:rsidRPr="00A966B6" w:rsidRDefault="00956A23" w:rsidP="00A770D2">
            <w:pPr>
              <w:spacing w:after="0" w:line="300" w:lineRule="exact"/>
              <w:jc w:val="center"/>
              <w:rPr>
                <w:rFonts w:cs="Arial"/>
                <w:sz w:val="20"/>
              </w:rPr>
            </w:pPr>
            <w:r w:rsidRPr="00A966B6">
              <w:rPr>
                <w:rFonts w:cs="Arial"/>
                <w:sz w:val="20"/>
              </w:rPr>
              <w:t>-100,00%</w:t>
            </w:r>
          </w:p>
        </w:tc>
      </w:tr>
      <w:tr w:rsidR="00A966B6" w:rsidRPr="00A966B6" w14:paraId="6B1AC5F8"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1D2C841C" w14:textId="77777777" w:rsidR="00A770D2" w:rsidRPr="00A966B6" w:rsidRDefault="00A770D2" w:rsidP="00A770D2">
            <w:pPr>
              <w:spacing w:after="0" w:line="300" w:lineRule="exact"/>
              <w:rPr>
                <w:rFonts w:cs="Arial"/>
                <w:sz w:val="20"/>
              </w:rPr>
            </w:pPr>
            <w:r w:rsidRPr="00A966B6">
              <w:rPr>
                <w:rFonts w:cs="Arial"/>
                <w:sz w:val="20"/>
              </w:rPr>
              <w:t>Královéhradecký kraj</w:t>
            </w:r>
          </w:p>
        </w:tc>
        <w:tc>
          <w:tcPr>
            <w:tcW w:w="887" w:type="dxa"/>
            <w:tcBorders>
              <w:top w:val="nil"/>
              <w:left w:val="nil"/>
              <w:bottom w:val="single" w:sz="4" w:space="0" w:color="auto"/>
              <w:right w:val="single" w:sz="4" w:space="0" w:color="auto"/>
            </w:tcBorders>
            <w:shd w:val="clear" w:color="auto" w:fill="auto"/>
            <w:noWrap/>
            <w:vAlign w:val="bottom"/>
          </w:tcPr>
          <w:p w14:paraId="4FD4E93B" w14:textId="77777777" w:rsidR="00A770D2" w:rsidRPr="00A966B6" w:rsidRDefault="00471FE6" w:rsidP="00A770D2">
            <w:pPr>
              <w:spacing w:after="0" w:line="300" w:lineRule="exact"/>
              <w:jc w:val="center"/>
              <w:rPr>
                <w:rFonts w:cs="Arial"/>
                <w:b/>
                <w:bCs/>
                <w:sz w:val="20"/>
              </w:rPr>
            </w:pPr>
            <w:r w:rsidRPr="00A966B6">
              <w:rPr>
                <w:rFonts w:cs="Arial"/>
                <w:b/>
                <w:bCs/>
                <w:sz w:val="20"/>
              </w:rPr>
              <w:t>6</w:t>
            </w:r>
          </w:p>
        </w:tc>
        <w:tc>
          <w:tcPr>
            <w:tcW w:w="1009" w:type="dxa"/>
            <w:tcBorders>
              <w:top w:val="nil"/>
              <w:left w:val="nil"/>
              <w:bottom w:val="single" w:sz="4" w:space="0" w:color="auto"/>
              <w:right w:val="single" w:sz="4" w:space="0" w:color="auto"/>
            </w:tcBorders>
            <w:shd w:val="clear" w:color="auto" w:fill="auto"/>
            <w:noWrap/>
            <w:vAlign w:val="bottom"/>
          </w:tcPr>
          <w:p w14:paraId="36046C14" w14:textId="77777777" w:rsidR="00A770D2" w:rsidRPr="00A966B6" w:rsidRDefault="009C31E7" w:rsidP="00A770D2">
            <w:pPr>
              <w:spacing w:after="0" w:line="300" w:lineRule="exact"/>
              <w:jc w:val="center"/>
              <w:rPr>
                <w:rFonts w:cs="Arial"/>
                <w:b/>
                <w:bCs/>
                <w:sz w:val="20"/>
              </w:rPr>
            </w:pPr>
            <w:r w:rsidRPr="00A966B6">
              <w:rPr>
                <w:rFonts w:cs="Arial"/>
                <w:b/>
                <w:bCs/>
                <w:sz w:val="20"/>
              </w:rPr>
              <w:t>3,97%</w:t>
            </w:r>
          </w:p>
        </w:tc>
        <w:tc>
          <w:tcPr>
            <w:tcW w:w="674" w:type="dxa"/>
            <w:tcBorders>
              <w:top w:val="nil"/>
              <w:left w:val="nil"/>
              <w:bottom w:val="single" w:sz="4" w:space="0" w:color="auto"/>
              <w:right w:val="single" w:sz="4" w:space="0" w:color="auto"/>
            </w:tcBorders>
            <w:shd w:val="clear" w:color="auto" w:fill="auto"/>
            <w:noWrap/>
            <w:vAlign w:val="bottom"/>
          </w:tcPr>
          <w:p w14:paraId="62B30777" w14:textId="77777777" w:rsidR="00A770D2" w:rsidRPr="00A966B6" w:rsidRDefault="009C31E7" w:rsidP="00A770D2">
            <w:pPr>
              <w:spacing w:after="0" w:line="300" w:lineRule="exact"/>
              <w:jc w:val="center"/>
              <w:rPr>
                <w:rFonts w:cs="Arial"/>
                <w:sz w:val="20"/>
              </w:rPr>
            </w:pPr>
            <w:r w:rsidRPr="00A966B6">
              <w:rPr>
                <w:rFonts w:cs="Arial"/>
                <w:sz w:val="20"/>
              </w:rPr>
              <w:t>-1</w:t>
            </w:r>
          </w:p>
        </w:tc>
        <w:tc>
          <w:tcPr>
            <w:tcW w:w="1277" w:type="dxa"/>
            <w:tcBorders>
              <w:top w:val="nil"/>
              <w:left w:val="nil"/>
              <w:bottom w:val="single" w:sz="4" w:space="0" w:color="auto"/>
              <w:right w:val="single" w:sz="4" w:space="0" w:color="auto"/>
            </w:tcBorders>
            <w:shd w:val="clear" w:color="auto" w:fill="auto"/>
            <w:noWrap/>
            <w:vAlign w:val="bottom"/>
          </w:tcPr>
          <w:p w14:paraId="09325605" w14:textId="77777777" w:rsidR="00A770D2" w:rsidRPr="00A966B6" w:rsidRDefault="00956A23" w:rsidP="00A770D2">
            <w:pPr>
              <w:spacing w:after="0" w:line="300" w:lineRule="exact"/>
              <w:jc w:val="center"/>
              <w:rPr>
                <w:rFonts w:cs="Arial"/>
                <w:sz w:val="20"/>
              </w:rPr>
            </w:pPr>
            <w:r w:rsidRPr="00A966B6">
              <w:rPr>
                <w:rFonts w:cs="Arial"/>
                <w:sz w:val="20"/>
              </w:rPr>
              <w:t>-14,28%</w:t>
            </w:r>
          </w:p>
        </w:tc>
      </w:tr>
      <w:tr w:rsidR="00A966B6" w:rsidRPr="00A966B6" w14:paraId="746531E1"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7D29B838" w14:textId="77777777" w:rsidR="00A770D2" w:rsidRPr="00A966B6" w:rsidRDefault="00A770D2" w:rsidP="00A770D2">
            <w:pPr>
              <w:spacing w:after="0" w:line="300" w:lineRule="exact"/>
              <w:rPr>
                <w:rFonts w:cs="Arial"/>
                <w:sz w:val="20"/>
              </w:rPr>
            </w:pPr>
            <w:r w:rsidRPr="00A966B6">
              <w:rPr>
                <w:rFonts w:cs="Arial"/>
                <w:sz w:val="20"/>
              </w:rPr>
              <w:t>Liberecký kraj</w:t>
            </w:r>
          </w:p>
        </w:tc>
        <w:tc>
          <w:tcPr>
            <w:tcW w:w="887" w:type="dxa"/>
            <w:tcBorders>
              <w:top w:val="nil"/>
              <w:left w:val="nil"/>
              <w:bottom w:val="single" w:sz="4" w:space="0" w:color="auto"/>
              <w:right w:val="single" w:sz="4" w:space="0" w:color="auto"/>
            </w:tcBorders>
            <w:shd w:val="clear" w:color="auto" w:fill="auto"/>
            <w:noWrap/>
            <w:vAlign w:val="bottom"/>
          </w:tcPr>
          <w:p w14:paraId="448D49BC" w14:textId="77777777" w:rsidR="00A770D2" w:rsidRPr="00A966B6" w:rsidRDefault="00471FE6" w:rsidP="00A770D2">
            <w:pPr>
              <w:spacing w:after="0" w:line="300" w:lineRule="exact"/>
              <w:jc w:val="center"/>
              <w:rPr>
                <w:rFonts w:cs="Arial"/>
                <w:b/>
                <w:bCs/>
                <w:sz w:val="20"/>
              </w:rPr>
            </w:pPr>
            <w:r w:rsidRPr="00A966B6">
              <w:rPr>
                <w:rFonts w:cs="Arial"/>
                <w:b/>
                <w:bCs/>
                <w:sz w:val="20"/>
              </w:rPr>
              <w:t>3</w:t>
            </w:r>
          </w:p>
        </w:tc>
        <w:tc>
          <w:tcPr>
            <w:tcW w:w="1009" w:type="dxa"/>
            <w:tcBorders>
              <w:top w:val="nil"/>
              <w:left w:val="nil"/>
              <w:bottom w:val="single" w:sz="4" w:space="0" w:color="auto"/>
              <w:right w:val="single" w:sz="4" w:space="0" w:color="auto"/>
            </w:tcBorders>
            <w:shd w:val="clear" w:color="auto" w:fill="auto"/>
            <w:noWrap/>
            <w:vAlign w:val="bottom"/>
          </w:tcPr>
          <w:p w14:paraId="7B5281D7" w14:textId="77777777" w:rsidR="00A770D2" w:rsidRPr="00A966B6" w:rsidRDefault="009C31E7" w:rsidP="009C31E7">
            <w:pPr>
              <w:spacing w:after="0" w:line="300" w:lineRule="exact"/>
              <w:jc w:val="center"/>
              <w:rPr>
                <w:rFonts w:cs="Arial"/>
                <w:b/>
                <w:bCs/>
                <w:sz w:val="20"/>
              </w:rPr>
            </w:pPr>
            <w:r w:rsidRPr="00A966B6">
              <w:rPr>
                <w:rFonts w:cs="Arial"/>
                <w:b/>
                <w:bCs/>
                <w:sz w:val="20"/>
              </w:rPr>
              <w:t>1,98%</w:t>
            </w:r>
          </w:p>
        </w:tc>
        <w:tc>
          <w:tcPr>
            <w:tcW w:w="674" w:type="dxa"/>
            <w:tcBorders>
              <w:top w:val="nil"/>
              <w:left w:val="nil"/>
              <w:bottom w:val="single" w:sz="4" w:space="0" w:color="auto"/>
              <w:right w:val="single" w:sz="4" w:space="0" w:color="auto"/>
            </w:tcBorders>
            <w:shd w:val="clear" w:color="auto" w:fill="auto"/>
            <w:noWrap/>
            <w:vAlign w:val="bottom"/>
          </w:tcPr>
          <w:p w14:paraId="274C1F6D" w14:textId="77777777" w:rsidR="00A770D2" w:rsidRPr="00A966B6" w:rsidRDefault="009C31E7" w:rsidP="00A770D2">
            <w:pPr>
              <w:spacing w:after="0" w:line="300" w:lineRule="exact"/>
              <w:jc w:val="center"/>
              <w:rPr>
                <w:rFonts w:cs="Arial"/>
                <w:sz w:val="20"/>
              </w:rPr>
            </w:pPr>
            <w:r w:rsidRPr="00A966B6">
              <w:rPr>
                <w:rFonts w:cs="Arial"/>
                <w:sz w:val="20"/>
              </w:rPr>
              <w:t>-10</w:t>
            </w:r>
          </w:p>
        </w:tc>
        <w:tc>
          <w:tcPr>
            <w:tcW w:w="1277" w:type="dxa"/>
            <w:tcBorders>
              <w:top w:val="nil"/>
              <w:left w:val="nil"/>
              <w:bottom w:val="single" w:sz="4" w:space="0" w:color="auto"/>
              <w:right w:val="single" w:sz="4" w:space="0" w:color="auto"/>
            </w:tcBorders>
            <w:shd w:val="clear" w:color="auto" w:fill="auto"/>
            <w:noWrap/>
            <w:vAlign w:val="bottom"/>
          </w:tcPr>
          <w:p w14:paraId="2E5E5810" w14:textId="77777777" w:rsidR="00A770D2" w:rsidRPr="00A966B6" w:rsidRDefault="00956A23" w:rsidP="00A770D2">
            <w:pPr>
              <w:spacing w:after="0" w:line="300" w:lineRule="exact"/>
              <w:jc w:val="center"/>
              <w:rPr>
                <w:rFonts w:cs="Arial"/>
                <w:sz w:val="20"/>
              </w:rPr>
            </w:pPr>
            <w:r w:rsidRPr="00A966B6">
              <w:rPr>
                <w:rFonts w:cs="Arial"/>
                <w:sz w:val="20"/>
              </w:rPr>
              <w:t>-76,92%</w:t>
            </w:r>
          </w:p>
        </w:tc>
      </w:tr>
      <w:tr w:rsidR="00A966B6" w:rsidRPr="00A966B6" w14:paraId="46133308"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69377D4C" w14:textId="77777777" w:rsidR="00A770D2" w:rsidRPr="00A966B6" w:rsidRDefault="00A770D2" w:rsidP="00A770D2">
            <w:pPr>
              <w:spacing w:after="0" w:line="300" w:lineRule="exact"/>
              <w:rPr>
                <w:rFonts w:cs="Arial"/>
                <w:sz w:val="20"/>
              </w:rPr>
            </w:pPr>
            <w:r w:rsidRPr="00A966B6">
              <w:rPr>
                <w:rFonts w:cs="Arial"/>
                <w:sz w:val="20"/>
              </w:rPr>
              <w:t>Moravskoslezský kraj</w:t>
            </w:r>
          </w:p>
        </w:tc>
        <w:tc>
          <w:tcPr>
            <w:tcW w:w="887" w:type="dxa"/>
            <w:tcBorders>
              <w:top w:val="nil"/>
              <w:left w:val="nil"/>
              <w:bottom w:val="single" w:sz="4" w:space="0" w:color="auto"/>
              <w:right w:val="single" w:sz="4" w:space="0" w:color="auto"/>
            </w:tcBorders>
            <w:shd w:val="clear" w:color="auto" w:fill="auto"/>
            <w:noWrap/>
            <w:vAlign w:val="bottom"/>
          </w:tcPr>
          <w:p w14:paraId="10CEB07E" w14:textId="77777777" w:rsidR="00A770D2" w:rsidRPr="00A966B6" w:rsidRDefault="00471FE6" w:rsidP="00A770D2">
            <w:pPr>
              <w:spacing w:after="0" w:line="300" w:lineRule="exact"/>
              <w:jc w:val="center"/>
              <w:rPr>
                <w:rFonts w:cs="Arial"/>
                <w:b/>
                <w:bCs/>
                <w:sz w:val="20"/>
              </w:rPr>
            </w:pPr>
            <w:r w:rsidRPr="00A966B6">
              <w:rPr>
                <w:rFonts w:cs="Arial"/>
                <w:b/>
                <w:bCs/>
                <w:sz w:val="20"/>
              </w:rPr>
              <w:t>21</w:t>
            </w:r>
          </w:p>
        </w:tc>
        <w:tc>
          <w:tcPr>
            <w:tcW w:w="1009" w:type="dxa"/>
            <w:tcBorders>
              <w:top w:val="nil"/>
              <w:left w:val="nil"/>
              <w:bottom w:val="single" w:sz="4" w:space="0" w:color="auto"/>
              <w:right w:val="single" w:sz="4" w:space="0" w:color="auto"/>
            </w:tcBorders>
            <w:shd w:val="clear" w:color="auto" w:fill="auto"/>
            <w:noWrap/>
            <w:vAlign w:val="bottom"/>
          </w:tcPr>
          <w:p w14:paraId="64558A1E" w14:textId="77777777" w:rsidR="00A770D2" w:rsidRPr="00A966B6" w:rsidRDefault="009C31E7" w:rsidP="00A770D2">
            <w:pPr>
              <w:spacing w:after="0" w:line="300" w:lineRule="exact"/>
              <w:jc w:val="center"/>
              <w:rPr>
                <w:rFonts w:cs="Arial"/>
                <w:b/>
                <w:bCs/>
                <w:sz w:val="20"/>
              </w:rPr>
            </w:pPr>
            <w:r w:rsidRPr="00A966B6">
              <w:rPr>
                <w:rFonts w:cs="Arial"/>
                <w:b/>
                <w:bCs/>
                <w:sz w:val="20"/>
              </w:rPr>
              <w:t>13,91%</w:t>
            </w:r>
          </w:p>
        </w:tc>
        <w:tc>
          <w:tcPr>
            <w:tcW w:w="674" w:type="dxa"/>
            <w:tcBorders>
              <w:top w:val="nil"/>
              <w:left w:val="nil"/>
              <w:bottom w:val="single" w:sz="4" w:space="0" w:color="auto"/>
              <w:right w:val="single" w:sz="4" w:space="0" w:color="auto"/>
            </w:tcBorders>
            <w:shd w:val="clear" w:color="auto" w:fill="auto"/>
            <w:noWrap/>
            <w:vAlign w:val="bottom"/>
          </w:tcPr>
          <w:p w14:paraId="40A09184" w14:textId="77777777" w:rsidR="00A770D2" w:rsidRPr="00A966B6" w:rsidRDefault="009C31E7" w:rsidP="00A770D2">
            <w:pPr>
              <w:spacing w:after="0" w:line="300" w:lineRule="exact"/>
              <w:jc w:val="center"/>
              <w:rPr>
                <w:rFonts w:cs="Arial"/>
                <w:sz w:val="20"/>
              </w:rPr>
            </w:pPr>
            <w:r w:rsidRPr="00A966B6">
              <w:rPr>
                <w:rFonts w:cs="Arial"/>
                <w:sz w:val="20"/>
              </w:rPr>
              <w:t>+7</w:t>
            </w:r>
          </w:p>
        </w:tc>
        <w:tc>
          <w:tcPr>
            <w:tcW w:w="1277" w:type="dxa"/>
            <w:tcBorders>
              <w:top w:val="nil"/>
              <w:left w:val="nil"/>
              <w:bottom w:val="single" w:sz="4" w:space="0" w:color="auto"/>
              <w:right w:val="single" w:sz="4" w:space="0" w:color="auto"/>
            </w:tcBorders>
            <w:shd w:val="clear" w:color="auto" w:fill="auto"/>
            <w:noWrap/>
            <w:vAlign w:val="bottom"/>
          </w:tcPr>
          <w:p w14:paraId="6AFB4F04" w14:textId="77777777" w:rsidR="00A770D2" w:rsidRPr="00A966B6" w:rsidRDefault="00956A23" w:rsidP="00A770D2">
            <w:pPr>
              <w:spacing w:after="0" w:line="300" w:lineRule="exact"/>
              <w:jc w:val="center"/>
              <w:rPr>
                <w:rFonts w:cs="Arial"/>
                <w:sz w:val="20"/>
              </w:rPr>
            </w:pPr>
            <w:r w:rsidRPr="00A966B6">
              <w:rPr>
                <w:rFonts w:cs="Arial"/>
                <w:sz w:val="20"/>
              </w:rPr>
              <w:t>+50,00%</w:t>
            </w:r>
          </w:p>
        </w:tc>
      </w:tr>
      <w:tr w:rsidR="00A966B6" w:rsidRPr="00A966B6" w14:paraId="3FF392CF"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98701" w14:textId="77777777" w:rsidR="00A770D2" w:rsidRPr="00A966B6" w:rsidRDefault="00A770D2" w:rsidP="00A770D2">
            <w:pPr>
              <w:spacing w:after="0" w:line="300" w:lineRule="exact"/>
              <w:rPr>
                <w:rFonts w:cs="Arial"/>
                <w:sz w:val="20"/>
              </w:rPr>
            </w:pPr>
            <w:r w:rsidRPr="00A966B6">
              <w:rPr>
                <w:rFonts w:cs="Arial"/>
                <w:sz w:val="20"/>
              </w:rPr>
              <w:t>Olomoucký kraj</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D2E0B" w14:textId="77777777" w:rsidR="00A770D2" w:rsidRPr="00A966B6" w:rsidRDefault="00471FE6" w:rsidP="00A770D2">
            <w:pPr>
              <w:spacing w:after="0" w:line="300" w:lineRule="exact"/>
              <w:jc w:val="center"/>
              <w:rPr>
                <w:rFonts w:cs="Arial"/>
                <w:b/>
                <w:bCs/>
                <w:sz w:val="20"/>
              </w:rPr>
            </w:pPr>
            <w:r w:rsidRPr="00A966B6">
              <w:rPr>
                <w:rFonts w:cs="Arial"/>
                <w:b/>
                <w:bCs/>
                <w:sz w:val="20"/>
              </w:rPr>
              <w:t>9</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C3F6D" w14:textId="77777777" w:rsidR="00A770D2" w:rsidRPr="00A966B6" w:rsidRDefault="009C31E7" w:rsidP="00A770D2">
            <w:pPr>
              <w:spacing w:after="0" w:line="300" w:lineRule="exact"/>
              <w:jc w:val="center"/>
              <w:rPr>
                <w:rFonts w:cs="Arial"/>
                <w:b/>
                <w:bCs/>
                <w:sz w:val="20"/>
              </w:rPr>
            </w:pPr>
            <w:r w:rsidRPr="00A966B6">
              <w:rPr>
                <w:rFonts w:cs="Arial"/>
                <w:b/>
                <w:bCs/>
                <w:sz w:val="20"/>
              </w:rPr>
              <w:t>5,96%</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A13DC" w14:textId="77777777" w:rsidR="00A770D2" w:rsidRPr="00A966B6" w:rsidRDefault="009C31E7" w:rsidP="00A770D2">
            <w:pPr>
              <w:spacing w:after="0" w:line="300" w:lineRule="exact"/>
              <w:jc w:val="center"/>
              <w:rPr>
                <w:rFonts w:cs="Arial"/>
                <w:sz w:val="20"/>
              </w:rPr>
            </w:pPr>
            <w:r w:rsidRPr="00A966B6">
              <w:rPr>
                <w:rFonts w:cs="Arial"/>
                <w:sz w:val="20"/>
              </w:rPr>
              <w:t>+2</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8C1E6" w14:textId="77777777" w:rsidR="00A770D2" w:rsidRPr="00A966B6" w:rsidRDefault="00956A23" w:rsidP="00A770D2">
            <w:pPr>
              <w:spacing w:after="0" w:line="300" w:lineRule="exact"/>
              <w:jc w:val="center"/>
              <w:rPr>
                <w:rFonts w:cs="Arial"/>
                <w:sz w:val="20"/>
              </w:rPr>
            </w:pPr>
            <w:r w:rsidRPr="00A966B6">
              <w:rPr>
                <w:rFonts w:cs="Arial"/>
                <w:sz w:val="20"/>
              </w:rPr>
              <w:t>+28,57%</w:t>
            </w:r>
          </w:p>
        </w:tc>
      </w:tr>
      <w:tr w:rsidR="00A966B6" w:rsidRPr="00A966B6" w14:paraId="6AD557F8"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3EB95" w14:textId="77777777" w:rsidR="00A770D2" w:rsidRPr="00A966B6" w:rsidRDefault="00A770D2" w:rsidP="00A770D2">
            <w:pPr>
              <w:spacing w:after="0" w:line="300" w:lineRule="exact"/>
              <w:rPr>
                <w:rFonts w:cs="Arial"/>
                <w:sz w:val="20"/>
              </w:rPr>
            </w:pPr>
            <w:r w:rsidRPr="00A966B6">
              <w:rPr>
                <w:rFonts w:cs="Arial"/>
                <w:sz w:val="20"/>
              </w:rPr>
              <w:t>Pardubický kraj</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1B1E8" w14:textId="77777777" w:rsidR="00A770D2" w:rsidRPr="00A966B6" w:rsidRDefault="00471FE6" w:rsidP="00A770D2">
            <w:pPr>
              <w:spacing w:after="0" w:line="300" w:lineRule="exact"/>
              <w:jc w:val="center"/>
              <w:rPr>
                <w:rFonts w:cs="Arial"/>
                <w:b/>
                <w:bCs/>
                <w:sz w:val="20"/>
              </w:rPr>
            </w:pPr>
            <w:r w:rsidRPr="00A966B6">
              <w:rPr>
                <w:rFonts w:cs="Arial"/>
                <w:b/>
                <w:bCs/>
                <w:sz w:val="20"/>
              </w:rPr>
              <w:t>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2F802" w14:textId="77777777" w:rsidR="00A770D2" w:rsidRPr="00A966B6" w:rsidRDefault="009C31E7" w:rsidP="00A770D2">
            <w:pPr>
              <w:spacing w:after="0" w:line="300" w:lineRule="exact"/>
              <w:jc w:val="center"/>
              <w:rPr>
                <w:rFonts w:cs="Arial"/>
                <w:b/>
                <w:bCs/>
                <w:sz w:val="20"/>
              </w:rPr>
            </w:pPr>
            <w:r w:rsidRPr="00A966B6">
              <w:rPr>
                <w:rFonts w:cs="Arial"/>
                <w:b/>
                <w:bCs/>
                <w:sz w:val="20"/>
              </w:rPr>
              <w:t>0,66%</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13FC3" w14:textId="77777777" w:rsidR="00A770D2" w:rsidRPr="00A966B6" w:rsidRDefault="009C31E7" w:rsidP="00A770D2">
            <w:pPr>
              <w:spacing w:after="0" w:line="300" w:lineRule="exact"/>
              <w:jc w:val="center"/>
              <w:rPr>
                <w:rFonts w:cs="Arial"/>
                <w:sz w:val="20"/>
              </w:rPr>
            </w:pPr>
            <w:r w:rsidRPr="00A966B6">
              <w:rPr>
                <w:rFonts w:cs="Arial"/>
                <w:sz w:val="20"/>
              </w:rPr>
              <w:t>-6</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1046" w14:textId="77777777" w:rsidR="00A770D2" w:rsidRPr="00A966B6" w:rsidRDefault="00956A23" w:rsidP="00A770D2">
            <w:pPr>
              <w:spacing w:after="0" w:line="300" w:lineRule="exact"/>
              <w:jc w:val="center"/>
              <w:rPr>
                <w:rFonts w:cs="Arial"/>
                <w:sz w:val="20"/>
              </w:rPr>
            </w:pPr>
            <w:r w:rsidRPr="00A966B6">
              <w:rPr>
                <w:rFonts w:cs="Arial"/>
                <w:sz w:val="20"/>
              </w:rPr>
              <w:t>-85,71%</w:t>
            </w:r>
          </w:p>
        </w:tc>
      </w:tr>
      <w:tr w:rsidR="00A966B6" w:rsidRPr="00A966B6" w14:paraId="7F1BECA7"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CBFC1" w14:textId="77777777" w:rsidR="00A770D2" w:rsidRPr="00A966B6" w:rsidRDefault="00A770D2" w:rsidP="00A770D2">
            <w:pPr>
              <w:spacing w:after="0" w:line="300" w:lineRule="exact"/>
              <w:rPr>
                <w:rFonts w:cs="Arial"/>
                <w:sz w:val="20"/>
              </w:rPr>
            </w:pPr>
            <w:r w:rsidRPr="00A966B6">
              <w:rPr>
                <w:rFonts w:cs="Arial"/>
                <w:sz w:val="20"/>
              </w:rPr>
              <w:t>Plzeňský kraj</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39750FED" w14:textId="77777777" w:rsidR="00A770D2" w:rsidRPr="00A966B6" w:rsidRDefault="00471FE6" w:rsidP="00A770D2">
            <w:pPr>
              <w:spacing w:after="0" w:line="300" w:lineRule="exact"/>
              <w:jc w:val="center"/>
              <w:rPr>
                <w:rFonts w:cs="Arial"/>
                <w:b/>
                <w:bCs/>
                <w:sz w:val="20"/>
              </w:rPr>
            </w:pPr>
            <w:r w:rsidRPr="00A966B6">
              <w:rPr>
                <w:rFonts w:cs="Arial"/>
                <w:b/>
                <w:bCs/>
                <w:sz w:val="20"/>
              </w:rPr>
              <w:t>16</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5AF0D582" w14:textId="77777777" w:rsidR="00A770D2" w:rsidRPr="00A966B6" w:rsidRDefault="009C31E7" w:rsidP="00A770D2">
            <w:pPr>
              <w:spacing w:after="0" w:line="300" w:lineRule="exact"/>
              <w:jc w:val="center"/>
              <w:rPr>
                <w:rFonts w:cs="Arial"/>
                <w:b/>
                <w:bCs/>
                <w:sz w:val="20"/>
              </w:rPr>
            </w:pPr>
            <w:r w:rsidRPr="00A966B6">
              <w:rPr>
                <w:rFonts w:cs="Arial"/>
                <w:b/>
                <w:bCs/>
                <w:sz w:val="20"/>
              </w:rPr>
              <w:t>10,60%</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643BB0F8" w14:textId="77777777" w:rsidR="00A770D2" w:rsidRPr="00A966B6" w:rsidRDefault="009C31E7" w:rsidP="00A770D2">
            <w:pPr>
              <w:spacing w:after="0" w:line="300" w:lineRule="exact"/>
              <w:jc w:val="center"/>
              <w:rPr>
                <w:rFonts w:cs="Arial"/>
                <w:sz w:val="20"/>
              </w:rPr>
            </w:pPr>
            <w:r w:rsidRPr="00A966B6">
              <w:rPr>
                <w:rFonts w:cs="Arial"/>
                <w:sz w:val="20"/>
              </w:rPr>
              <w:t>+10</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610104A4" w14:textId="77777777" w:rsidR="00A770D2" w:rsidRPr="00A966B6" w:rsidRDefault="00956A23" w:rsidP="00A770D2">
            <w:pPr>
              <w:spacing w:after="0" w:line="300" w:lineRule="exact"/>
              <w:jc w:val="center"/>
              <w:rPr>
                <w:rFonts w:cs="Arial"/>
                <w:sz w:val="20"/>
              </w:rPr>
            </w:pPr>
            <w:r w:rsidRPr="00A966B6">
              <w:rPr>
                <w:rFonts w:cs="Arial"/>
                <w:sz w:val="20"/>
              </w:rPr>
              <w:t>+166,67%</w:t>
            </w:r>
          </w:p>
        </w:tc>
      </w:tr>
      <w:tr w:rsidR="00A966B6" w:rsidRPr="00A966B6" w14:paraId="3EBEE324"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6D52C424" w14:textId="77777777" w:rsidR="00A770D2" w:rsidRPr="00A966B6" w:rsidRDefault="00A770D2" w:rsidP="00A770D2">
            <w:pPr>
              <w:spacing w:after="0" w:line="300" w:lineRule="exact"/>
              <w:rPr>
                <w:rFonts w:cs="Arial"/>
                <w:sz w:val="20"/>
              </w:rPr>
            </w:pPr>
            <w:r w:rsidRPr="00A966B6">
              <w:rPr>
                <w:rFonts w:cs="Arial"/>
                <w:sz w:val="20"/>
              </w:rPr>
              <w:t>Středočeský kraj</w:t>
            </w:r>
          </w:p>
        </w:tc>
        <w:tc>
          <w:tcPr>
            <w:tcW w:w="887" w:type="dxa"/>
            <w:tcBorders>
              <w:top w:val="nil"/>
              <w:left w:val="nil"/>
              <w:bottom w:val="single" w:sz="4" w:space="0" w:color="auto"/>
              <w:right w:val="single" w:sz="4" w:space="0" w:color="auto"/>
            </w:tcBorders>
            <w:shd w:val="clear" w:color="auto" w:fill="auto"/>
            <w:noWrap/>
            <w:vAlign w:val="bottom"/>
          </w:tcPr>
          <w:p w14:paraId="1B3B947D" w14:textId="77777777" w:rsidR="00A770D2" w:rsidRPr="00A966B6" w:rsidRDefault="00471FE6" w:rsidP="00A770D2">
            <w:pPr>
              <w:spacing w:after="0" w:line="300" w:lineRule="exact"/>
              <w:jc w:val="center"/>
              <w:rPr>
                <w:rFonts w:cs="Arial"/>
                <w:b/>
                <w:bCs/>
                <w:sz w:val="20"/>
              </w:rPr>
            </w:pPr>
            <w:r w:rsidRPr="00A966B6">
              <w:rPr>
                <w:rFonts w:cs="Arial"/>
                <w:b/>
                <w:bCs/>
                <w:sz w:val="20"/>
              </w:rPr>
              <w:t>12</w:t>
            </w:r>
          </w:p>
        </w:tc>
        <w:tc>
          <w:tcPr>
            <w:tcW w:w="1009" w:type="dxa"/>
            <w:tcBorders>
              <w:top w:val="nil"/>
              <w:left w:val="nil"/>
              <w:bottom w:val="single" w:sz="4" w:space="0" w:color="auto"/>
              <w:right w:val="single" w:sz="4" w:space="0" w:color="auto"/>
            </w:tcBorders>
            <w:shd w:val="clear" w:color="auto" w:fill="auto"/>
            <w:noWrap/>
            <w:vAlign w:val="bottom"/>
          </w:tcPr>
          <w:p w14:paraId="57BC392E" w14:textId="77777777" w:rsidR="00A770D2" w:rsidRPr="00A966B6" w:rsidRDefault="009C31E7" w:rsidP="00A770D2">
            <w:pPr>
              <w:spacing w:after="0" w:line="300" w:lineRule="exact"/>
              <w:jc w:val="center"/>
              <w:rPr>
                <w:rFonts w:cs="Arial"/>
                <w:b/>
                <w:bCs/>
                <w:sz w:val="20"/>
              </w:rPr>
            </w:pPr>
            <w:r w:rsidRPr="00A966B6">
              <w:rPr>
                <w:rFonts w:cs="Arial"/>
                <w:b/>
                <w:bCs/>
                <w:sz w:val="20"/>
              </w:rPr>
              <w:t>7,95%</w:t>
            </w:r>
          </w:p>
        </w:tc>
        <w:tc>
          <w:tcPr>
            <w:tcW w:w="674" w:type="dxa"/>
            <w:tcBorders>
              <w:top w:val="nil"/>
              <w:left w:val="nil"/>
              <w:bottom w:val="single" w:sz="4" w:space="0" w:color="auto"/>
              <w:right w:val="single" w:sz="4" w:space="0" w:color="auto"/>
            </w:tcBorders>
            <w:shd w:val="clear" w:color="auto" w:fill="auto"/>
            <w:noWrap/>
            <w:vAlign w:val="bottom"/>
          </w:tcPr>
          <w:p w14:paraId="6AEA7545" w14:textId="77777777" w:rsidR="00A770D2" w:rsidRPr="00A966B6" w:rsidRDefault="009C31E7" w:rsidP="00A770D2">
            <w:pPr>
              <w:spacing w:after="0" w:line="300" w:lineRule="exact"/>
              <w:jc w:val="center"/>
              <w:rPr>
                <w:rFonts w:cs="Arial"/>
                <w:sz w:val="20"/>
              </w:rPr>
            </w:pPr>
            <w:r w:rsidRPr="00A966B6">
              <w:rPr>
                <w:rFonts w:cs="Arial"/>
                <w:sz w:val="20"/>
              </w:rPr>
              <w:t>-9</w:t>
            </w:r>
          </w:p>
        </w:tc>
        <w:tc>
          <w:tcPr>
            <w:tcW w:w="1277" w:type="dxa"/>
            <w:tcBorders>
              <w:top w:val="nil"/>
              <w:left w:val="nil"/>
              <w:bottom w:val="single" w:sz="4" w:space="0" w:color="auto"/>
              <w:right w:val="single" w:sz="4" w:space="0" w:color="auto"/>
            </w:tcBorders>
            <w:shd w:val="clear" w:color="auto" w:fill="auto"/>
            <w:noWrap/>
            <w:vAlign w:val="bottom"/>
          </w:tcPr>
          <w:p w14:paraId="3FA1D6EC" w14:textId="77777777" w:rsidR="00A770D2" w:rsidRPr="00A966B6" w:rsidRDefault="00956A23" w:rsidP="00A770D2">
            <w:pPr>
              <w:spacing w:after="0" w:line="300" w:lineRule="exact"/>
              <w:jc w:val="center"/>
              <w:rPr>
                <w:rFonts w:cs="Arial"/>
                <w:sz w:val="20"/>
              </w:rPr>
            </w:pPr>
            <w:r w:rsidRPr="00A966B6">
              <w:rPr>
                <w:rFonts w:cs="Arial"/>
                <w:sz w:val="20"/>
              </w:rPr>
              <w:t>-42,86%</w:t>
            </w:r>
          </w:p>
        </w:tc>
      </w:tr>
      <w:tr w:rsidR="00A966B6" w:rsidRPr="00A966B6" w14:paraId="676ECD9A"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CB9E4" w14:textId="77777777" w:rsidR="00A770D2" w:rsidRPr="00A966B6" w:rsidRDefault="00A770D2" w:rsidP="00A770D2">
            <w:pPr>
              <w:spacing w:after="0" w:line="300" w:lineRule="exact"/>
              <w:rPr>
                <w:rFonts w:cs="Arial"/>
                <w:sz w:val="20"/>
              </w:rPr>
            </w:pPr>
            <w:r w:rsidRPr="00A966B6">
              <w:rPr>
                <w:rFonts w:cs="Arial"/>
                <w:sz w:val="20"/>
              </w:rPr>
              <w:t>Ústecký kraj</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35142331" w14:textId="77777777" w:rsidR="00A770D2" w:rsidRPr="00A966B6" w:rsidRDefault="00471FE6" w:rsidP="00A770D2">
            <w:pPr>
              <w:spacing w:after="0" w:line="300" w:lineRule="exact"/>
              <w:jc w:val="center"/>
              <w:rPr>
                <w:rFonts w:cs="Arial"/>
                <w:b/>
                <w:bCs/>
                <w:sz w:val="20"/>
              </w:rPr>
            </w:pPr>
            <w:r w:rsidRPr="00A966B6">
              <w:rPr>
                <w:rFonts w:cs="Arial"/>
                <w:b/>
                <w:bCs/>
                <w:sz w:val="20"/>
              </w:rPr>
              <w:t>16</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6096CD97" w14:textId="77777777" w:rsidR="00A770D2" w:rsidRPr="00A966B6" w:rsidRDefault="009C31E7" w:rsidP="00A770D2">
            <w:pPr>
              <w:spacing w:after="0" w:line="300" w:lineRule="exact"/>
              <w:jc w:val="center"/>
              <w:rPr>
                <w:rFonts w:cs="Arial"/>
                <w:b/>
                <w:bCs/>
                <w:sz w:val="20"/>
              </w:rPr>
            </w:pPr>
            <w:r w:rsidRPr="00A966B6">
              <w:rPr>
                <w:rFonts w:cs="Arial"/>
                <w:b/>
                <w:bCs/>
                <w:sz w:val="20"/>
              </w:rPr>
              <w:t>10,60%</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1459FBF1" w14:textId="77777777" w:rsidR="00A770D2" w:rsidRPr="00A966B6" w:rsidRDefault="009C31E7" w:rsidP="00A770D2">
            <w:pPr>
              <w:spacing w:after="0" w:line="300" w:lineRule="exact"/>
              <w:jc w:val="center"/>
              <w:rPr>
                <w:rFonts w:cs="Arial"/>
                <w:sz w:val="20"/>
              </w:rPr>
            </w:pPr>
            <w:r w:rsidRPr="00A966B6">
              <w:rPr>
                <w:rFonts w:cs="Arial"/>
                <w:sz w:val="20"/>
              </w:rPr>
              <w:t>-7</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5B22F71C" w14:textId="77777777" w:rsidR="00A770D2" w:rsidRPr="00A966B6" w:rsidRDefault="00E56425" w:rsidP="00A770D2">
            <w:pPr>
              <w:spacing w:after="0" w:line="300" w:lineRule="exact"/>
              <w:jc w:val="center"/>
              <w:rPr>
                <w:rFonts w:cs="Arial"/>
                <w:sz w:val="20"/>
              </w:rPr>
            </w:pPr>
            <w:r w:rsidRPr="00A966B6">
              <w:rPr>
                <w:rFonts w:cs="Arial"/>
                <w:sz w:val="20"/>
              </w:rPr>
              <w:t>-30,43%</w:t>
            </w:r>
          </w:p>
        </w:tc>
      </w:tr>
      <w:tr w:rsidR="00A966B6" w:rsidRPr="00A966B6" w14:paraId="5F07F521"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28462" w14:textId="77777777" w:rsidR="00A770D2" w:rsidRPr="00A966B6" w:rsidRDefault="00A770D2" w:rsidP="00A770D2">
            <w:pPr>
              <w:spacing w:after="0" w:line="300" w:lineRule="exact"/>
              <w:rPr>
                <w:rFonts w:cs="Arial"/>
                <w:sz w:val="20"/>
              </w:rPr>
            </w:pPr>
            <w:r w:rsidRPr="00A966B6">
              <w:rPr>
                <w:rFonts w:cs="Arial"/>
                <w:sz w:val="20"/>
              </w:rPr>
              <w:t>Zlínský kraj</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472D6B9C" w14:textId="77777777" w:rsidR="00A770D2" w:rsidRPr="00A966B6" w:rsidRDefault="00471FE6" w:rsidP="00A770D2">
            <w:pPr>
              <w:spacing w:after="0" w:line="300" w:lineRule="exact"/>
              <w:jc w:val="center"/>
              <w:rPr>
                <w:rFonts w:cs="Arial"/>
                <w:b/>
                <w:bCs/>
                <w:sz w:val="20"/>
              </w:rPr>
            </w:pPr>
            <w:r w:rsidRPr="00A966B6">
              <w:rPr>
                <w:rFonts w:cs="Arial"/>
                <w:b/>
                <w:bCs/>
                <w:sz w:val="20"/>
              </w:rPr>
              <w:t>3</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34860881" w14:textId="77777777" w:rsidR="00A770D2" w:rsidRPr="00A966B6" w:rsidRDefault="009C31E7" w:rsidP="009C31E7">
            <w:pPr>
              <w:spacing w:after="0" w:line="300" w:lineRule="exact"/>
              <w:jc w:val="center"/>
              <w:rPr>
                <w:rFonts w:cs="Arial"/>
                <w:b/>
                <w:bCs/>
                <w:sz w:val="20"/>
              </w:rPr>
            </w:pPr>
            <w:r w:rsidRPr="00A966B6">
              <w:rPr>
                <w:rFonts w:cs="Arial"/>
                <w:b/>
                <w:bCs/>
                <w:sz w:val="20"/>
              </w:rPr>
              <w:t>1,98%</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1501059F" w14:textId="77777777" w:rsidR="00A770D2" w:rsidRPr="00A966B6" w:rsidRDefault="009C31E7" w:rsidP="00A770D2">
            <w:pPr>
              <w:spacing w:after="0" w:line="300" w:lineRule="exact"/>
              <w:jc w:val="center"/>
              <w:rPr>
                <w:rFonts w:cs="Arial"/>
                <w:sz w:val="20"/>
              </w:rPr>
            </w:pPr>
            <w:r w:rsidRPr="00A966B6">
              <w:rPr>
                <w:rFonts w:cs="Arial"/>
                <w:sz w:val="20"/>
              </w:rPr>
              <w:t>-14</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6341668C" w14:textId="77777777" w:rsidR="00A770D2" w:rsidRPr="00A966B6" w:rsidRDefault="00E56425" w:rsidP="00A770D2">
            <w:pPr>
              <w:spacing w:after="0" w:line="300" w:lineRule="exact"/>
              <w:jc w:val="center"/>
              <w:rPr>
                <w:rFonts w:cs="Arial"/>
                <w:sz w:val="20"/>
              </w:rPr>
            </w:pPr>
            <w:r w:rsidRPr="00A966B6">
              <w:rPr>
                <w:rFonts w:cs="Arial"/>
                <w:sz w:val="20"/>
              </w:rPr>
              <w:t>-82,35%</w:t>
            </w:r>
          </w:p>
        </w:tc>
      </w:tr>
      <w:tr w:rsidR="00A966B6" w:rsidRPr="00A966B6" w14:paraId="3A1B2E2C" w14:textId="77777777" w:rsidTr="00A770D2">
        <w:trPr>
          <w:trHeight w:val="300"/>
          <w:jc w:val="center"/>
        </w:trPr>
        <w:tc>
          <w:tcPr>
            <w:tcW w:w="5822" w:type="dxa"/>
            <w:tcBorders>
              <w:top w:val="single" w:sz="4" w:space="0" w:color="auto"/>
            </w:tcBorders>
            <w:shd w:val="clear" w:color="auto" w:fill="auto"/>
            <w:noWrap/>
            <w:vAlign w:val="bottom"/>
          </w:tcPr>
          <w:p w14:paraId="4F53DEE2" w14:textId="77777777" w:rsidR="00A770D2" w:rsidRPr="00A966B6" w:rsidRDefault="00A770D2" w:rsidP="00A770D2">
            <w:pPr>
              <w:spacing w:after="0" w:line="300" w:lineRule="exact"/>
              <w:rPr>
                <w:rFonts w:cs="Arial"/>
                <w:b/>
                <w:bCs/>
                <w:sz w:val="20"/>
              </w:rPr>
            </w:pPr>
          </w:p>
          <w:p w14:paraId="5F9A7385" w14:textId="77777777" w:rsidR="00A770D2" w:rsidRPr="00A966B6" w:rsidRDefault="00A770D2" w:rsidP="00A770D2">
            <w:pPr>
              <w:spacing w:after="0" w:line="300" w:lineRule="exact"/>
              <w:rPr>
                <w:b/>
                <w:sz w:val="20"/>
              </w:rPr>
            </w:pPr>
          </w:p>
        </w:tc>
        <w:tc>
          <w:tcPr>
            <w:tcW w:w="887" w:type="dxa"/>
            <w:tcBorders>
              <w:top w:val="single" w:sz="4" w:space="0" w:color="auto"/>
            </w:tcBorders>
            <w:shd w:val="clear" w:color="auto" w:fill="auto"/>
            <w:noWrap/>
            <w:vAlign w:val="bottom"/>
          </w:tcPr>
          <w:p w14:paraId="434E92FA" w14:textId="77777777" w:rsidR="00A770D2" w:rsidRPr="00A966B6" w:rsidRDefault="00A770D2" w:rsidP="00A770D2">
            <w:pPr>
              <w:spacing w:after="0" w:line="300" w:lineRule="exact"/>
              <w:jc w:val="center"/>
              <w:rPr>
                <w:rFonts w:cs="Arial"/>
                <w:b/>
                <w:bCs/>
                <w:sz w:val="20"/>
              </w:rPr>
            </w:pPr>
          </w:p>
        </w:tc>
        <w:tc>
          <w:tcPr>
            <w:tcW w:w="1009" w:type="dxa"/>
            <w:tcBorders>
              <w:top w:val="single" w:sz="4" w:space="0" w:color="auto"/>
            </w:tcBorders>
            <w:shd w:val="clear" w:color="auto" w:fill="auto"/>
            <w:noWrap/>
            <w:vAlign w:val="bottom"/>
          </w:tcPr>
          <w:p w14:paraId="38695C9C" w14:textId="77777777" w:rsidR="00A770D2" w:rsidRPr="00A966B6" w:rsidRDefault="00A770D2" w:rsidP="00A770D2">
            <w:pPr>
              <w:spacing w:after="0" w:line="300" w:lineRule="exact"/>
              <w:jc w:val="center"/>
              <w:rPr>
                <w:rFonts w:cs="Arial"/>
                <w:b/>
                <w:bCs/>
                <w:sz w:val="20"/>
              </w:rPr>
            </w:pPr>
          </w:p>
        </w:tc>
        <w:tc>
          <w:tcPr>
            <w:tcW w:w="674" w:type="dxa"/>
            <w:tcBorders>
              <w:top w:val="single" w:sz="4" w:space="0" w:color="auto"/>
            </w:tcBorders>
            <w:shd w:val="clear" w:color="auto" w:fill="auto"/>
            <w:noWrap/>
            <w:vAlign w:val="bottom"/>
          </w:tcPr>
          <w:p w14:paraId="3D1293B4" w14:textId="77777777" w:rsidR="00A770D2" w:rsidRPr="00A966B6" w:rsidRDefault="00A770D2" w:rsidP="00A770D2">
            <w:pPr>
              <w:spacing w:after="0" w:line="300" w:lineRule="exact"/>
              <w:jc w:val="center"/>
              <w:rPr>
                <w:rFonts w:cs="Arial"/>
                <w:sz w:val="20"/>
              </w:rPr>
            </w:pPr>
          </w:p>
        </w:tc>
        <w:tc>
          <w:tcPr>
            <w:tcW w:w="1277" w:type="dxa"/>
            <w:tcBorders>
              <w:top w:val="single" w:sz="4" w:space="0" w:color="auto"/>
            </w:tcBorders>
            <w:shd w:val="clear" w:color="auto" w:fill="auto"/>
            <w:noWrap/>
            <w:vAlign w:val="bottom"/>
          </w:tcPr>
          <w:p w14:paraId="0CB941BA" w14:textId="77777777" w:rsidR="00A770D2" w:rsidRPr="00A966B6" w:rsidRDefault="00A770D2" w:rsidP="00A770D2">
            <w:pPr>
              <w:spacing w:after="0" w:line="300" w:lineRule="exact"/>
              <w:jc w:val="center"/>
              <w:rPr>
                <w:rFonts w:cs="Arial"/>
                <w:sz w:val="20"/>
              </w:rPr>
            </w:pPr>
          </w:p>
        </w:tc>
      </w:tr>
      <w:tr w:rsidR="00A966B6" w:rsidRPr="00A966B6" w14:paraId="70B9B58E"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73144" w14:textId="77777777" w:rsidR="00A770D2" w:rsidRPr="00A966B6" w:rsidRDefault="00A770D2" w:rsidP="00A770D2">
            <w:pPr>
              <w:spacing w:after="0" w:line="300" w:lineRule="exact"/>
              <w:rPr>
                <w:rFonts w:cs="Arial"/>
                <w:b/>
                <w:bCs/>
                <w:sz w:val="20"/>
              </w:rPr>
            </w:pPr>
            <w:r w:rsidRPr="00A966B6">
              <w:rPr>
                <w:rFonts w:cs="Arial"/>
                <w:b/>
                <w:bCs/>
                <w:sz w:val="20"/>
              </w:rPr>
              <w:t>Podle služební hodnosti a hodnostního označení</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9CB07" w14:textId="77777777" w:rsidR="00A770D2" w:rsidRPr="00A966B6" w:rsidRDefault="00A722ED" w:rsidP="00A770D2">
            <w:pPr>
              <w:spacing w:after="0" w:line="300" w:lineRule="exact"/>
              <w:jc w:val="center"/>
              <w:rPr>
                <w:rFonts w:cs="Arial"/>
                <w:b/>
                <w:bCs/>
                <w:sz w:val="20"/>
              </w:rPr>
            </w:pPr>
            <w:r w:rsidRPr="00A966B6">
              <w:rPr>
                <w:rFonts w:cs="Arial"/>
                <w:b/>
                <w:bCs/>
                <w:sz w:val="20"/>
              </w:rPr>
              <w:t>136</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EB6C5" w14:textId="77777777" w:rsidR="00A770D2" w:rsidRPr="00A966B6" w:rsidRDefault="00A722ED" w:rsidP="00A770D2">
            <w:pPr>
              <w:spacing w:after="0" w:line="300" w:lineRule="exact"/>
              <w:jc w:val="center"/>
              <w:rPr>
                <w:rFonts w:cs="Arial"/>
                <w:b/>
                <w:bCs/>
                <w:sz w:val="20"/>
              </w:rPr>
            </w:pPr>
            <w:r w:rsidRPr="00A966B6">
              <w:rPr>
                <w:rFonts w:cs="Arial"/>
                <w:b/>
                <w:bCs/>
                <w:sz w:val="20"/>
              </w:rPr>
              <w:t>100%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65446" w14:textId="77777777" w:rsidR="00A770D2" w:rsidRPr="00A966B6" w:rsidRDefault="00A147C0" w:rsidP="00A770D2">
            <w:pPr>
              <w:spacing w:after="0" w:line="300" w:lineRule="exact"/>
              <w:jc w:val="center"/>
              <w:rPr>
                <w:rFonts w:cs="Arial"/>
                <w:sz w:val="20"/>
              </w:rPr>
            </w:pPr>
            <w:r w:rsidRPr="00A966B6">
              <w:rPr>
                <w:rFonts w:cs="Arial"/>
                <w:sz w:val="20"/>
              </w:rPr>
              <w:t>-51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BB774" w14:textId="77777777" w:rsidR="00A770D2" w:rsidRPr="00A966B6" w:rsidRDefault="00E56425" w:rsidP="00A770D2">
            <w:pPr>
              <w:spacing w:after="0" w:line="300" w:lineRule="exact"/>
              <w:jc w:val="center"/>
              <w:rPr>
                <w:rFonts w:cs="Arial"/>
                <w:sz w:val="20"/>
              </w:rPr>
            </w:pPr>
            <w:r w:rsidRPr="00A966B6">
              <w:rPr>
                <w:rFonts w:cs="Arial"/>
                <w:sz w:val="20"/>
              </w:rPr>
              <w:t>-27,27%</w:t>
            </w:r>
          </w:p>
        </w:tc>
      </w:tr>
      <w:tr w:rsidR="00A966B6" w:rsidRPr="00A966B6" w14:paraId="64627ED6"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1F770651" w14:textId="77777777" w:rsidR="00A770D2" w:rsidRPr="00A966B6" w:rsidRDefault="00A770D2" w:rsidP="00A770D2">
            <w:pPr>
              <w:spacing w:after="0" w:line="300" w:lineRule="exact"/>
              <w:rPr>
                <w:rFonts w:cs="Arial"/>
                <w:sz w:val="20"/>
              </w:rPr>
            </w:pPr>
            <w:r w:rsidRPr="00A966B6">
              <w:rPr>
                <w:rFonts w:cs="Arial"/>
                <w:sz w:val="20"/>
              </w:rPr>
              <w:t>referent – rotný</w:t>
            </w:r>
          </w:p>
        </w:tc>
        <w:tc>
          <w:tcPr>
            <w:tcW w:w="887" w:type="dxa"/>
            <w:tcBorders>
              <w:top w:val="nil"/>
              <w:left w:val="nil"/>
              <w:bottom w:val="single" w:sz="4" w:space="0" w:color="auto"/>
              <w:right w:val="single" w:sz="4" w:space="0" w:color="auto"/>
            </w:tcBorders>
            <w:shd w:val="clear" w:color="auto" w:fill="auto"/>
            <w:noWrap/>
            <w:vAlign w:val="bottom"/>
          </w:tcPr>
          <w:p w14:paraId="343A2379" w14:textId="77777777" w:rsidR="00A770D2" w:rsidRPr="00A966B6" w:rsidRDefault="00A147C0" w:rsidP="00A770D2">
            <w:pPr>
              <w:spacing w:after="0" w:line="300" w:lineRule="exact"/>
              <w:jc w:val="center"/>
              <w:rPr>
                <w:rFonts w:cs="Arial"/>
                <w:b/>
                <w:bCs/>
                <w:sz w:val="20"/>
              </w:rPr>
            </w:pPr>
            <w:r w:rsidRPr="00A966B6">
              <w:rPr>
                <w:rFonts w:cs="Arial"/>
                <w:b/>
                <w:bCs/>
                <w:sz w:val="20"/>
              </w:rPr>
              <w:t>0</w:t>
            </w:r>
          </w:p>
        </w:tc>
        <w:tc>
          <w:tcPr>
            <w:tcW w:w="1009" w:type="dxa"/>
            <w:tcBorders>
              <w:top w:val="nil"/>
              <w:left w:val="nil"/>
              <w:bottom w:val="single" w:sz="4" w:space="0" w:color="auto"/>
              <w:right w:val="single" w:sz="4" w:space="0" w:color="auto"/>
            </w:tcBorders>
            <w:shd w:val="clear" w:color="auto" w:fill="auto"/>
            <w:noWrap/>
            <w:vAlign w:val="bottom"/>
          </w:tcPr>
          <w:p w14:paraId="356FAED3" w14:textId="77777777" w:rsidR="00A770D2" w:rsidRPr="00A966B6" w:rsidRDefault="00A147C0" w:rsidP="00A770D2">
            <w:pPr>
              <w:spacing w:after="0" w:line="300" w:lineRule="exact"/>
              <w:jc w:val="center"/>
              <w:rPr>
                <w:rFonts w:cs="Arial"/>
                <w:b/>
                <w:bCs/>
                <w:sz w:val="20"/>
              </w:rPr>
            </w:pPr>
            <w:r w:rsidRPr="00A966B6">
              <w:rPr>
                <w:rFonts w:cs="Arial"/>
                <w:b/>
                <w:bCs/>
                <w:sz w:val="20"/>
              </w:rPr>
              <w:t>0%</w:t>
            </w:r>
          </w:p>
        </w:tc>
        <w:tc>
          <w:tcPr>
            <w:tcW w:w="674" w:type="dxa"/>
            <w:tcBorders>
              <w:top w:val="nil"/>
              <w:left w:val="nil"/>
              <w:bottom w:val="single" w:sz="4" w:space="0" w:color="auto"/>
              <w:right w:val="single" w:sz="4" w:space="0" w:color="auto"/>
            </w:tcBorders>
            <w:shd w:val="clear" w:color="auto" w:fill="auto"/>
            <w:noWrap/>
            <w:vAlign w:val="bottom"/>
          </w:tcPr>
          <w:p w14:paraId="1892B4A3" w14:textId="77777777" w:rsidR="00A770D2" w:rsidRPr="00A966B6" w:rsidRDefault="00A147C0" w:rsidP="00A770D2">
            <w:pPr>
              <w:spacing w:after="0" w:line="300" w:lineRule="exact"/>
              <w:jc w:val="center"/>
              <w:rPr>
                <w:rFonts w:cs="Arial"/>
                <w:sz w:val="20"/>
              </w:rPr>
            </w:pPr>
            <w:r w:rsidRPr="00A966B6">
              <w:rPr>
                <w:rFonts w:cs="Arial"/>
                <w:sz w:val="20"/>
              </w:rPr>
              <w:t>0</w:t>
            </w:r>
          </w:p>
        </w:tc>
        <w:tc>
          <w:tcPr>
            <w:tcW w:w="1277" w:type="dxa"/>
            <w:tcBorders>
              <w:top w:val="nil"/>
              <w:left w:val="nil"/>
              <w:bottom w:val="single" w:sz="4" w:space="0" w:color="auto"/>
              <w:right w:val="single" w:sz="4" w:space="0" w:color="auto"/>
            </w:tcBorders>
            <w:shd w:val="clear" w:color="auto" w:fill="auto"/>
            <w:noWrap/>
            <w:vAlign w:val="bottom"/>
          </w:tcPr>
          <w:p w14:paraId="4F289ED7" w14:textId="77777777" w:rsidR="00A770D2" w:rsidRPr="00A966B6" w:rsidRDefault="00E56425" w:rsidP="00A770D2">
            <w:pPr>
              <w:spacing w:after="0" w:line="300" w:lineRule="exact"/>
              <w:jc w:val="center"/>
              <w:rPr>
                <w:rFonts w:cs="Arial"/>
                <w:sz w:val="20"/>
              </w:rPr>
            </w:pPr>
            <w:r w:rsidRPr="00A966B6">
              <w:rPr>
                <w:rFonts w:cs="Arial"/>
                <w:sz w:val="20"/>
              </w:rPr>
              <w:t>-</w:t>
            </w:r>
            <w:r w:rsidR="006253BA" w:rsidRPr="00A966B6">
              <w:rPr>
                <w:rFonts w:cs="Arial"/>
                <w:sz w:val="20"/>
              </w:rPr>
              <w:t>-</w:t>
            </w:r>
          </w:p>
        </w:tc>
      </w:tr>
      <w:tr w:rsidR="00A966B6" w:rsidRPr="00A966B6" w14:paraId="5F146D16"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31A8C4B0" w14:textId="77777777" w:rsidR="00A770D2" w:rsidRPr="00A966B6" w:rsidRDefault="00A770D2" w:rsidP="00A770D2">
            <w:pPr>
              <w:spacing w:after="0" w:line="300" w:lineRule="exact"/>
              <w:rPr>
                <w:rFonts w:cs="Arial"/>
                <w:sz w:val="20"/>
              </w:rPr>
            </w:pPr>
            <w:r w:rsidRPr="00A966B6">
              <w:rPr>
                <w:rFonts w:cs="Arial"/>
                <w:sz w:val="20"/>
              </w:rPr>
              <w:t>vrchní referent – strážmistr</w:t>
            </w:r>
          </w:p>
        </w:tc>
        <w:tc>
          <w:tcPr>
            <w:tcW w:w="887" w:type="dxa"/>
            <w:tcBorders>
              <w:top w:val="nil"/>
              <w:left w:val="nil"/>
              <w:bottom w:val="single" w:sz="4" w:space="0" w:color="auto"/>
              <w:right w:val="single" w:sz="4" w:space="0" w:color="auto"/>
            </w:tcBorders>
            <w:shd w:val="clear" w:color="auto" w:fill="auto"/>
            <w:noWrap/>
            <w:vAlign w:val="bottom"/>
          </w:tcPr>
          <w:p w14:paraId="328E71D3" w14:textId="77777777" w:rsidR="00A770D2" w:rsidRPr="00A966B6" w:rsidRDefault="003738EC" w:rsidP="00A770D2">
            <w:pPr>
              <w:spacing w:after="0" w:line="300" w:lineRule="exact"/>
              <w:jc w:val="center"/>
              <w:rPr>
                <w:rFonts w:cs="Arial"/>
                <w:b/>
                <w:bCs/>
                <w:sz w:val="20"/>
              </w:rPr>
            </w:pPr>
            <w:r w:rsidRPr="00A966B6">
              <w:rPr>
                <w:rFonts w:cs="Arial"/>
                <w:b/>
                <w:bCs/>
                <w:sz w:val="20"/>
              </w:rPr>
              <w:t>0</w:t>
            </w:r>
          </w:p>
        </w:tc>
        <w:tc>
          <w:tcPr>
            <w:tcW w:w="1009" w:type="dxa"/>
            <w:tcBorders>
              <w:top w:val="nil"/>
              <w:left w:val="nil"/>
              <w:bottom w:val="single" w:sz="4" w:space="0" w:color="auto"/>
              <w:right w:val="single" w:sz="4" w:space="0" w:color="auto"/>
            </w:tcBorders>
            <w:shd w:val="clear" w:color="auto" w:fill="auto"/>
            <w:noWrap/>
            <w:vAlign w:val="bottom"/>
          </w:tcPr>
          <w:p w14:paraId="1DB175FC" w14:textId="77777777" w:rsidR="00A770D2" w:rsidRPr="00A966B6" w:rsidRDefault="003738EC" w:rsidP="00A770D2">
            <w:pPr>
              <w:spacing w:after="0" w:line="300" w:lineRule="exact"/>
              <w:jc w:val="center"/>
              <w:rPr>
                <w:rFonts w:cs="Arial"/>
                <w:b/>
                <w:bCs/>
                <w:sz w:val="20"/>
              </w:rPr>
            </w:pPr>
            <w:r w:rsidRPr="00A966B6">
              <w:rPr>
                <w:rFonts w:cs="Arial"/>
                <w:b/>
                <w:bCs/>
                <w:sz w:val="20"/>
              </w:rPr>
              <w:t>0%</w:t>
            </w:r>
          </w:p>
        </w:tc>
        <w:tc>
          <w:tcPr>
            <w:tcW w:w="674" w:type="dxa"/>
            <w:tcBorders>
              <w:top w:val="nil"/>
              <w:left w:val="nil"/>
              <w:bottom w:val="single" w:sz="4" w:space="0" w:color="auto"/>
              <w:right w:val="single" w:sz="4" w:space="0" w:color="auto"/>
            </w:tcBorders>
            <w:shd w:val="clear" w:color="auto" w:fill="auto"/>
            <w:noWrap/>
            <w:vAlign w:val="bottom"/>
          </w:tcPr>
          <w:p w14:paraId="3C07FF37" w14:textId="77777777" w:rsidR="00A770D2" w:rsidRPr="00A966B6" w:rsidRDefault="003738EC" w:rsidP="00A770D2">
            <w:pPr>
              <w:spacing w:after="0" w:line="300" w:lineRule="exact"/>
              <w:jc w:val="center"/>
              <w:rPr>
                <w:rFonts w:cs="Arial"/>
                <w:sz w:val="20"/>
              </w:rPr>
            </w:pPr>
            <w:r w:rsidRPr="00A966B6">
              <w:rPr>
                <w:rFonts w:cs="Arial"/>
                <w:sz w:val="20"/>
              </w:rPr>
              <w:t>-2</w:t>
            </w:r>
          </w:p>
        </w:tc>
        <w:tc>
          <w:tcPr>
            <w:tcW w:w="1277" w:type="dxa"/>
            <w:tcBorders>
              <w:top w:val="nil"/>
              <w:left w:val="nil"/>
              <w:bottom w:val="single" w:sz="4" w:space="0" w:color="auto"/>
              <w:right w:val="single" w:sz="4" w:space="0" w:color="auto"/>
            </w:tcBorders>
            <w:shd w:val="clear" w:color="auto" w:fill="auto"/>
            <w:noWrap/>
            <w:vAlign w:val="bottom"/>
          </w:tcPr>
          <w:p w14:paraId="19D6C370" w14:textId="77777777" w:rsidR="00A770D2" w:rsidRPr="00A966B6" w:rsidRDefault="00E56425" w:rsidP="00A770D2">
            <w:pPr>
              <w:spacing w:after="0" w:line="300" w:lineRule="exact"/>
              <w:jc w:val="center"/>
              <w:rPr>
                <w:rFonts w:cs="Arial"/>
                <w:sz w:val="20"/>
              </w:rPr>
            </w:pPr>
            <w:r w:rsidRPr="00A966B6">
              <w:rPr>
                <w:rFonts w:cs="Arial"/>
                <w:sz w:val="20"/>
              </w:rPr>
              <w:t>-100,00%</w:t>
            </w:r>
          </w:p>
        </w:tc>
      </w:tr>
      <w:tr w:rsidR="00A966B6" w:rsidRPr="00A966B6" w14:paraId="7F3EFCC9" w14:textId="77777777" w:rsidTr="00A770D2">
        <w:trPr>
          <w:trHeight w:val="300"/>
          <w:jc w:val="center"/>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9D72F" w14:textId="77777777" w:rsidR="00A770D2" w:rsidRPr="00A966B6" w:rsidRDefault="00A770D2" w:rsidP="00A770D2">
            <w:pPr>
              <w:spacing w:after="0" w:line="300" w:lineRule="exact"/>
              <w:rPr>
                <w:rFonts w:cs="Arial"/>
                <w:sz w:val="20"/>
              </w:rPr>
            </w:pPr>
            <w:r w:rsidRPr="00A966B6">
              <w:rPr>
                <w:rFonts w:cs="Arial"/>
                <w:sz w:val="20"/>
              </w:rPr>
              <w:t>asistent – nadstrážmistr</w:t>
            </w:r>
          </w:p>
        </w:tc>
        <w:tc>
          <w:tcPr>
            <w:tcW w:w="887" w:type="dxa"/>
            <w:tcBorders>
              <w:top w:val="single" w:sz="4" w:space="0" w:color="auto"/>
              <w:left w:val="nil"/>
              <w:bottom w:val="single" w:sz="4" w:space="0" w:color="auto"/>
              <w:right w:val="single" w:sz="4" w:space="0" w:color="auto"/>
            </w:tcBorders>
            <w:shd w:val="clear" w:color="auto" w:fill="auto"/>
            <w:noWrap/>
            <w:vAlign w:val="bottom"/>
          </w:tcPr>
          <w:p w14:paraId="67B0F905" w14:textId="77777777" w:rsidR="00A770D2" w:rsidRPr="00A966B6" w:rsidRDefault="003738EC" w:rsidP="00A770D2">
            <w:pPr>
              <w:spacing w:after="0" w:line="300" w:lineRule="exact"/>
              <w:jc w:val="center"/>
              <w:rPr>
                <w:rFonts w:cs="Arial"/>
                <w:b/>
                <w:bCs/>
                <w:sz w:val="20"/>
              </w:rPr>
            </w:pPr>
            <w:r w:rsidRPr="00A966B6">
              <w:rPr>
                <w:rFonts w:cs="Arial"/>
                <w:b/>
                <w:bCs/>
                <w:sz w:val="20"/>
              </w:rPr>
              <w:t>20</w:t>
            </w:r>
          </w:p>
        </w:tc>
        <w:tc>
          <w:tcPr>
            <w:tcW w:w="1009" w:type="dxa"/>
            <w:tcBorders>
              <w:top w:val="single" w:sz="4" w:space="0" w:color="auto"/>
              <w:left w:val="nil"/>
              <w:bottom w:val="single" w:sz="4" w:space="0" w:color="auto"/>
              <w:right w:val="single" w:sz="4" w:space="0" w:color="auto"/>
            </w:tcBorders>
            <w:shd w:val="clear" w:color="auto" w:fill="auto"/>
            <w:noWrap/>
            <w:vAlign w:val="bottom"/>
          </w:tcPr>
          <w:p w14:paraId="0B4E1195" w14:textId="77777777" w:rsidR="00A770D2" w:rsidRPr="00A966B6" w:rsidRDefault="00DB24C0" w:rsidP="00A770D2">
            <w:pPr>
              <w:spacing w:after="0" w:line="300" w:lineRule="exact"/>
              <w:jc w:val="center"/>
              <w:rPr>
                <w:rFonts w:cs="Arial"/>
                <w:b/>
                <w:bCs/>
                <w:sz w:val="20"/>
              </w:rPr>
            </w:pPr>
            <w:r w:rsidRPr="00A966B6">
              <w:rPr>
                <w:rFonts w:cs="Arial"/>
                <w:b/>
                <w:bCs/>
                <w:sz w:val="20"/>
              </w:rPr>
              <w:t>14,71%</w:t>
            </w:r>
          </w:p>
        </w:tc>
        <w:tc>
          <w:tcPr>
            <w:tcW w:w="674" w:type="dxa"/>
            <w:tcBorders>
              <w:top w:val="single" w:sz="4" w:space="0" w:color="auto"/>
              <w:left w:val="nil"/>
              <w:bottom w:val="single" w:sz="4" w:space="0" w:color="auto"/>
              <w:right w:val="single" w:sz="4" w:space="0" w:color="auto"/>
            </w:tcBorders>
            <w:shd w:val="clear" w:color="auto" w:fill="auto"/>
            <w:noWrap/>
            <w:vAlign w:val="bottom"/>
          </w:tcPr>
          <w:p w14:paraId="4D052FA9" w14:textId="77777777" w:rsidR="00A770D2" w:rsidRPr="00A966B6" w:rsidRDefault="003738EC" w:rsidP="00A770D2">
            <w:pPr>
              <w:spacing w:after="0" w:line="300" w:lineRule="exact"/>
              <w:jc w:val="center"/>
              <w:rPr>
                <w:rFonts w:cs="Arial"/>
                <w:sz w:val="20"/>
              </w:rPr>
            </w:pPr>
            <w:r w:rsidRPr="00A966B6">
              <w:rPr>
                <w:rFonts w:cs="Arial"/>
                <w:sz w:val="20"/>
              </w:rPr>
              <w:t>-7</w:t>
            </w:r>
          </w:p>
        </w:tc>
        <w:tc>
          <w:tcPr>
            <w:tcW w:w="1277" w:type="dxa"/>
            <w:tcBorders>
              <w:top w:val="single" w:sz="4" w:space="0" w:color="auto"/>
              <w:left w:val="nil"/>
              <w:bottom w:val="single" w:sz="4" w:space="0" w:color="auto"/>
              <w:right w:val="single" w:sz="4" w:space="0" w:color="auto"/>
            </w:tcBorders>
            <w:shd w:val="clear" w:color="auto" w:fill="auto"/>
            <w:noWrap/>
            <w:vAlign w:val="bottom"/>
          </w:tcPr>
          <w:p w14:paraId="5B023884" w14:textId="77777777" w:rsidR="00A770D2" w:rsidRPr="00A966B6" w:rsidRDefault="00E56425" w:rsidP="00A770D2">
            <w:pPr>
              <w:spacing w:after="0" w:line="300" w:lineRule="exact"/>
              <w:jc w:val="center"/>
              <w:rPr>
                <w:rFonts w:cs="Arial"/>
                <w:sz w:val="20"/>
              </w:rPr>
            </w:pPr>
            <w:r w:rsidRPr="00A966B6">
              <w:rPr>
                <w:rFonts w:cs="Arial"/>
                <w:sz w:val="20"/>
              </w:rPr>
              <w:t>-25,93%</w:t>
            </w:r>
          </w:p>
        </w:tc>
      </w:tr>
      <w:tr w:rsidR="00A966B6" w:rsidRPr="00A966B6" w14:paraId="16E7F1DC" w14:textId="77777777" w:rsidTr="00A770D2">
        <w:trPr>
          <w:trHeight w:val="315"/>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2E74AD3F" w14:textId="77777777" w:rsidR="00A770D2" w:rsidRPr="00A966B6" w:rsidRDefault="00A770D2" w:rsidP="00A770D2">
            <w:pPr>
              <w:spacing w:after="0" w:line="300" w:lineRule="exact"/>
              <w:rPr>
                <w:rFonts w:cs="Arial"/>
                <w:sz w:val="20"/>
              </w:rPr>
            </w:pPr>
            <w:r w:rsidRPr="00A966B6">
              <w:rPr>
                <w:rFonts w:cs="Arial"/>
                <w:sz w:val="20"/>
              </w:rPr>
              <w:t>vrchní asistent – podpraporčík</w:t>
            </w:r>
          </w:p>
        </w:tc>
        <w:tc>
          <w:tcPr>
            <w:tcW w:w="887" w:type="dxa"/>
            <w:tcBorders>
              <w:top w:val="nil"/>
              <w:left w:val="nil"/>
              <w:bottom w:val="single" w:sz="4" w:space="0" w:color="auto"/>
              <w:right w:val="single" w:sz="4" w:space="0" w:color="auto"/>
            </w:tcBorders>
            <w:shd w:val="clear" w:color="auto" w:fill="auto"/>
            <w:noWrap/>
            <w:vAlign w:val="bottom"/>
          </w:tcPr>
          <w:p w14:paraId="4D271809" w14:textId="77777777" w:rsidR="00A770D2" w:rsidRPr="00A966B6" w:rsidRDefault="003738EC" w:rsidP="00A770D2">
            <w:pPr>
              <w:spacing w:after="0" w:line="300" w:lineRule="exact"/>
              <w:jc w:val="center"/>
              <w:rPr>
                <w:rFonts w:cs="Arial"/>
                <w:b/>
                <w:bCs/>
                <w:sz w:val="20"/>
              </w:rPr>
            </w:pPr>
            <w:r w:rsidRPr="00A966B6">
              <w:rPr>
                <w:rFonts w:cs="Arial"/>
                <w:b/>
                <w:bCs/>
                <w:sz w:val="20"/>
              </w:rPr>
              <w:t>31</w:t>
            </w:r>
          </w:p>
        </w:tc>
        <w:tc>
          <w:tcPr>
            <w:tcW w:w="1009" w:type="dxa"/>
            <w:tcBorders>
              <w:top w:val="nil"/>
              <w:left w:val="nil"/>
              <w:bottom w:val="single" w:sz="4" w:space="0" w:color="auto"/>
              <w:right w:val="single" w:sz="4" w:space="0" w:color="auto"/>
            </w:tcBorders>
            <w:shd w:val="clear" w:color="auto" w:fill="auto"/>
            <w:noWrap/>
            <w:vAlign w:val="bottom"/>
          </w:tcPr>
          <w:p w14:paraId="6FD1FC6A" w14:textId="77777777" w:rsidR="00A770D2" w:rsidRPr="00A966B6" w:rsidRDefault="00DB24C0" w:rsidP="00B13D4D">
            <w:pPr>
              <w:spacing w:after="0" w:line="300" w:lineRule="exact"/>
              <w:jc w:val="center"/>
              <w:rPr>
                <w:rFonts w:cs="Arial"/>
                <w:b/>
                <w:bCs/>
                <w:sz w:val="20"/>
              </w:rPr>
            </w:pPr>
            <w:r w:rsidRPr="00A966B6">
              <w:rPr>
                <w:rFonts w:cs="Arial"/>
                <w:b/>
                <w:bCs/>
                <w:sz w:val="20"/>
              </w:rPr>
              <w:t>22,</w:t>
            </w:r>
            <w:r w:rsidR="00B13D4D" w:rsidRPr="00A966B6">
              <w:rPr>
                <w:rFonts w:cs="Arial"/>
                <w:b/>
                <w:bCs/>
                <w:sz w:val="20"/>
              </w:rPr>
              <w:t>79</w:t>
            </w:r>
            <w:r w:rsidRPr="00A966B6">
              <w:rPr>
                <w:rFonts w:cs="Arial"/>
                <w:b/>
                <w:bCs/>
                <w:sz w:val="20"/>
              </w:rPr>
              <w:t>%</w:t>
            </w:r>
          </w:p>
        </w:tc>
        <w:tc>
          <w:tcPr>
            <w:tcW w:w="674" w:type="dxa"/>
            <w:tcBorders>
              <w:top w:val="nil"/>
              <w:left w:val="nil"/>
              <w:bottom w:val="single" w:sz="4" w:space="0" w:color="auto"/>
              <w:right w:val="single" w:sz="4" w:space="0" w:color="auto"/>
            </w:tcBorders>
            <w:shd w:val="clear" w:color="auto" w:fill="auto"/>
            <w:noWrap/>
            <w:vAlign w:val="bottom"/>
          </w:tcPr>
          <w:p w14:paraId="65CD64F8" w14:textId="77777777" w:rsidR="00A770D2" w:rsidRPr="00A966B6" w:rsidRDefault="003738EC" w:rsidP="00A770D2">
            <w:pPr>
              <w:spacing w:after="0" w:line="300" w:lineRule="exact"/>
              <w:jc w:val="center"/>
              <w:rPr>
                <w:rFonts w:cs="Arial"/>
                <w:sz w:val="20"/>
              </w:rPr>
            </w:pPr>
            <w:r w:rsidRPr="00A966B6">
              <w:rPr>
                <w:rFonts w:cs="Arial"/>
                <w:sz w:val="20"/>
              </w:rPr>
              <w:t>-15</w:t>
            </w:r>
          </w:p>
        </w:tc>
        <w:tc>
          <w:tcPr>
            <w:tcW w:w="1277" w:type="dxa"/>
            <w:tcBorders>
              <w:top w:val="nil"/>
              <w:left w:val="nil"/>
              <w:bottom w:val="single" w:sz="4" w:space="0" w:color="auto"/>
              <w:right w:val="single" w:sz="4" w:space="0" w:color="auto"/>
            </w:tcBorders>
            <w:shd w:val="clear" w:color="auto" w:fill="auto"/>
            <w:noWrap/>
            <w:vAlign w:val="bottom"/>
          </w:tcPr>
          <w:p w14:paraId="13A75EAE" w14:textId="77777777" w:rsidR="00A770D2" w:rsidRPr="00A966B6" w:rsidRDefault="00E56425" w:rsidP="00A770D2">
            <w:pPr>
              <w:spacing w:after="0" w:line="300" w:lineRule="exact"/>
              <w:jc w:val="center"/>
              <w:rPr>
                <w:rFonts w:cs="Arial"/>
                <w:sz w:val="20"/>
              </w:rPr>
            </w:pPr>
            <w:r w:rsidRPr="00A966B6">
              <w:rPr>
                <w:rFonts w:cs="Arial"/>
                <w:sz w:val="20"/>
              </w:rPr>
              <w:t>-32,61%</w:t>
            </w:r>
          </w:p>
        </w:tc>
      </w:tr>
      <w:tr w:rsidR="00A966B6" w:rsidRPr="00A966B6" w14:paraId="3CCFF017"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5B3644AF" w14:textId="77777777" w:rsidR="00A770D2" w:rsidRPr="00A966B6" w:rsidRDefault="00A770D2" w:rsidP="00A770D2">
            <w:pPr>
              <w:spacing w:after="0" w:line="300" w:lineRule="exact"/>
              <w:rPr>
                <w:rFonts w:cs="Arial"/>
                <w:sz w:val="20"/>
              </w:rPr>
            </w:pPr>
            <w:r w:rsidRPr="00A966B6">
              <w:rPr>
                <w:rFonts w:cs="Arial"/>
                <w:sz w:val="20"/>
              </w:rPr>
              <w:t>inspektor – praporčík</w:t>
            </w:r>
          </w:p>
        </w:tc>
        <w:tc>
          <w:tcPr>
            <w:tcW w:w="887" w:type="dxa"/>
            <w:tcBorders>
              <w:top w:val="nil"/>
              <w:left w:val="nil"/>
              <w:bottom w:val="single" w:sz="4" w:space="0" w:color="auto"/>
              <w:right w:val="single" w:sz="4" w:space="0" w:color="auto"/>
            </w:tcBorders>
            <w:shd w:val="clear" w:color="auto" w:fill="auto"/>
            <w:noWrap/>
            <w:vAlign w:val="bottom"/>
          </w:tcPr>
          <w:p w14:paraId="4BF5DD84" w14:textId="77777777" w:rsidR="00A770D2" w:rsidRPr="00A966B6" w:rsidRDefault="003738EC" w:rsidP="00A770D2">
            <w:pPr>
              <w:spacing w:after="0" w:line="300" w:lineRule="exact"/>
              <w:jc w:val="center"/>
              <w:rPr>
                <w:rFonts w:cs="Arial"/>
                <w:b/>
                <w:bCs/>
                <w:sz w:val="20"/>
              </w:rPr>
            </w:pPr>
            <w:r w:rsidRPr="00A966B6">
              <w:rPr>
                <w:rFonts w:cs="Arial"/>
                <w:b/>
                <w:bCs/>
                <w:sz w:val="20"/>
              </w:rPr>
              <w:t>38</w:t>
            </w:r>
          </w:p>
        </w:tc>
        <w:tc>
          <w:tcPr>
            <w:tcW w:w="1009" w:type="dxa"/>
            <w:tcBorders>
              <w:top w:val="nil"/>
              <w:left w:val="nil"/>
              <w:bottom w:val="single" w:sz="4" w:space="0" w:color="auto"/>
              <w:right w:val="single" w:sz="4" w:space="0" w:color="auto"/>
            </w:tcBorders>
            <w:shd w:val="clear" w:color="auto" w:fill="auto"/>
            <w:noWrap/>
            <w:vAlign w:val="bottom"/>
          </w:tcPr>
          <w:p w14:paraId="323FF908" w14:textId="77777777" w:rsidR="00A770D2" w:rsidRPr="00A966B6" w:rsidRDefault="00DB24C0" w:rsidP="00A770D2">
            <w:pPr>
              <w:spacing w:after="0" w:line="300" w:lineRule="exact"/>
              <w:jc w:val="center"/>
              <w:rPr>
                <w:rFonts w:cs="Arial"/>
                <w:b/>
                <w:bCs/>
                <w:sz w:val="20"/>
              </w:rPr>
            </w:pPr>
            <w:r w:rsidRPr="00A966B6">
              <w:rPr>
                <w:rFonts w:cs="Arial"/>
                <w:b/>
                <w:bCs/>
                <w:sz w:val="20"/>
              </w:rPr>
              <w:t>27,94%</w:t>
            </w:r>
          </w:p>
        </w:tc>
        <w:tc>
          <w:tcPr>
            <w:tcW w:w="674" w:type="dxa"/>
            <w:tcBorders>
              <w:top w:val="nil"/>
              <w:left w:val="nil"/>
              <w:bottom w:val="single" w:sz="4" w:space="0" w:color="auto"/>
              <w:right w:val="single" w:sz="4" w:space="0" w:color="auto"/>
            </w:tcBorders>
            <w:shd w:val="clear" w:color="auto" w:fill="auto"/>
            <w:noWrap/>
            <w:vAlign w:val="bottom"/>
          </w:tcPr>
          <w:p w14:paraId="5B4166D8" w14:textId="77777777" w:rsidR="00A770D2" w:rsidRPr="00A966B6" w:rsidRDefault="003738EC" w:rsidP="00A770D2">
            <w:pPr>
              <w:spacing w:after="0" w:line="300" w:lineRule="exact"/>
              <w:jc w:val="center"/>
              <w:rPr>
                <w:rFonts w:cs="Arial"/>
                <w:sz w:val="20"/>
              </w:rPr>
            </w:pPr>
            <w:r w:rsidRPr="00A966B6">
              <w:rPr>
                <w:rFonts w:cs="Arial"/>
                <w:sz w:val="20"/>
              </w:rPr>
              <w:t>-4</w:t>
            </w:r>
          </w:p>
        </w:tc>
        <w:tc>
          <w:tcPr>
            <w:tcW w:w="1277" w:type="dxa"/>
            <w:tcBorders>
              <w:top w:val="nil"/>
              <w:left w:val="nil"/>
              <w:bottom w:val="single" w:sz="4" w:space="0" w:color="auto"/>
              <w:right w:val="single" w:sz="4" w:space="0" w:color="auto"/>
            </w:tcBorders>
            <w:shd w:val="clear" w:color="auto" w:fill="auto"/>
            <w:noWrap/>
            <w:vAlign w:val="bottom"/>
          </w:tcPr>
          <w:p w14:paraId="77135C7C" w14:textId="77777777" w:rsidR="00A770D2" w:rsidRPr="00A966B6" w:rsidRDefault="00E56425" w:rsidP="00A770D2">
            <w:pPr>
              <w:spacing w:after="0" w:line="300" w:lineRule="exact"/>
              <w:jc w:val="center"/>
              <w:rPr>
                <w:rFonts w:cs="Arial"/>
                <w:sz w:val="20"/>
              </w:rPr>
            </w:pPr>
            <w:r w:rsidRPr="00A966B6">
              <w:rPr>
                <w:rFonts w:cs="Arial"/>
                <w:sz w:val="20"/>
              </w:rPr>
              <w:t>-9,52%</w:t>
            </w:r>
          </w:p>
        </w:tc>
      </w:tr>
      <w:tr w:rsidR="00A966B6" w:rsidRPr="00A966B6" w14:paraId="3AA3C9F0"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103A83B1" w14:textId="77777777" w:rsidR="00A770D2" w:rsidRPr="00A966B6" w:rsidRDefault="00A770D2" w:rsidP="00A770D2">
            <w:pPr>
              <w:spacing w:after="0" w:line="300" w:lineRule="exact"/>
              <w:rPr>
                <w:rFonts w:cs="Arial"/>
                <w:sz w:val="20"/>
              </w:rPr>
            </w:pPr>
            <w:r w:rsidRPr="00A966B6">
              <w:rPr>
                <w:rFonts w:cs="Arial"/>
                <w:sz w:val="20"/>
              </w:rPr>
              <w:t>inspektor – nadpraporčík</w:t>
            </w:r>
          </w:p>
        </w:tc>
        <w:tc>
          <w:tcPr>
            <w:tcW w:w="887" w:type="dxa"/>
            <w:tcBorders>
              <w:top w:val="nil"/>
              <w:left w:val="nil"/>
              <w:bottom w:val="single" w:sz="4" w:space="0" w:color="auto"/>
              <w:right w:val="single" w:sz="4" w:space="0" w:color="auto"/>
            </w:tcBorders>
            <w:shd w:val="clear" w:color="auto" w:fill="auto"/>
            <w:noWrap/>
            <w:vAlign w:val="bottom"/>
          </w:tcPr>
          <w:p w14:paraId="2FDACEE8" w14:textId="77777777" w:rsidR="00A770D2" w:rsidRPr="00A966B6" w:rsidRDefault="003738EC" w:rsidP="00A770D2">
            <w:pPr>
              <w:spacing w:after="0" w:line="300" w:lineRule="exact"/>
              <w:jc w:val="center"/>
              <w:rPr>
                <w:rFonts w:cs="Arial"/>
                <w:b/>
                <w:bCs/>
                <w:sz w:val="20"/>
              </w:rPr>
            </w:pPr>
            <w:r w:rsidRPr="00A966B6">
              <w:rPr>
                <w:rFonts w:cs="Arial"/>
                <w:b/>
                <w:bCs/>
                <w:sz w:val="20"/>
              </w:rPr>
              <w:t>0</w:t>
            </w:r>
          </w:p>
        </w:tc>
        <w:tc>
          <w:tcPr>
            <w:tcW w:w="1009" w:type="dxa"/>
            <w:tcBorders>
              <w:top w:val="nil"/>
              <w:left w:val="nil"/>
              <w:bottom w:val="single" w:sz="4" w:space="0" w:color="auto"/>
              <w:right w:val="single" w:sz="4" w:space="0" w:color="auto"/>
            </w:tcBorders>
            <w:shd w:val="clear" w:color="auto" w:fill="auto"/>
            <w:noWrap/>
            <w:vAlign w:val="bottom"/>
          </w:tcPr>
          <w:p w14:paraId="78405732" w14:textId="77777777" w:rsidR="00A770D2" w:rsidRPr="00A966B6" w:rsidRDefault="00DB24C0" w:rsidP="00A770D2">
            <w:pPr>
              <w:spacing w:after="0" w:line="300" w:lineRule="exact"/>
              <w:jc w:val="center"/>
              <w:rPr>
                <w:rFonts w:cs="Arial"/>
                <w:b/>
                <w:bCs/>
                <w:sz w:val="20"/>
              </w:rPr>
            </w:pPr>
            <w:r w:rsidRPr="00A966B6">
              <w:rPr>
                <w:rFonts w:cs="Arial"/>
                <w:b/>
                <w:bCs/>
                <w:sz w:val="20"/>
              </w:rPr>
              <w:t>0%</w:t>
            </w:r>
          </w:p>
        </w:tc>
        <w:tc>
          <w:tcPr>
            <w:tcW w:w="674" w:type="dxa"/>
            <w:tcBorders>
              <w:top w:val="nil"/>
              <w:left w:val="nil"/>
              <w:bottom w:val="single" w:sz="4" w:space="0" w:color="auto"/>
              <w:right w:val="single" w:sz="4" w:space="0" w:color="auto"/>
            </w:tcBorders>
            <w:shd w:val="clear" w:color="auto" w:fill="auto"/>
            <w:noWrap/>
            <w:vAlign w:val="bottom"/>
          </w:tcPr>
          <w:p w14:paraId="575E0CDA" w14:textId="77777777" w:rsidR="00A770D2" w:rsidRPr="00A966B6" w:rsidRDefault="003738EC" w:rsidP="00A770D2">
            <w:pPr>
              <w:spacing w:after="0" w:line="300" w:lineRule="exact"/>
              <w:jc w:val="center"/>
              <w:rPr>
                <w:rFonts w:cs="Arial"/>
                <w:sz w:val="20"/>
              </w:rPr>
            </w:pPr>
            <w:r w:rsidRPr="00A966B6">
              <w:rPr>
                <w:rFonts w:cs="Arial"/>
                <w:sz w:val="20"/>
              </w:rPr>
              <w:t>-4</w:t>
            </w:r>
          </w:p>
        </w:tc>
        <w:tc>
          <w:tcPr>
            <w:tcW w:w="1277" w:type="dxa"/>
            <w:tcBorders>
              <w:top w:val="nil"/>
              <w:left w:val="nil"/>
              <w:bottom w:val="single" w:sz="4" w:space="0" w:color="auto"/>
              <w:right w:val="single" w:sz="4" w:space="0" w:color="auto"/>
            </w:tcBorders>
            <w:shd w:val="clear" w:color="auto" w:fill="auto"/>
            <w:noWrap/>
            <w:vAlign w:val="bottom"/>
          </w:tcPr>
          <w:p w14:paraId="4E1FF26B" w14:textId="77777777" w:rsidR="00A770D2" w:rsidRPr="00A966B6" w:rsidRDefault="00E56425" w:rsidP="00A770D2">
            <w:pPr>
              <w:spacing w:after="0" w:line="300" w:lineRule="exact"/>
              <w:jc w:val="center"/>
              <w:rPr>
                <w:rFonts w:cs="Arial"/>
                <w:sz w:val="20"/>
              </w:rPr>
            </w:pPr>
            <w:r w:rsidRPr="00A966B6">
              <w:rPr>
                <w:rFonts w:cs="Arial"/>
                <w:sz w:val="20"/>
              </w:rPr>
              <w:t>-100,00%</w:t>
            </w:r>
          </w:p>
        </w:tc>
      </w:tr>
      <w:tr w:rsidR="00A966B6" w:rsidRPr="00A966B6" w14:paraId="14B42062"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3886D893" w14:textId="77777777" w:rsidR="00A770D2" w:rsidRPr="00A966B6" w:rsidRDefault="00A770D2" w:rsidP="00A770D2">
            <w:pPr>
              <w:spacing w:after="0" w:line="300" w:lineRule="exact"/>
              <w:rPr>
                <w:rFonts w:cs="Arial"/>
                <w:sz w:val="20"/>
              </w:rPr>
            </w:pPr>
            <w:r w:rsidRPr="00A966B6">
              <w:rPr>
                <w:rFonts w:cs="Arial"/>
                <w:sz w:val="20"/>
              </w:rPr>
              <w:t>vrchní inspektor - nadpraporčík</w:t>
            </w:r>
          </w:p>
        </w:tc>
        <w:tc>
          <w:tcPr>
            <w:tcW w:w="887" w:type="dxa"/>
            <w:tcBorders>
              <w:top w:val="nil"/>
              <w:left w:val="nil"/>
              <w:bottom w:val="single" w:sz="4" w:space="0" w:color="auto"/>
              <w:right w:val="single" w:sz="4" w:space="0" w:color="auto"/>
            </w:tcBorders>
            <w:shd w:val="clear" w:color="auto" w:fill="auto"/>
            <w:noWrap/>
            <w:vAlign w:val="bottom"/>
          </w:tcPr>
          <w:p w14:paraId="282F57D2" w14:textId="77777777" w:rsidR="00A770D2" w:rsidRPr="00A966B6" w:rsidRDefault="000E35D8" w:rsidP="00A770D2">
            <w:pPr>
              <w:spacing w:after="0" w:line="300" w:lineRule="exact"/>
              <w:jc w:val="center"/>
              <w:rPr>
                <w:rFonts w:cs="Arial"/>
                <w:b/>
                <w:bCs/>
                <w:sz w:val="20"/>
              </w:rPr>
            </w:pPr>
            <w:r w:rsidRPr="00A966B6">
              <w:rPr>
                <w:rFonts w:cs="Arial"/>
                <w:b/>
                <w:bCs/>
                <w:sz w:val="20"/>
              </w:rPr>
              <w:t>14</w:t>
            </w:r>
          </w:p>
        </w:tc>
        <w:tc>
          <w:tcPr>
            <w:tcW w:w="1009" w:type="dxa"/>
            <w:tcBorders>
              <w:top w:val="nil"/>
              <w:left w:val="nil"/>
              <w:bottom w:val="single" w:sz="4" w:space="0" w:color="auto"/>
              <w:right w:val="single" w:sz="4" w:space="0" w:color="auto"/>
            </w:tcBorders>
            <w:shd w:val="clear" w:color="auto" w:fill="auto"/>
            <w:noWrap/>
            <w:vAlign w:val="bottom"/>
          </w:tcPr>
          <w:p w14:paraId="3B48D3A7" w14:textId="77777777" w:rsidR="00A770D2" w:rsidRPr="00A966B6" w:rsidRDefault="00DB24C0" w:rsidP="00A770D2">
            <w:pPr>
              <w:spacing w:after="0" w:line="300" w:lineRule="exact"/>
              <w:jc w:val="center"/>
              <w:rPr>
                <w:rFonts w:cs="Arial"/>
                <w:b/>
                <w:bCs/>
                <w:sz w:val="20"/>
              </w:rPr>
            </w:pPr>
            <w:r w:rsidRPr="00A966B6">
              <w:rPr>
                <w:rFonts w:cs="Arial"/>
                <w:b/>
                <w:bCs/>
                <w:sz w:val="20"/>
              </w:rPr>
              <w:t>10,29%</w:t>
            </w:r>
          </w:p>
        </w:tc>
        <w:tc>
          <w:tcPr>
            <w:tcW w:w="674" w:type="dxa"/>
            <w:tcBorders>
              <w:top w:val="nil"/>
              <w:left w:val="nil"/>
              <w:bottom w:val="single" w:sz="4" w:space="0" w:color="auto"/>
              <w:right w:val="single" w:sz="4" w:space="0" w:color="auto"/>
            </w:tcBorders>
            <w:shd w:val="clear" w:color="auto" w:fill="auto"/>
            <w:noWrap/>
            <w:vAlign w:val="bottom"/>
          </w:tcPr>
          <w:p w14:paraId="73EC88A1" w14:textId="77777777" w:rsidR="00A770D2" w:rsidRPr="00A966B6" w:rsidRDefault="000E35D8" w:rsidP="00A770D2">
            <w:pPr>
              <w:spacing w:after="0" w:line="300" w:lineRule="exact"/>
              <w:jc w:val="center"/>
              <w:rPr>
                <w:rFonts w:cs="Arial"/>
                <w:sz w:val="20"/>
              </w:rPr>
            </w:pPr>
            <w:r w:rsidRPr="00A966B6">
              <w:rPr>
                <w:rFonts w:cs="Arial"/>
                <w:sz w:val="20"/>
              </w:rPr>
              <w:t>-5</w:t>
            </w:r>
          </w:p>
        </w:tc>
        <w:tc>
          <w:tcPr>
            <w:tcW w:w="1277" w:type="dxa"/>
            <w:tcBorders>
              <w:top w:val="nil"/>
              <w:left w:val="nil"/>
              <w:bottom w:val="single" w:sz="4" w:space="0" w:color="auto"/>
              <w:right w:val="single" w:sz="4" w:space="0" w:color="auto"/>
            </w:tcBorders>
            <w:shd w:val="clear" w:color="auto" w:fill="auto"/>
            <w:noWrap/>
            <w:vAlign w:val="bottom"/>
          </w:tcPr>
          <w:p w14:paraId="544275F5" w14:textId="77777777" w:rsidR="00A770D2" w:rsidRPr="00A966B6" w:rsidRDefault="00E56425" w:rsidP="00A770D2">
            <w:pPr>
              <w:spacing w:after="0" w:line="300" w:lineRule="exact"/>
              <w:jc w:val="center"/>
              <w:rPr>
                <w:rFonts w:cs="Arial"/>
                <w:sz w:val="20"/>
              </w:rPr>
            </w:pPr>
            <w:r w:rsidRPr="00A966B6">
              <w:rPr>
                <w:rFonts w:cs="Arial"/>
                <w:sz w:val="20"/>
              </w:rPr>
              <w:t>-26,32%</w:t>
            </w:r>
          </w:p>
        </w:tc>
      </w:tr>
      <w:tr w:rsidR="00A966B6" w:rsidRPr="00A966B6" w14:paraId="2AD9E44E"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5D4B040D" w14:textId="77777777" w:rsidR="00A770D2" w:rsidRPr="00A966B6" w:rsidRDefault="00A770D2" w:rsidP="00A770D2">
            <w:pPr>
              <w:spacing w:after="0" w:line="300" w:lineRule="exact"/>
              <w:rPr>
                <w:rFonts w:cs="Arial"/>
                <w:sz w:val="20"/>
              </w:rPr>
            </w:pPr>
            <w:r w:rsidRPr="00A966B6">
              <w:rPr>
                <w:rFonts w:cs="Arial"/>
                <w:sz w:val="20"/>
              </w:rPr>
              <w:t>vrchní inspektor – podporučík</w:t>
            </w:r>
          </w:p>
        </w:tc>
        <w:tc>
          <w:tcPr>
            <w:tcW w:w="887" w:type="dxa"/>
            <w:tcBorders>
              <w:top w:val="nil"/>
              <w:left w:val="nil"/>
              <w:bottom w:val="single" w:sz="4" w:space="0" w:color="auto"/>
              <w:right w:val="single" w:sz="4" w:space="0" w:color="auto"/>
            </w:tcBorders>
            <w:shd w:val="clear" w:color="auto" w:fill="auto"/>
            <w:noWrap/>
            <w:vAlign w:val="bottom"/>
          </w:tcPr>
          <w:p w14:paraId="21E74642" w14:textId="77777777" w:rsidR="00A770D2" w:rsidRPr="00A966B6" w:rsidRDefault="000E35D8" w:rsidP="00A770D2">
            <w:pPr>
              <w:spacing w:after="0" w:line="300" w:lineRule="exact"/>
              <w:jc w:val="center"/>
              <w:rPr>
                <w:rFonts w:cs="Arial"/>
                <w:b/>
                <w:bCs/>
                <w:sz w:val="20"/>
              </w:rPr>
            </w:pPr>
            <w:r w:rsidRPr="00A966B6">
              <w:rPr>
                <w:rFonts w:cs="Arial"/>
                <w:b/>
                <w:bCs/>
                <w:sz w:val="20"/>
              </w:rPr>
              <w:t>3</w:t>
            </w:r>
          </w:p>
        </w:tc>
        <w:tc>
          <w:tcPr>
            <w:tcW w:w="1009" w:type="dxa"/>
            <w:tcBorders>
              <w:top w:val="nil"/>
              <w:left w:val="nil"/>
              <w:bottom w:val="single" w:sz="4" w:space="0" w:color="auto"/>
              <w:right w:val="single" w:sz="4" w:space="0" w:color="auto"/>
            </w:tcBorders>
            <w:shd w:val="clear" w:color="auto" w:fill="auto"/>
            <w:noWrap/>
            <w:vAlign w:val="bottom"/>
          </w:tcPr>
          <w:p w14:paraId="407F1C28" w14:textId="77777777" w:rsidR="00A770D2" w:rsidRPr="00A966B6" w:rsidRDefault="00DB24C0" w:rsidP="00A770D2">
            <w:pPr>
              <w:spacing w:after="0" w:line="300" w:lineRule="exact"/>
              <w:jc w:val="center"/>
              <w:rPr>
                <w:rFonts w:cs="Arial"/>
                <w:b/>
                <w:bCs/>
                <w:sz w:val="20"/>
              </w:rPr>
            </w:pPr>
            <w:r w:rsidRPr="00A966B6">
              <w:rPr>
                <w:rFonts w:cs="Arial"/>
                <w:b/>
                <w:bCs/>
                <w:sz w:val="20"/>
              </w:rPr>
              <w:t>2,21%</w:t>
            </w:r>
          </w:p>
        </w:tc>
        <w:tc>
          <w:tcPr>
            <w:tcW w:w="674" w:type="dxa"/>
            <w:tcBorders>
              <w:top w:val="nil"/>
              <w:left w:val="nil"/>
              <w:bottom w:val="single" w:sz="4" w:space="0" w:color="auto"/>
              <w:right w:val="single" w:sz="4" w:space="0" w:color="auto"/>
            </w:tcBorders>
            <w:shd w:val="clear" w:color="auto" w:fill="auto"/>
            <w:noWrap/>
            <w:vAlign w:val="bottom"/>
          </w:tcPr>
          <w:p w14:paraId="6767FDA0" w14:textId="77777777" w:rsidR="00A770D2" w:rsidRPr="00A966B6" w:rsidRDefault="00551A65" w:rsidP="00A770D2">
            <w:pPr>
              <w:spacing w:after="0" w:line="300" w:lineRule="exact"/>
              <w:jc w:val="center"/>
              <w:rPr>
                <w:rFonts w:cs="Arial"/>
                <w:sz w:val="20"/>
              </w:rPr>
            </w:pPr>
            <w:r w:rsidRPr="00A966B6">
              <w:rPr>
                <w:rFonts w:cs="Arial"/>
                <w:sz w:val="20"/>
              </w:rPr>
              <w:t>-1</w:t>
            </w:r>
          </w:p>
        </w:tc>
        <w:tc>
          <w:tcPr>
            <w:tcW w:w="1277" w:type="dxa"/>
            <w:tcBorders>
              <w:top w:val="nil"/>
              <w:left w:val="nil"/>
              <w:bottom w:val="single" w:sz="4" w:space="0" w:color="auto"/>
              <w:right w:val="single" w:sz="4" w:space="0" w:color="auto"/>
            </w:tcBorders>
            <w:shd w:val="clear" w:color="auto" w:fill="auto"/>
            <w:noWrap/>
            <w:vAlign w:val="bottom"/>
          </w:tcPr>
          <w:p w14:paraId="1B79CDD3" w14:textId="77777777" w:rsidR="00A770D2" w:rsidRPr="00A966B6" w:rsidRDefault="00E56425" w:rsidP="00A770D2">
            <w:pPr>
              <w:spacing w:after="0" w:line="300" w:lineRule="exact"/>
              <w:jc w:val="center"/>
              <w:rPr>
                <w:rFonts w:cs="Arial"/>
                <w:sz w:val="20"/>
              </w:rPr>
            </w:pPr>
            <w:r w:rsidRPr="00A966B6">
              <w:rPr>
                <w:rFonts w:cs="Arial"/>
                <w:sz w:val="20"/>
              </w:rPr>
              <w:t>-25,00%</w:t>
            </w:r>
          </w:p>
        </w:tc>
      </w:tr>
      <w:tr w:rsidR="00A966B6" w:rsidRPr="00A966B6" w14:paraId="2F83E284"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04185736" w14:textId="77777777" w:rsidR="00A770D2" w:rsidRPr="00A966B6" w:rsidRDefault="00A770D2" w:rsidP="00A770D2">
            <w:pPr>
              <w:spacing w:after="0" w:line="300" w:lineRule="exact"/>
              <w:rPr>
                <w:rFonts w:cs="Arial"/>
                <w:sz w:val="20"/>
              </w:rPr>
            </w:pPr>
            <w:r w:rsidRPr="00A966B6">
              <w:rPr>
                <w:rFonts w:cs="Arial"/>
                <w:sz w:val="20"/>
              </w:rPr>
              <w:t>komisař – poručík</w:t>
            </w:r>
          </w:p>
        </w:tc>
        <w:tc>
          <w:tcPr>
            <w:tcW w:w="887" w:type="dxa"/>
            <w:tcBorders>
              <w:top w:val="nil"/>
              <w:left w:val="nil"/>
              <w:bottom w:val="single" w:sz="4" w:space="0" w:color="auto"/>
              <w:right w:val="single" w:sz="4" w:space="0" w:color="auto"/>
            </w:tcBorders>
            <w:shd w:val="clear" w:color="auto" w:fill="auto"/>
            <w:noWrap/>
            <w:vAlign w:val="bottom"/>
          </w:tcPr>
          <w:p w14:paraId="34D6620C" w14:textId="77777777" w:rsidR="00A770D2" w:rsidRPr="00A966B6" w:rsidRDefault="000E06E8" w:rsidP="00A770D2">
            <w:pPr>
              <w:spacing w:after="0" w:line="300" w:lineRule="exact"/>
              <w:jc w:val="center"/>
              <w:rPr>
                <w:rFonts w:cs="Arial"/>
                <w:b/>
                <w:bCs/>
                <w:sz w:val="20"/>
              </w:rPr>
            </w:pPr>
            <w:r w:rsidRPr="00A966B6">
              <w:rPr>
                <w:rFonts w:cs="Arial"/>
                <w:b/>
                <w:bCs/>
                <w:sz w:val="20"/>
              </w:rPr>
              <w:t>11</w:t>
            </w:r>
          </w:p>
        </w:tc>
        <w:tc>
          <w:tcPr>
            <w:tcW w:w="1009" w:type="dxa"/>
            <w:tcBorders>
              <w:top w:val="nil"/>
              <w:left w:val="nil"/>
              <w:bottom w:val="single" w:sz="4" w:space="0" w:color="auto"/>
              <w:right w:val="single" w:sz="4" w:space="0" w:color="auto"/>
            </w:tcBorders>
            <w:shd w:val="clear" w:color="auto" w:fill="auto"/>
            <w:noWrap/>
            <w:vAlign w:val="bottom"/>
          </w:tcPr>
          <w:p w14:paraId="1F7C3F60" w14:textId="77777777" w:rsidR="00A770D2" w:rsidRPr="00A966B6" w:rsidRDefault="00DB24C0" w:rsidP="00A770D2">
            <w:pPr>
              <w:spacing w:after="0" w:line="300" w:lineRule="exact"/>
              <w:jc w:val="center"/>
              <w:rPr>
                <w:rFonts w:cs="Arial"/>
                <w:b/>
                <w:bCs/>
                <w:sz w:val="20"/>
              </w:rPr>
            </w:pPr>
            <w:r w:rsidRPr="00A966B6">
              <w:rPr>
                <w:rFonts w:cs="Arial"/>
                <w:b/>
                <w:bCs/>
                <w:sz w:val="20"/>
              </w:rPr>
              <w:t>8,09%</w:t>
            </w:r>
          </w:p>
        </w:tc>
        <w:tc>
          <w:tcPr>
            <w:tcW w:w="674" w:type="dxa"/>
            <w:tcBorders>
              <w:top w:val="nil"/>
              <w:left w:val="nil"/>
              <w:bottom w:val="single" w:sz="4" w:space="0" w:color="auto"/>
              <w:right w:val="single" w:sz="4" w:space="0" w:color="auto"/>
            </w:tcBorders>
            <w:shd w:val="clear" w:color="auto" w:fill="auto"/>
            <w:noWrap/>
            <w:vAlign w:val="bottom"/>
          </w:tcPr>
          <w:p w14:paraId="7C98179E" w14:textId="77777777" w:rsidR="00A770D2" w:rsidRPr="00A966B6" w:rsidRDefault="000E06E8" w:rsidP="00A770D2">
            <w:pPr>
              <w:spacing w:after="0" w:line="300" w:lineRule="exact"/>
              <w:jc w:val="center"/>
              <w:rPr>
                <w:rFonts w:cs="Arial"/>
                <w:sz w:val="20"/>
              </w:rPr>
            </w:pPr>
            <w:r w:rsidRPr="00A966B6">
              <w:rPr>
                <w:rFonts w:cs="Arial"/>
                <w:sz w:val="20"/>
              </w:rPr>
              <w:t>-2</w:t>
            </w:r>
          </w:p>
        </w:tc>
        <w:tc>
          <w:tcPr>
            <w:tcW w:w="1277" w:type="dxa"/>
            <w:tcBorders>
              <w:top w:val="nil"/>
              <w:left w:val="nil"/>
              <w:bottom w:val="single" w:sz="4" w:space="0" w:color="auto"/>
              <w:right w:val="single" w:sz="4" w:space="0" w:color="auto"/>
            </w:tcBorders>
            <w:shd w:val="clear" w:color="auto" w:fill="auto"/>
            <w:noWrap/>
            <w:vAlign w:val="bottom"/>
          </w:tcPr>
          <w:p w14:paraId="71CF0F1E" w14:textId="77777777" w:rsidR="00A770D2" w:rsidRPr="00A966B6" w:rsidRDefault="00E56425" w:rsidP="00A770D2">
            <w:pPr>
              <w:spacing w:after="0" w:line="300" w:lineRule="exact"/>
              <w:jc w:val="center"/>
              <w:rPr>
                <w:rFonts w:cs="Arial"/>
                <w:sz w:val="20"/>
              </w:rPr>
            </w:pPr>
            <w:r w:rsidRPr="00A966B6">
              <w:rPr>
                <w:rFonts w:cs="Arial"/>
                <w:sz w:val="20"/>
              </w:rPr>
              <w:t>-15,38%</w:t>
            </w:r>
          </w:p>
        </w:tc>
      </w:tr>
      <w:tr w:rsidR="00A966B6" w:rsidRPr="00A966B6" w14:paraId="520F8FF8"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7195BC17" w14:textId="77777777" w:rsidR="00A770D2" w:rsidRPr="00A966B6" w:rsidRDefault="00A770D2" w:rsidP="00A770D2">
            <w:pPr>
              <w:spacing w:after="0" w:line="300" w:lineRule="exact"/>
              <w:rPr>
                <w:rFonts w:cs="Arial"/>
                <w:sz w:val="20"/>
              </w:rPr>
            </w:pPr>
            <w:r w:rsidRPr="00A966B6">
              <w:rPr>
                <w:rFonts w:cs="Arial"/>
                <w:sz w:val="20"/>
              </w:rPr>
              <w:t>komisař – nadporučík</w:t>
            </w:r>
          </w:p>
        </w:tc>
        <w:tc>
          <w:tcPr>
            <w:tcW w:w="887" w:type="dxa"/>
            <w:tcBorders>
              <w:top w:val="nil"/>
              <w:left w:val="nil"/>
              <w:bottom w:val="single" w:sz="4" w:space="0" w:color="auto"/>
              <w:right w:val="single" w:sz="4" w:space="0" w:color="auto"/>
            </w:tcBorders>
            <w:shd w:val="clear" w:color="auto" w:fill="auto"/>
            <w:noWrap/>
            <w:vAlign w:val="bottom"/>
          </w:tcPr>
          <w:p w14:paraId="185DABE7" w14:textId="77777777" w:rsidR="00A770D2" w:rsidRPr="00A966B6" w:rsidRDefault="000E06E8" w:rsidP="00A770D2">
            <w:pPr>
              <w:spacing w:after="0" w:line="300" w:lineRule="exact"/>
              <w:jc w:val="center"/>
              <w:rPr>
                <w:rFonts w:cs="Arial"/>
                <w:b/>
                <w:bCs/>
                <w:sz w:val="20"/>
              </w:rPr>
            </w:pPr>
            <w:r w:rsidRPr="00A966B6">
              <w:rPr>
                <w:rFonts w:cs="Arial"/>
                <w:b/>
                <w:bCs/>
                <w:sz w:val="20"/>
              </w:rPr>
              <w:t>2</w:t>
            </w:r>
          </w:p>
        </w:tc>
        <w:tc>
          <w:tcPr>
            <w:tcW w:w="1009" w:type="dxa"/>
            <w:tcBorders>
              <w:top w:val="nil"/>
              <w:left w:val="nil"/>
              <w:bottom w:val="single" w:sz="4" w:space="0" w:color="auto"/>
              <w:right w:val="single" w:sz="4" w:space="0" w:color="auto"/>
            </w:tcBorders>
            <w:shd w:val="clear" w:color="auto" w:fill="auto"/>
            <w:noWrap/>
            <w:vAlign w:val="bottom"/>
          </w:tcPr>
          <w:p w14:paraId="5C9885F9" w14:textId="77777777" w:rsidR="00A770D2" w:rsidRPr="00A966B6" w:rsidRDefault="00DB24C0" w:rsidP="00A770D2">
            <w:pPr>
              <w:spacing w:after="0" w:line="300" w:lineRule="exact"/>
              <w:jc w:val="center"/>
              <w:rPr>
                <w:rFonts w:cs="Arial"/>
                <w:b/>
                <w:bCs/>
                <w:sz w:val="20"/>
              </w:rPr>
            </w:pPr>
            <w:r w:rsidRPr="00A966B6">
              <w:rPr>
                <w:rFonts w:cs="Arial"/>
                <w:b/>
                <w:bCs/>
                <w:sz w:val="20"/>
              </w:rPr>
              <w:t>1,47%</w:t>
            </w:r>
          </w:p>
        </w:tc>
        <w:tc>
          <w:tcPr>
            <w:tcW w:w="674" w:type="dxa"/>
            <w:tcBorders>
              <w:top w:val="nil"/>
              <w:left w:val="nil"/>
              <w:bottom w:val="single" w:sz="4" w:space="0" w:color="auto"/>
              <w:right w:val="single" w:sz="4" w:space="0" w:color="auto"/>
            </w:tcBorders>
            <w:shd w:val="clear" w:color="auto" w:fill="auto"/>
            <w:noWrap/>
            <w:vAlign w:val="bottom"/>
          </w:tcPr>
          <w:p w14:paraId="62587F1E" w14:textId="77777777" w:rsidR="00A770D2" w:rsidRPr="00A966B6" w:rsidRDefault="000E06E8" w:rsidP="00A770D2">
            <w:pPr>
              <w:spacing w:after="0" w:line="300" w:lineRule="exact"/>
              <w:jc w:val="center"/>
              <w:rPr>
                <w:rFonts w:cs="Arial"/>
                <w:sz w:val="20"/>
              </w:rPr>
            </w:pPr>
            <w:r w:rsidRPr="00A966B6">
              <w:rPr>
                <w:rFonts w:cs="Arial"/>
                <w:sz w:val="20"/>
              </w:rPr>
              <w:t>-3</w:t>
            </w:r>
          </w:p>
        </w:tc>
        <w:tc>
          <w:tcPr>
            <w:tcW w:w="1277" w:type="dxa"/>
            <w:tcBorders>
              <w:top w:val="nil"/>
              <w:left w:val="nil"/>
              <w:bottom w:val="single" w:sz="4" w:space="0" w:color="auto"/>
              <w:right w:val="single" w:sz="4" w:space="0" w:color="auto"/>
            </w:tcBorders>
            <w:shd w:val="clear" w:color="auto" w:fill="auto"/>
            <w:noWrap/>
            <w:vAlign w:val="bottom"/>
          </w:tcPr>
          <w:p w14:paraId="78117DAF" w14:textId="77777777" w:rsidR="00A770D2" w:rsidRPr="00A966B6" w:rsidRDefault="00E56425" w:rsidP="00A770D2">
            <w:pPr>
              <w:spacing w:after="0" w:line="300" w:lineRule="exact"/>
              <w:jc w:val="center"/>
              <w:rPr>
                <w:rFonts w:cs="Arial"/>
                <w:sz w:val="20"/>
              </w:rPr>
            </w:pPr>
            <w:r w:rsidRPr="00A966B6">
              <w:rPr>
                <w:rFonts w:cs="Arial"/>
                <w:sz w:val="20"/>
              </w:rPr>
              <w:t>-60,00%</w:t>
            </w:r>
          </w:p>
        </w:tc>
      </w:tr>
      <w:tr w:rsidR="00A966B6" w:rsidRPr="00A966B6" w14:paraId="5BA636E9"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3A12FE6D" w14:textId="77777777" w:rsidR="00A770D2" w:rsidRPr="00A966B6" w:rsidRDefault="00A770D2" w:rsidP="00A770D2">
            <w:pPr>
              <w:spacing w:after="0" w:line="300" w:lineRule="exact"/>
              <w:rPr>
                <w:rFonts w:cs="Arial"/>
                <w:sz w:val="20"/>
              </w:rPr>
            </w:pPr>
            <w:r w:rsidRPr="00A966B6">
              <w:rPr>
                <w:rFonts w:cs="Arial"/>
                <w:sz w:val="20"/>
              </w:rPr>
              <w:t>vrchní komisař – kapitán</w:t>
            </w:r>
          </w:p>
        </w:tc>
        <w:tc>
          <w:tcPr>
            <w:tcW w:w="887" w:type="dxa"/>
            <w:tcBorders>
              <w:top w:val="nil"/>
              <w:left w:val="nil"/>
              <w:bottom w:val="single" w:sz="4" w:space="0" w:color="auto"/>
              <w:right w:val="single" w:sz="4" w:space="0" w:color="auto"/>
            </w:tcBorders>
            <w:shd w:val="clear" w:color="auto" w:fill="auto"/>
            <w:noWrap/>
            <w:vAlign w:val="bottom"/>
          </w:tcPr>
          <w:p w14:paraId="05B77391" w14:textId="77777777" w:rsidR="00A770D2" w:rsidRPr="00A966B6" w:rsidRDefault="000E06E8" w:rsidP="00A770D2">
            <w:pPr>
              <w:spacing w:after="0" w:line="300" w:lineRule="exact"/>
              <w:jc w:val="center"/>
              <w:rPr>
                <w:rFonts w:cs="Arial"/>
                <w:b/>
                <w:bCs/>
                <w:sz w:val="20"/>
              </w:rPr>
            </w:pPr>
            <w:r w:rsidRPr="00A966B6">
              <w:rPr>
                <w:rFonts w:cs="Arial"/>
                <w:b/>
                <w:bCs/>
                <w:sz w:val="20"/>
              </w:rPr>
              <w:t>8</w:t>
            </w:r>
          </w:p>
        </w:tc>
        <w:tc>
          <w:tcPr>
            <w:tcW w:w="1009" w:type="dxa"/>
            <w:tcBorders>
              <w:top w:val="nil"/>
              <w:left w:val="nil"/>
              <w:bottom w:val="single" w:sz="4" w:space="0" w:color="auto"/>
              <w:right w:val="single" w:sz="4" w:space="0" w:color="auto"/>
            </w:tcBorders>
            <w:shd w:val="clear" w:color="auto" w:fill="auto"/>
            <w:noWrap/>
            <w:vAlign w:val="bottom"/>
          </w:tcPr>
          <w:p w14:paraId="69D93E97" w14:textId="77777777" w:rsidR="00A770D2" w:rsidRPr="00A966B6" w:rsidRDefault="00DB24C0" w:rsidP="00A770D2">
            <w:pPr>
              <w:spacing w:after="0" w:line="300" w:lineRule="exact"/>
              <w:jc w:val="center"/>
              <w:rPr>
                <w:rFonts w:cs="Arial"/>
                <w:b/>
                <w:bCs/>
                <w:sz w:val="20"/>
              </w:rPr>
            </w:pPr>
            <w:r w:rsidRPr="00A966B6">
              <w:rPr>
                <w:rFonts w:cs="Arial"/>
                <w:b/>
                <w:bCs/>
                <w:sz w:val="20"/>
              </w:rPr>
              <w:t>5,88%</w:t>
            </w:r>
          </w:p>
        </w:tc>
        <w:tc>
          <w:tcPr>
            <w:tcW w:w="674" w:type="dxa"/>
            <w:tcBorders>
              <w:top w:val="nil"/>
              <w:left w:val="nil"/>
              <w:bottom w:val="single" w:sz="4" w:space="0" w:color="auto"/>
              <w:right w:val="single" w:sz="4" w:space="0" w:color="auto"/>
            </w:tcBorders>
            <w:shd w:val="clear" w:color="auto" w:fill="auto"/>
            <w:noWrap/>
            <w:vAlign w:val="bottom"/>
          </w:tcPr>
          <w:p w14:paraId="4E431A8B" w14:textId="77777777" w:rsidR="00A770D2" w:rsidRPr="00A966B6" w:rsidRDefault="000E06E8" w:rsidP="00A770D2">
            <w:pPr>
              <w:spacing w:after="0" w:line="300" w:lineRule="exact"/>
              <w:jc w:val="center"/>
              <w:rPr>
                <w:rFonts w:cs="Arial"/>
                <w:sz w:val="20"/>
              </w:rPr>
            </w:pPr>
            <w:r w:rsidRPr="00A966B6">
              <w:rPr>
                <w:rFonts w:cs="Arial"/>
                <w:sz w:val="20"/>
              </w:rPr>
              <w:t>-6</w:t>
            </w:r>
          </w:p>
        </w:tc>
        <w:tc>
          <w:tcPr>
            <w:tcW w:w="1277" w:type="dxa"/>
            <w:tcBorders>
              <w:top w:val="nil"/>
              <w:left w:val="nil"/>
              <w:bottom w:val="single" w:sz="4" w:space="0" w:color="auto"/>
              <w:right w:val="single" w:sz="4" w:space="0" w:color="auto"/>
            </w:tcBorders>
            <w:shd w:val="clear" w:color="auto" w:fill="auto"/>
            <w:noWrap/>
            <w:vAlign w:val="bottom"/>
          </w:tcPr>
          <w:p w14:paraId="7F5E31B7" w14:textId="77777777" w:rsidR="00A770D2" w:rsidRPr="00A966B6" w:rsidRDefault="00E56425" w:rsidP="00A770D2">
            <w:pPr>
              <w:spacing w:after="0" w:line="300" w:lineRule="exact"/>
              <w:jc w:val="center"/>
              <w:rPr>
                <w:rFonts w:cs="Arial"/>
                <w:sz w:val="20"/>
              </w:rPr>
            </w:pPr>
            <w:r w:rsidRPr="00A966B6">
              <w:rPr>
                <w:rFonts w:cs="Arial"/>
                <w:sz w:val="20"/>
              </w:rPr>
              <w:t>-42,86%</w:t>
            </w:r>
          </w:p>
        </w:tc>
      </w:tr>
      <w:tr w:rsidR="00A966B6" w:rsidRPr="00A966B6" w14:paraId="60A49A6F"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1295652F" w14:textId="77777777" w:rsidR="00A770D2" w:rsidRPr="00A966B6" w:rsidRDefault="00A770D2" w:rsidP="00A770D2">
            <w:pPr>
              <w:spacing w:after="0" w:line="300" w:lineRule="exact"/>
              <w:rPr>
                <w:rFonts w:cs="Arial"/>
                <w:sz w:val="20"/>
              </w:rPr>
            </w:pPr>
            <w:r w:rsidRPr="00A966B6">
              <w:rPr>
                <w:rFonts w:cs="Arial"/>
                <w:sz w:val="20"/>
              </w:rPr>
              <w:t>vrchní komisař – major</w:t>
            </w:r>
          </w:p>
        </w:tc>
        <w:tc>
          <w:tcPr>
            <w:tcW w:w="887" w:type="dxa"/>
            <w:tcBorders>
              <w:top w:val="nil"/>
              <w:left w:val="nil"/>
              <w:bottom w:val="single" w:sz="4" w:space="0" w:color="auto"/>
              <w:right w:val="single" w:sz="4" w:space="0" w:color="auto"/>
            </w:tcBorders>
            <w:shd w:val="clear" w:color="auto" w:fill="auto"/>
            <w:noWrap/>
            <w:vAlign w:val="bottom"/>
          </w:tcPr>
          <w:p w14:paraId="08577C11" w14:textId="77777777" w:rsidR="00A770D2" w:rsidRPr="00A966B6" w:rsidRDefault="000E06E8" w:rsidP="00A770D2">
            <w:pPr>
              <w:spacing w:after="0" w:line="300" w:lineRule="exact"/>
              <w:jc w:val="center"/>
              <w:rPr>
                <w:rFonts w:cs="Arial"/>
                <w:b/>
                <w:bCs/>
                <w:sz w:val="20"/>
              </w:rPr>
            </w:pPr>
            <w:r w:rsidRPr="00A966B6">
              <w:rPr>
                <w:rFonts w:cs="Arial"/>
                <w:b/>
                <w:bCs/>
                <w:sz w:val="20"/>
              </w:rPr>
              <w:t>2</w:t>
            </w:r>
          </w:p>
        </w:tc>
        <w:tc>
          <w:tcPr>
            <w:tcW w:w="1009" w:type="dxa"/>
            <w:tcBorders>
              <w:top w:val="nil"/>
              <w:left w:val="nil"/>
              <w:bottom w:val="single" w:sz="4" w:space="0" w:color="auto"/>
              <w:right w:val="single" w:sz="4" w:space="0" w:color="auto"/>
            </w:tcBorders>
            <w:shd w:val="clear" w:color="auto" w:fill="auto"/>
            <w:noWrap/>
            <w:vAlign w:val="bottom"/>
          </w:tcPr>
          <w:p w14:paraId="1F3F504D" w14:textId="77777777" w:rsidR="00A770D2" w:rsidRPr="00A966B6" w:rsidRDefault="00DB24C0" w:rsidP="00A770D2">
            <w:pPr>
              <w:spacing w:after="0" w:line="300" w:lineRule="exact"/>
              <w:jc w:val="center"/>
              <w:rPr>
                <w:rFonts w:cs="Arial"/>
                <w:b/>
                <w:bCs/>
                <w:sz w:val="20"/>
              </w:rPr>
            </w:pPr>
            <w:r w:rsidRPr="00A966B6">
              <w:rPr>
                <w:rFonts w:cs="Arial"/>
                <w:b/>
                <w:bCs/>
                <w:sz w:val="20"/>
              </w:rPr>
              <w:t>1,47%</w:t>
            </w:r>
          </w:p>
        </w:tc>
        <w:tc>
          <w:tcPr>
            <w:tcW w:w="674" w:type="dxa"/>
            <w:tcBorders>
              <w:top w:val="nil"/>
              <w:left w:val="nil"/>
              <w:bottom w:val="single" w:sz="4" w:space="0" w:color="auto"/>
              <w:right w:val="single" w:sz="4" w:space="0" w:color="auto"/>
            </w:tcBorders>
            <w:shd w:val="clear" w:color="auto" w:fill="auto"/>
            <w:noWrap/>
            <w:vAlign w:val="bottom"/>
          </w:tcPr>
          <w:p w14:paraId="5AF84F52" w14:textId="77777777" w:rsidR="00A770D2" w:rsidRPr="00A966B6" w:rsidRDefault="000E06E8" w:rsidP="00A770D2">
            <w:pPr>
              <w:spacing w:after="0" w:line="300" w:lineRule="exact"/>
              <w:jc w:val="center"/>
              <w:rPr>
                <w:rFonts w:cs="Arial"/>
                <w:sz w:val="20"/>
              </w:rPr>
            </w:pPr>
            <w:r w:rsidRPr="00A966B6">
              <w:rPr>
                <w:rFonts w:cs="Arial"/>
                <w:sz w:val="20"/>
              </w:rPr>
              <w:t>0</w:t>
            </w:r>
          </w:p>
        </w:tc>
        <w:tc>
          <w:tcPr>
            <w:tcW w:w="1277" w:type="dxa"/>
            <w:tcBorders>
              <w:top w:val="nil"/>
              <w:left w:val="nil"/>
              <w:bottom w:val="single" w:sz="4" w:space="0" w:color="auto"/>
              <w:right w:val="single" w:sz="4" w:space="0" w:color="auto"/>
            </w:tcBorders>
            <w:shd w:val="clear" w:color="auto" w:fill="auto"/>
            <w:noWrap/>
            <w:vAlign w:val="bottom"/>
          </w:tcPr>
          <w:p w14:paraId="0307E338" w14:textId="77777777" w:rsidR="00A770D2" w:rsidRPr="00A966B6" w:rsidRDefault="00E56425" w:rsidP="00A770D2">
            <w:pPr>
              <w:spacing w:after="0" w:line="300" w:lineRule="exact"/>
              <w:jc w:val="center"/>
              <w:rPr>
                <w:rFonts w:cs="Arial"/>
                <w:sz w:val="20"/>
              </w:rPr>
            </w:pPr>
            <w:r w:rsidRPr="00A966B6">
              <w:rPr>
                <w:rFonts w:cs="Arial"/>
                <w:sz w:val="20"/>
              </w:rPr>
              <w:t>0,00%</w:t>
            </w:r>
          </w:p>
        </w:tc>
      </w:tr>
      <w:tr w:rsidR="00A966B6" w:rsidRPr="00A966B6" w14:paraId="537C38FA"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25C56BEB" w14:textId="77777777" w:rsidR="00A770D2" w:rsidRPr="00A966B6" w:rsidRDefault="00A770D2" w:rsidP="00A770D2">
            <w:pPr>
              <w:spacing w:after="0" w:line="300" w:lineRule="exact"/>
              <w:rPr>
                <w:rFonts w:cs="Arial"/>
                <w:sz w:val="20"/>
              </w:rPr>
            </w:pPr>
            <w:r w:rsidRPr="00A966B6">
              <w:rPr>
                <w:rFonts w:cs="Arial"/>
                <w:sz w:val="20"/>
              </w:rPr>
              <w:t>rada – podplukovník</w:t>
            </w:r>
          </w:p>
        </w:tc>
        <w:tc>
          <w:tcPr>
            <w:tcW w:w="887" w:type="dxa"/>
            <w:tcBorders>
              <w:top w:val="nil"/>
              <w:left w:val="nil"/>
              <w:bottom w:val="single" w:sz="4" w:space="0" w:color="auto"/>
              <w:right w:val="single" w:sz="4" w:space="0" w:color="auto"/>
            </w:tcBorders>
            <w:shd w:val="clear" w:color="auto" w:fill="auto"/>
            <w:noWrap/>
            <w:vAlign w:val="bottom"/>
          </w:tcPr>
          <w:p w14:paraId="21C9EDD1" w14:textId="77777777" w:rsidR="00A770D2" w:rsidRPr="00A966B6" w:rsidRDefault="000E06E8" w:rsidP="00A770D2">
            <w:pPr>
              <w:spacing w:after="0" w:line="300" w:lineRule="exact"/>
              <w:jc w:val="center"/>
              <w:rPr>
                <w:rFonts w:cs="Arial"/>
                <w:b/>
                <w:bCs/>
                <w:sz w:val="20"/>
              </w:rPr>
            </w:pPr>
            <w:r w:rsidRPr="00A966B6">
              <w:rPr>
                <w:rFonts w:cs="Arial"/>
                <w:b/>
                <w:bCs/>
                <w:sz w:val="20"/>
              </w:rPr>
              <w:t>4</w:t>
            </w:r>
          </w:p>
        </w:tc>
        <w:tc>
          <w:tcPr>
            <w:tcW w:w="1009" w:type="dxa"/>
            <w:tcBorders>
              <w:top w:val="nil"/>
              <w:left w:val="nil"/>
              <w:bottom w:val="single" w:sz="4" w:space="0" w:color="auto"/>
              <w:right w:val="single" w:sz="4" w:space="0" w:color="auto"/>
            </w:tcBorders>
            <w:shd w:val="clear" w:color="auto" w:fill="auto"/>
            <w:noWrap/>
            <w:vAlign w:val="bottom"/>
          </w:tcPr>
          <w:p w14:paraId="5AB51D6D" w14:textId="77777777" w:rsidR="00A770D2" w:rsidRPr="00A966B6" w:rsidRDefault="00DB24C0" w:rsidP="00A770D2">
            <w:pPr>
              <w:spacing w:after="0" w:line="300" w:lineRule="exact"/>
              <w:jc w:val="center"/>
              <w:rPr>
                <w:rFonts w:cs="Arial"/>
                <w:b/>
                <w:bCs/>
                <w:sz w:val="20"/>
              </w:rPr>
            </w:pPr>
            <w:r w:rsidRPr="00A966B6">
              <w:rPr>
                <w:rFonts w:cs="Arial"/>
                <w:b/>
                <w:bCs/>
                <w:sz w:val="20"/>
              </w:rPr>
              <w:t>2,94%</w:t>
            </w:r>
          </w:p>
        </w:tc>
        <w:tc>
          <w:tcPr>
            <w:tcW w:w="674" w:type="dxa"/>
            <w:tcBorders>
              <w:top w:val="nil"/>
              <w:left w:val="nil"/>
              <w:bottom w:val="single" w:sz="4" w:space="0" w:color="auto"/>
              <w:right w:val="single" w:sz="4" w:space="0" w:color="auto"/>
            </w:tcBorders>
            <w:shd w:val="clear" w:color="auto" w:fill="auto"/>
            <w:noWrap/>
            <w:vAlign w:val="bottom"/>
          </w:tcPr>
          <w:p w14:paraId="7136C8C5" w14:textId="77777777" w:rsidR="00A770D2" w:rsidRPr="00A966B6" w:rsidRDefault="000E06E8" w:rsidP="00A770D2">
            <w:pPr>
              <w:spacing w:after="0" w:line="300" w:lineRule="exact"/>
              <w:jc w:val="center"/>
              <w:rPr>
                <w:rFonts w:cs="Arial"/>
                <w:sz w:val="20"/>
              </w:rPr>
            </w:pPr>
            <w:r w:rsidRPr="00A966B6">
              <w:rPr>
                <w:rFonts w:cs="Arial"/>
                <w:sz w:val="20"/>
              </w:rPr>
              <w:t>0</w:t>
            </w:r>
          </w:p>
        </w:tc>
        <w:tc>
          <w:tcPr>
            <w:tcW w:w="1277" w:type="dxa"/>
            <w:tcBorders>
              <w:top w:val="nil"/>
              <w:left w:val="nil"/>
              <w:bottom w:val="single" w:sz="4" w:space="0" w:color="auto"/>
              <w:right w:val="single" w:sz="4" w:space="0" w:color="auto"/>
            </w:tcBorders>
            <w:shd w:val="clear" w:color="auto" w:fill="auto"/>
            <w:noWrap/>
            <w:vAlign w:val="bottom"/>
          </w:tcPr>
          <w:p w14:paraId="5DC1162A" w14:textId="77777777" w:rsidR="00A770D2" w:rsidRPr="00A966B6" w:rsidRDefault="00E56425" w:rsidP="00A770D2">
            <w:pPr>
              <w:spacing w:after="0" w:line="300" w:lineRule="exact"/>
              <w:jc w:val="center"/>
              <w:rPr>
                <w:rFonts w:cs="Arial"/>
                <w:sz w:val="20"/>
              </w:rPr>
            </w:pPr>
            <w:r w:rsidRPr="00A966B6">
              <w:rPr>
                <w:rFonts w:cs="Arial"/>
                <w:sz w:val="20"/>
              </w:rPr>
              <w:t>0,00%</w:t>
            </w:r>
          </w:p>
        </w:tc>
      </w:tr>
      <w:tr w:rsidR="00A966B6" w:rsidRPr="00A966B6" w14:paraId="3B1EF2CA"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5FA2A1FD" w14:textId="77777777" w:rsidR="00A770D2" w:rsidRPr="00A966B6" w:rsidRDefault="00A770D2" w:rsidP="00A770D2">
            <w:pPr>
              <w:spacing w:after="0" w:line="300" w:lineRule="exact"/>
              <w:rPr>
                <w:rFonts w:cs="Arial"/>
                <w:sz w:val="20"/>
              </w:rPr>
            </w:pPr>
            <w:r w:rsidRPr="00A966B6">
              <w:rPr>
                <w:rFonts w:cs="Arial"/>
                <w:sz w:val="20"/>
              </w:rPr>
              <w:t>rada – plukovník</w:t>
            </w:r>
          </w:p>
        </w:tc>
        <w:tc>
          <w:tcPr>
            <w:tcW w:w="887" w:type="dxa"/>
            <w:tcBorders>
              <w:top w:val="nil"/>
              <w:left w:val="nil"/>
              <w:bottom w:val="single" w:sz="4" w:space="0" w:color="auto"/>
              <w:right w:val="single" w:sz="4" w:space="0" w:color="auto"/>
            </w:tcBorders>
            <w:shd w:val="clear" w:color="auto" w:fill="auto"/>
            <w:noWrap/>
            <w:vAlign w:val="bottom"/>
          </w:tcPr>
          <w:p w14:paraId="7D2D5893" w14:textId="77777777" w:rsidR="00A770D2" w:rsidRPr="00A966B6" w:rsidRDefault="000E06E8" w:rsidP="00A770D2">
            <w:pPr>
              <w:spacing w:after="0" w:line="300" w:lineRule="exact"/>
              <w:jc w:val="center"/>
              <w:rPr>
                <w:rFonts w:cs="Arial"/>
                <w:b/>
                <w:bCs/>
                <w:sz w:val="20"/>
              </w:rPr>
            </w:pPr>
            <w:r w:rsidRPr="00A966B6">
              <w:rPr>
                <w:rFonts w:cs="Arial"/>
                <w:b/>
                <w:bCs/>
                <w:sz w:val="20"/>
              </w:rPr>
              <w:t>3</w:t>
            </w:r>
          </w:p>
        </w:tc>
        <w:tc>
          <w:tcPr>
            <w:tcW w:w="1009" w:type="dxa"/>
            <w:tcBorders>
              <w:top w:val="nil"/>
              <w:left w:val="nil"/>
              <w:bottom w:val="single" w:sz="4" w:space="0" w:color="auto"/>
              <w:right w:val="single" w:sz="4" w:space="0" w:color="auto"/>
            </w:tcBorders>
            <w:shd w:val="clear" w:color="auto" w:fill="auto"/>
            <w:noWrap/>
            <w:vAlign w:val="bottom"/>
          </w:tcPr>
          <w:p w14:paraId="4FABEE4C" w14:textId="77777777" w:rsidR="00A770D2" w:rsidRPr="00A966B6" w:rsidRDefault="00DB24C0" w:rsidP="00A770D2">
            <w:pPr>
              <w:spacing w:after="0" w:line="300" w:lineRule="exact"/>
              <w:jc w:val="center"/>
              <w:rPr>
                <w:rFonts w:cs="Arial"/>
                <w:b/>
                <w:bCs/>
                <w:sz w:val="20"/>
              </w:rPr>
            </w:pPr>
            <w:r w:rsidRPr="00A966B6">
              <w:rPr>
                <w:rFonts w:cs="Arial"/>
                <w:b/>
                <w:bCs/>
                <w:sz w:val="20"/>
              </w:rPr>
              <w:t>2,21%</w:t>
            </w:r>
          </w:p>
        </w:tc>
        <w:tc>
          <w:tcPr>
            <w:tcW w:w="674" w:type="dxa"/>
            <w:tcBorders>
              <w:top w:val="nil"/>
              <w:left w:val="nil"/>
              <w:bottom w:val="single" w:sz="4" w:space="0" w:color="auto"/>
              <w:right w:val="single" w:sz="4" w:space="0" w:color="auto"/>
            </w:tcBorders>
            <w:shd w:val="clear" w:color="auto" w:fill="auto"/>
            <w:noWrap/>
            <w:vAlign w:val="bottom"/>
          </w:tcPr>
          <w:p w14:paraId="11E1ACDC" w14:textId="77777777" w:rsidR="00A770D2" w:rsidRPr="00A966B6" w:rsidRDefault="000E06E8" w:rsidP="00A770D2">
            <w:pPr>
              <w:spacing w:after="0" w:line="300" w:lineRule="exact"/>
              <w:jc w:val="center"/>
              <w:rPr>
                <w:rFonts w:cs="Arial"/>
                <w:sz w:val="20"/>
              </w:rPr>
            </w:pPr>
            <w:r w:rsidRPr="00A966B6">
              <w:rPr>
                <w:rFonts w:cs="Arial"/>
                <w:sz w:val="20"/>
              </w:rPr>
              <w:t>-1</w:t>
            </w:r>
          </w:p>
        </w:tc>
        <w:tc>
          <w:tcPr>
            <w:tcW w:w="1277" w:type="dxa"/>
            <w:tcBorders>
              <w:top w:val="nil"/>
              <w:left w:val="nil"/>
              <w:bottom w:val="single" w:sz="4" w:space="0" w:color="auto"/>
              <w:right w:val="single" w:sz="4" w:space="0" w:color="auto"/>
            </w:tcBorders>
            <w:shd w:val="clear" w:color="auto" w:fill="auto"/>
            <w:noWrap/>
            <w:vAlign w:val="bottom"/>
          </w:tcPr>
          <w:p w14:paraId="19B11FD5" w14:textId="77777777" w:rsidR="00A770D2" w:rsidRPr="00A966B6" w:rsidRDefault="00E56425" w:rsidP="00A770D2">
            <w:pPr>
              <w:spacing w:after="0" w:line="300" w:lineRule="exact"/>
              <w:jc w:val="center"/>
              <w:rPr>
                <w:rFonts w:cs="Arial"/>
                <w:sz w:val="20"/>
              </w:rPr>
            </w:pPr>
            <w:r w:rsidRPr="00A966B6">
              <w:rPr>
                <w:rFonts w:cs="Arial"/>
                <w:sz w:val="20"/>
              </w:rPr>
              <w:t>-25,00%</w:t>
            </w:r>
          </w:p>
        </w:tc>
      </w:tr>
      <w:tr w:rsidR="00A966B6" w:rsidRPr="00A966B6" w14:paraId="0C74896A"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2D550301" w14:textId="77777777" w:rsidR="00A770D2" w:rsidRPr="00A966B6" w:rsidRDefault="00A770D2" w:rsidP="00A770D2">
            <w:pPr>
              <w:spacing w:after="0" w:line="300" w:lineRule="exact"/>
              <w:rPr>
                <w:rFonts w:cs="Arial"/>
                <w:sz w:val="20"/>
              </w:rPr>
            </w:pPr>
            <w:r w:rsidRPr="00A966B6">
              <w:rPr>
                <w:rFonts w:cs="Arial"/>
                <w:sz w:val="20"/>
              </w:rPr>
              <w:t>vrchní rada – plukovník</w:t>
            </w:r>
          </w:p>
        </w:tc>
        <w:tc>
          <w:tcPr>
            <w:tcW w:w="887" w:type="dxa"/>
            <w:tcBorders>
              <w:top w:val="nil"/>
              <w:left w:val="nil"/>
              <w:bottom w:val="single" w:sz="4" w:space="0" w:color="auto"/>
              <w:right w:val="single" w:sz="4" w:space="0" w:color="auto"/>
            </w:tcBorders>
            <w:shd w:val="clear" w:color="auto" w:fill="auto"/>
            <w:noWrap/>
            <w:vAlign w:val="bottom"/>
          </w:tcPr>
          <w:p w14:paraId="31610C1D" w14:textId="77777777" w:rsidR="00A770D2" w:rsidRPr="00A966B6" w:rsidRDefault="000E06E8" w:rsidP="00A770D2">
            <w:pPr>
              <w:spacing w:after="0" w:line="300" w:lineRule="exact"/>
              <w:jc w:val="center"/>
              <w:rPr>
                <w:rFonts w:cs="Arial"/>
                <w:b/>
                <w:bCs/>
                <w:sz w:val="20"/>
              </w:rPr>
            </w:pPr>
            <w:r w:rsidRPr="00A966B6">
              <w:rPr>
                <w:rFonts w:cs="Arial"/>
                <w:b/>
                <w:bCs/>
                <w:sz w:val="20"/>
              </w:rPr>
              <w:t>0</w:t>
            </w:r>
          </w:p>
        </w:tc>
        <w:tc>
          <w:tcPr>
            <w:tcW w:w="1009" w:type="dxa"/>
            <w:tcBorders>
              <w:top w:val="nil"/>
              <w:left w:val="nil"/>
              <w:bottom w:val="single" w:sz="4" w:space="0" w:color="auto"/>
              <w:right w:val="single" w:sz="4" w:space="0" w:color="auto"/>
            </w:tcBorders>
            <w:shd w:val="clear" w:color="auto" w:fill="auto"/>
            <w:noWrap/>
            <w:vAlign w:val="bottom"/>
          </w:tcPr>
          <w:p w14:paraId="731A8AB3" w14:textId="77777777" w:rsidR="00A770D2" w:rsidRPr="00A966B6" w:rsidRDefault="00DB24C0" w:rsidP="00A770D2">
            <w:pPr>
              <w:spacing w:after="0" w:line="300" w:lineRule="exact"/>
              <w:jc w:val="center"/>
              <w:rPr>
                <w:rFonts w:cs="Arial"/>
                <w:b/>
                <w:bCs/>
                <w:sz w:val="20"/>
              </w:rPr>
            </w:pPr>
            <w:r w:rsidRPr="00A966B6">
              <w:rPr>
                <w:rFonts w:cs="Arial"/>
                <w:b/>
                <w:bCs/>
                <w:sz w:val="20"/>
              </w:rPr>
              <w:t>0%</w:t>
            </w:r>
          </w:p>
        </w:tc>
        <w:tc>
          <w:tcPr>
            <w:tcW w:w="674" w:type="dxa"/>
            <w:tcBorders>
              <w:top w:val="nil"/>
              <w:left w:val="nil"/>
              <w:bottom w:val="single" w:sz="4" w:space="0" w:color="auto"/>
              <w:right w:val="single" w:sz="4" w:space="0" w:color="auto"/>
            </w:tcBorders>
            <w:shd w:val="clear" w:color="auto" w:fill="auto"/>
            <w:noWrap/>
            <w:vAlign w:val="bottom"/>
          </w:tcPr>
          <w:p w14:paraId="5C47F0E2" w14:textId="77777777" w:rsidR="00A770D2" w:rsidRPr="00A966B6" w:rsidRDefault="000E06E8" w:rsidP="00A770D2">
            <w:pPr>
              <w:spacing w:after="0" w:line="300" w:lineRule="exact"/>
              <w:jc w:val="center"/>
              <w:rPr>
                <w:rFonts w:cs="Arial"/>
                <w:sz w:val="20"/>
              </w:rPr>
            </w:pPr>
            <w:r w:rsidRPr="00A966B6">
              <w:rPr>
                <w:rFonts w:cs="Arial"/>
                <w:sz w:val="20"/>
              </w:rPr>
              <w:t>-1</w:t>
            </w:r>
          </w:p>
        </w:tc>
        <w:tc>
          <w:tcPr>
            <w:tcW w:w="1277" w:type="dxa"/>
            <w:tcBorders>
              <w:top w:val="nil"/>
              <w:left w:val="nil"/>
              <w:bottom w:val="single" w:sz="4" w:space="0" w:color="auto"/>
              <w:right w:val="single" w:sz="4" w:space="0" w:color="auto"/>
            </w:tcBorders>
            <w:shd w:val="clear" w:color="auto" w:fill="auto"/>
            <w:noWrap/>
            <w:vAlign w:val="bottom"/>
          </w:tcPr>
          <w:p w14:paraId="4EF0F1AE" w14:textId="77777777" w:rsidR="00A770D2" w:rsidRPr="00A966B6" w:rsidRDefault="00E56425" w:rsidP="00A770D2">
            <w:pPr>
              <w:spacing w:after="0" w:line="300" w:lineRule="exact"/>
              <w:jc w:val="center"/>
              <w:rPr>
                <w:rFonts w:cs="Arial"/>
                <w:sz w:val="20"/>
              </w:rPr>
            </w:pPr>
            <w:r w:rsidRPr="00A966B6">
              <w:rPr>
                <w:rFonts w:cs="Arial"/>
                <w:sz w:val="20"/>
              </w:rPr>
              <w:t>-100,00%</w:t>
            </w:r>
          </w:p>
        </w:tc>
      </w:tr>
      <w:tr w:rsidR="00A770D2" w:rsidRPr="00A966B6" w14:paraId="615AC366" w14:textId="77777777" w:rsidTr="00A770D2">
        <w:trPr>
          <w:trHeight w:val="300"/>
          <w:jc w:val="center"/>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6DC85BE1" w14:textId="77777777" w:rsidR="00A770D2" w:rsidRPr="00A966B6" w:rsidRDefault="00A770D2" w:rsidP="00A770D2">
            <w:pPr>
              <w:spacing w:after="0" w:line="300" w:lineRule="exact"/>
              <w:rPr>
                <w:rFonts w:cs="Arial"/>
                <w:sz w:val="20"/>
              </w:rPr>
            </w:pPr>
            <w:r w:rsidRPr="00A966B6">
              <w:rPr>
                <w:rFonts w:cs="Arial"/>
                <w:sz w:val="20"/>
              </w:rPr>
              <w:t>vrchní státní rada – plukovník</w:t>
            </w:r>
          </w:p>
        </w:tc>
        <w:tc>
          <w:tcPr>
            <w:tcW w:w="887" w:type="dxa"/>
            <w:tcBorders>
              <w:top w:val="nil"/>
              <w:left w:val="nil"/>
              <w:bottom w:val="single" w:sz="4" w:space="0" w:color="auto"/>
              <w:right w:val="single" w:sz="4" w:space="0" w:color="auto"/>
            </w:tcBorders>
            <w:shd w:val="clear" w:color="auto" w:fill="auto"/>
            <w:noWrap/>
            <w:vAlign w:val="bottom"/>
          </w:tcPr>
          <w:p w14:paraId="3A79C5AB" w14:textId="77777777" w:rsidR="00A770D2" w:rsidRPr="00A966B6" w:rsidRDefault="000E06E8" w:rsidP="00A770D2">
            <w:pPr>
              <w:spacing w:after="0" w:line="300" w:lineRule="exact"/>
              <w:jc w:val="center"/>
              <w:rPr>
                <w:rFonts w:cs="Arial"/>
                <w:b/>
                <w:bCs/>
                <w:sz w:val="20"/>
              </w:rPr>
            </w:pPr>
            <w:r w:rsidRPr="00A966B6">
              <w:rPr>
                <w:rFonts w:cs="Arial"/>
                <w:b/>
                <w:bCs/>
                <w:sz w:val="20"/>
              </w:rPr>
              <w:t>0</w:t>
            </w:r>
          </w:p>
        </w:tc>
        <w:tc>
          <w:tcPr>
            <w:tcW w:w="1009" w:type="dxa"/>
            <w:tcBorders>
              <w:top w:val="nil"/>
              <w:left w:val="nil"/>
              <w:bottom w:val="single" w:sz="4" w:space="0" w:color="auto"/>
              <w:right w:val="single" w:sz="4" w:space="0" w:color="auto"/>
            </w:tcBorders>
            <w:shd w:val="clear" w:color="auto" w:fill="auto"/>
            <w:noWrap/>
            <w:vAlign w:val="bottom"/>
          </w:tcPr>
          <w:p w14:paraId="6CA0FF92" w14:textId="77777777" w:rsidR="00A770D2" w:rsidRPr="00A966B6" w:rsidRDefault="00DB24C0" w:rsidP="00A770D2">
            <w:pPr>
              <w:spacing w:after="0" w:line="300" w:lineRule="exact"/>
              <w:jc w:val="center"/>
              <w:rPr>
                <w:rFonts w:cs="Arial"/>
                <w:b/>
                <w:bCs/>
                <w:sz w:val="20"/>
              </w:rPr>
            </w:pPr>
            <w:r w:rsidRPr="00A966B6">
              <w:rPr>
                <w:rFonts w:cs="Arial"/>
                <w:b/>
                <w:bCs/>
                <w:sz w:val="20"/>
              </w:rPr>
              <w:t>0%</w:t>
            </w:r>
          </w:p>
        </w:tc>
        <w:tc>
          <w:tcPr>
            <w:tcW w:w="674" w:type="dxa"/>
            <w:tcBorders>
              <w:top w:val="nil"/>
              <w:left w:val="nil"/>
              <w:bottom w:val="single" w:sz="4" w:space="0" w:color="auto"/>
              <w:right w:val="single" w:sz="4" w:space="0" w:color="auto"/>
            </w:tcBorders>
            <w:shd w:val="clear" w:color="auto" w:fill="auto"/>
            <w:noWrap/>
            <w:vAlign w:val="bottom"/>
          </w:tcPr>
          <w:p w14:paraId="777964B2" w14:textId="77777777" w:rsidR="00A770D2" w:rsidRPr="00A966B6" w:rsidRDefault="000E06E8" w:rsidP="00A770D2">
            <w:pPr>
              <w:spacing w:after="0" w:line="300" w:lineRule="exact"/>
              <w:jc w:val="center"/>
              <w:rPr>
                <w:rFonts w:cs="Arial"/>
                <w:sz w:val="20"/>
              </w:rPr>
            </w:pPr>
            <w:r w:rsidRPr="00A966B6">
              <w:rPr>
                <w:rFonts w:cs="Arial"/>
                <w:sz w:val="20"/>
              </w:rPr>
              <w:t>0</w:t>
            </w:r>
          </w:p>
        </w:tc>
        <w:tc>
          <w:tcPr>
            <w:tcW w:w="1277" w:type="dxa"/>
            <w:tcBorders>
              <w:top w:val="nil"/>
              <w:left w:val="nil"/>
              <w:bottom w:val="single" w:sz="4" w:space="0" w:color="auto"/>
              <w:right w:val="single" w:sz="4" w:space="0" w:color="auto"/>
            </w:tcBorders>
            <w:shd w:val="clear" w:color="auto" w:fill="auto"/>
            <w:noWrap/>
            <w:vAlign w:val="bottom"/>
          </w:tcPr>
          <w:p w14:paraId="0718E6CC" w14:textId="77777777" w:rsidR="00A770D2" w:rsidRPr="00A966B6" w:rsidRDefault="00E56425" w:rsidP="00A770D2">
            <w:pPr>
              <w:spacing w:after="0" w:line="300" w:lineRule="exact"/>
              <w:jc w:val="center"/>
              <w:rPr>
                <w:rFonts w:cs="Arial"/>
                <w:sz w:val="20"/>
              </w:rPr>
            </w:pPr>
            <w:r w:rsidRPr="00A966B6">
              <w:rPr>
                <w:rFonts w:cs="Arial"/>
                <w:sz w:val="20"/>
              </w:rPr>
              <w:t>--</w:t>
            </w:r>
          </w:p>
        </w:tc>
      </w:tr>
    </w:tbl>
    <w:p w14:paraId="72070F18" w14:textId="77777777" w:rsidR="00B840BB" w:rsidRDefault="00B840BB" w:rsidP="00B840BB">
      <w:pPr>
        <w:spacing w:after="0" w:line="300" w:lineRule="exact"/>
        <w:jc w:val="both"/>
        <w:rPr>
          <w:rFonts w:cs="Arial"/>
        </w:rPr>
      </w:pPr>
    </w:p>
    <w:p w14:paraId="0F549A05" w14:textId="77777777" w:rsidR="00CB57EE" w:rsidRPr="00A966B6" w:rsidRDefault="00CB57EE" w:rsidP="00B840BB">
      <w:pPr>
        <w:spacing w:after="0" w:line="300" w:lineRule="exact"/>
        <w:jc w:val="both"/>
        <w:rPr>
          <w:rFonts w:cs="Arial"/>
        </w:rPr>
      </w:pPr>
    </w:p>
    <w:p w14:paraId="13DB1344" w14:textId="77777777" w:rsidR="00514901" w:rsidRPr="00A966B6" w:rsidRDefault="00514901" w:rsidP="00514901">
      <w:pPr>
        <w:spacing w:after="251" w:line="300" w:lineRule="exact"/>
        <w:ind w:left="1560" w:hanging="1560"/>
        <w:jc w:val="both"/>
        <w:rPr>
          <w:rFonts w:cs="Arial"/>
          <w:i/>
          <w:szCs w:val="24"/>
        </w:rPr>
      </w:pPr>
      <w:r w:rsidRPr="00A966B6">
        <w:rPr>
          <w:rFonts w:cs="Arial"/>
          <w:i/>
          <w:szCs w:val="24"/>
        </w:rPr>
        <w:lastRenderedPageBreak/>
        <w:t xml:space="preserve">Tabulka č. 2 – </w:t>
      </w:r>
      <w:r w:rsidRPr="00A966B6">
        <w:rPr>
          <w:rFonts w:cs="Arial"/>
          <w:b/>
          <w:i/>
          <w:szCs w:val="24"/>
        </w:rPr>
        <w:t>Přehled trestně stíhaných osob v roce 201</w:t>
      </w:r>
      <w:r w:rsidR="00A770D2" w:rsidRPr="00A966B6">
        <w:rPr>
          <w:rFonts w:cs="Arial"/>
          <w:b/>
          <w:i/>
          <w:szCs w:val="24"/>
        </w:rPr>
        <w:t>8</w:t>
      </w:r>
      <w:r w:rsidRPr="00A966B6">
        <w:rPr>
          <w:rFonts w:cs="Arial"/>
          <w:i/>
          <w:szCs w:val="24"/>
        </w:rPr>
        <w:t xml:space="preserve"> – rozdělení dle dalších kritérií</w:t>
      </w:r>
    </w:p>
    <w:tbl>
      <w:tblPr>
        <w:tblW w:w="10635" w:type="dxa"/>
        <w:jc w:val="center"/>
        <w:tblCellMar>
          <w:left w:w="70" w:type="dxa"/>
          <w:right w:w="70" w:type="dxa"/>
        </w:tblCellMar>
        <w:tblLook w:val="04A0" w:firstRow="1" w:lastRow="0" w:firstColumn="1" w:lastColumn="0" w:noHBand="0" w:noVBand="1"/>
      </w:tblPr>
      <w:tblGrid>
        <w:gridCol w:w="3690"/>
        <w:gridCol w:w="992"/>
        <w:gridCol w:w="992"/>
        <w:gridCol w:w="993"/>
        <w:gridCol w:w="992"/>
        <w:gridCol w:w="992"/>
        <w:gridCol w:w="992"/>
        <w:gridCol w:w="992"/>
      </w:tblGrid>
      <w:tr w:rsidR="00A966B6" w:rsidRPr="00A966B6" w14:paraId="6FC5F4F8" w14:textId="77777777" w:rsidTr="008E7D5D">
        <w:trPr>
          <w:trHeight w:val="300"/>
          <w:jc w:val="center"/>
        </w:trPr>
        <w:tc>
          <w:tcPr>
            <w:tcW w:w="964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EE1CE" w14:textId="77777777" w:rsidR="008E7D5D" w:rsidRPr="00A966B6" w:rsidRDefault="008E7D5D" w:rsidP="00273168">
            <w:pPr>
              <w:spacing w:after="0" w:line="300" w:lineRule="exact"/>
              <w:jc w:val="center"/>
              <w:rPr>
                <w:rFonts w:cs="Arial"/>
                <w:b/>
                <w:bCs/>
                <w:sz w:val="20"/>
              </w:rPr>
            </w:pPr>
            <w:r w:rsidRPr="00A966B6">
              <w:rPr>
                <w:rFonts w:cs="Arial"/>
                <w:b/>
                <w:bCs/>
                <w:sz w:val="20"/>
              </w:rPr>
              <w:t xml:space="preserve">Trestně stíhané osoby  </w:t>
            </w:r>
          </w:p>
        </w:tc>
        <w:tc>
          <w:tcPr>
            <w:tcW w:w="992" w:type="dxa"/>
            <w:tcBorders>
              <w:top w:val="single" w:sz="4" w:space="0" w:color="auto"/>
              <w:left w:val="single" w:sz="4" w:space="0" w:color="auto"/>
              <w:bottom w:val="single" w:sz="4" w:space="0" w:color="auto"/>
              <w:right w:val="single" w:sz="4" w:space="0" w:color="auto"/>
            </w:tcBorders>
          </w:tcPr>
          <w:p w14:paraId="5CA98E53" w14:textId="77777777" w:rsidR="008E7D5D" w:rsidRPr="00A966B6" w:rsidRDefault="008E7D5D" w:rsidP="00273168">
            <w:pPr>
              <w:spacing w:after="0" w:line="300" w:lineRule="exact"/>
              <w:jc w:val="center"/>
              <w:rPr>
                <w:rFonts w:cs="Arial"/>
                <w:b/>
                <w:bCs/>
                <w:sz w:val="20"/>
              </w:rPr>
            </w:pPr>
          </w:p>
        </w:tc>
      </w:tr>
      <w:tr w:rsidR="00A966B6" w:rsidRPr="00A966B6" w14:paraId="4F2C3604" w14:textId="77777777" w:rsidTr="00916BE7">
        <w:trPr>
          <w:cantSplit/>
          <w:trHeight w:val="1643"/>
          <w:jc w:val="center"/>
        </w:trPr>
        <w:tc>
          <w:tcPr>
            <w:tcW w:w="369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853C0BD" w14:textId="77777777" w:rsidR="008E7D5D" w:rsidRPr="00A966B6" w:rsidRDefault="008E7D5D" w:rsidP="00273168">
            <w:pPr>
              <w:spacing w:after="0" w:line="300" w:lineRule="exact"/>
              <w:rPr>
                <w:rFonts w:cs="Arial"/>
                <w:sz w:val="20"/>
              </w:rPr>
            </w:pPr>
            <w:r w:rsidRPr="00A966B6">
              <w:rPr>
                <w:rFonts w:cs="Arial"/>
                <w:sz w:val="20"/>
              </w:rPr>
              <w:t> </w:t>
            </w:r>
          </w:p>
        </w:tc>
        <w:tc>
          <w:tcPr>
            <w:tcW w:w="992" w:type="dxa"/>
            <w:tcBorders>
              <w:top w:val="double" w:sz="4" w:space="0" w:color="auto"/>
              <w:left w:val="nil"/>
              <w:bottom w:val="single" w:sz="4" w:space="0" w:color="auto"/>
              <w:right w:val="single" w:sz="4" w:space="0" w:color="auto"/>
            </w:tcBorders>
            <w:shd w:val="clear" w:color="auto" w:fill="auto"/>
            <w:noWrap/>
            <w:textDirection w:val="btLr"/>
            <w:vAlign w:val="bottom"/>
            <w:hideMark/>
          </w:tcPr>
          <w:p w14:paraId="6015C2D6" w14:textId="77777777" w:rsidR="008E7D5D" w:rsidRPr="00A966B6" w:rsidRDefault="008E7D5D" w:rsidP="00273168">
            <w:pPr>
              <w:spacing w:after="0" w:line="300" w:lineRule="exact"/>
              <w:ind w:left="113" w:right="113"/>
              <w:jc w:val="center"/>
              <w:rPr>
                <w:rFonts w:cs="Arial"/>
                <w:b/>
                <w:bCs/>
                <w:sz w:val="20"/>
              </w:rPr>
            </w:pPr>
            <w:r w:rsidRPr="00A966B6">
              <w:rPr>
                <w:rFonts w:cs="Arial"/>
                <w:b/>
                <w:bCs/>
                <w:sz w:val="20"/>
              </w:rPr>
              <w:t xml:space="preserve">Příslušník </w:t>
            </w:r>
          </w:p>
          <w:p w14:paraId="3DE08414" w14:textId="77777777" w:rsidR="008E7D5D" w:rsidRPr="00A966B6" w:rsidRDefault="008E7D5D" w:rsidP="00273168">
            <w:pPr>
              <w:spacing w:after="0" w:line="300" w:lineRule="exact"/>
              <w:ind w:left="113" w:right="113"/>
              <w:jc w:val="center"/>
              <w:rPr>
                <w:rFonts w:cs="Arial"/>
                <w:b/>
                <w:bCs/>
                <w:sz w:val="20"/>
              </w:rPr>
            </w:pPr>
            <w:r w:rsidRPr="00A966B6">
              <w:rPr>
                <w:rFonts w:cs="Arial"/>
                <w:b/>
                <w:bCs/>
                <w:sz w:val="20"/>
              </w:rPr>
              <w:t>P ČR</w:t>
            </w:r>
          </w:p>
        </w:tc>
        <w:tc>
          <w:tcPr>
            <w:tcW w:w="992" w:type="dxa"/>
            <w:tcBorders>
              <w:top w:val="double" w:sz="4" w:space="0" w:color="auto"/>
              <w:left w:val="nil"/>
              <w:bottom w:val="single" w:sz="4" w:space="0" w:color="auto"/>
              <w:right w:val="single" w:sz="4" w:space="0" w:color="auto"/>
            </w:tcBorders>
            <w:shd w:val="clear" w:color="auto" w:fill="auto"/>
            <w:noWrap/>
            <w:textDirection w:val="btLr"/>
            <w:vAlign w:val="bottom"/>
            <w:hideMark/>
          </w:tcPr>
          <w:p w14:paraId="6937C22A" w14:textId="77777777" w:rsidR="008E7D5D" w:rsidRPr="00A966B6" w:rsidRDefault="008E7D5D" w:rsidP="00273168">
            <w:pPr>
              <w:spacing w:after="0" w:line="300" w:lineRule="exact"/>
              <w:ind w:left="113" w:right="113"/>
              <w:jc w:val="center"/>
              <w:rPr>
                <w:rFonts w:cs="Arial"/>
                <w:b/>
                <w:bCs/>
                <w:sz w:val="20"/>
              </w:rPr>
            </w:pPr>
            <w:r w:rsidRPr="00A966B6">
              <w:rPr>
                <w:rFonts w:cs="Arial"/>
                <w:b/>
                <w:bCs/>
                <w:sz w:val="20"/>
              </w:rPr>
              <w:t xml:space="preserve">Příslušník </w:t>
            </w:r>
          </w:p>
          <w:p w14:paraId="1B20A95D" w14:textId="77777777" w:rsidR="008E7D5D" w:rsidRPr="00A966B6" w:rsidRDefault="008E7D5D" w:rsidP="00273168">
            <w:pPr>
              <w:spacing w:after="0" w:line="300" w:lineRule="exact"/>
              <w:ind w:left="113" w:right="113"/>
              <w:jc w:val="center"/>
              <w:rPr>
                <w:rFonts w:cs="Arial"/>
                <w:b/>
                <w:bCs/>
                <w:sz w:val="20"/>
              </w:rPr>
            </w:pPr>
            <w:r w:rsidRPr="00A966B6">
              <w:rPr>
                <w:rFonts w:cs="Arial"/>
                <w:b/>
                <w:bCs/>
                <w:sz w:val="20"/>
              </w:rPr>
              <w:t>VS ČR</w:t>
            </w:r>
          </w:p>
        </w:tc>
        <w:tc>
          <w:tcPr>
            <w:tcW w:w="993" w:type="dxa"/>
            <w:tcBorders>
              <w:top w:val="double" w:sz="4" w:space="0" w:color="auto"/>
              <w:left w:val="nil"/>
              <w:bottom w:val="single" w:sz="4" w:space="0" w:color="auto"/>
              <w:right w:val="single" w:sz="4" w:space="0" w:color="auto"/>
            </w:tcBorders>
            <w:shd w:val="clear" w:color="auto" w:fill="auto"/>
            <w:textDirection w:val="btLr"/>
            <w:vAlign w:val="bottom"/>
          </w:tcPr>
          <w:p w14:paraId="4F0E2209" w14:textId="77777777" w:rsidR="008E7D5D" w:rsidRPr="00A966B6" w:rsidRDefault="008E7D5D" w:rsidP="00273168">
            <w:pPr>
              <w:spacing w:after="0" w:line="300" w:lineRule="exact"/>
              <w:ind w:left="113" w:right="113"/>
              <w:jc w:val="center"/>
              <w:rPr>
                <w:rFonts w:cs="Arial"/>
                <w:b/>
                <w:bCs/>
                <w:sz w:val="20"/>
              </w:rPr>
            </w:pPr>
            <w:r w:rsidRPr="00A966B6">
              <w:rPr>
                <w:rFonts w:cs="Arial"/>
                <w:b/>
                <w:bCs/>
                <w:sz w:val="20"/>
              </w:rPr>
              <w:t xml:space="preserve">Příslušník </w:t>
            </w:r>
          </w:p>
          <w:p w14:paraId="6C3C9785" w14:textId="77777777" w:rsidR="008E7D5D" w:rsidRPr="00A966B6" w:rsidRDefault="008E7D5D" w:rsidP="00273168">
            <w:pPr>
              <w:spacing w:after="0" w:line="300" w:lineRule="exact"/>
              <w:ind w:left="113" w:right="113"/>
              <w:jc w:val="center"/>
              <w:rPr>
                <w:rFonts w:cs="Arial"/>
                <w:b/>
                <w:bCs/>
                <w:sz w:val="20"/>
              </w:rPr>
            </w:pPr>
            <w:r w:rsidRPr="00A966B6">
              <w:rPr>
                <w:rFonts w:cs="Arial"/>
                <w:b/>
                <w:bCs/>
                <w:sz w:val="20"/>
              </w:rPr>
              <w:t>CS ČR</w:t>
            </w:r>
          </w:p>
        </w:tc>
        <w:tc>
          <w:tcPr>
            <w:tcW w:w="992" w:type="dxa"/>
            <w:tcBorders>
              <w:top w:val="double" w:sz="4" w:space="0" w:color="auto"/>
              <w:left w:val="nil"/>
              <w:bottom w:val="single" w:sz="4" w:space="0" w:color="auto"/>
              <w:right w:val="single" w:sz="4" w:space="0" w:color="auto"/>
            </w:tcBorders>
            <w:shd w:val="clear" w:color="auto" w:fill="auto"/>
            <w:textDirection w:val="btLr"/>
            <w:vAlign w:val="bottom"/>
          </w:tcPr>
          <w:p w14:paraId="6B8DCADD" w14:textId="77777777" w:rsidR="008E7D5D" w:rsidRPr="00A966B6" w:rsidRDefault="008E7D5D" w:rsidP="00273168">
            <w:pPr>
              <w:spacing w:after="0" w:line="300" w:lineRule="exact"/>
              <w:ind w:left="113" w:right="113"/>
              <w:jc w:val="center"/>
              <w:rPr>
                <w:rFonts w:cs="Arial"/>
                <w:b/>
                <w:bCs/>
                <w:sz w:val="20"/>
              </w:rPr>
            </w:pPr>
            <w:r w:rsidRPr="00A966B6">
              <w:rPr>
                <w:rFonts w:cs="Arial"/>
                <w:b/>
                <w:bCs/>
                <w:sz w:val="20"/>
              </w:rPr>
              <w:t>Zaměstnanec P ČR</w:t>
            </w:r>
          </w:p>
        </w:tc>
        <w:tc>
          <w:tcPr>
            <w:tcW w:w="992" w:type="dxa"/>
            <w:tcBorders>
              <w:top w:val="double" w:sz="4" w:space="0" w:color="auto"/>
              <w:left w:val="nil"/>
              <w:bottom w:val="single" w:sz="4" w:space="0" w:color="auto"/>
              <w:right w:val="single" w:sz="4" w:space="0" w:color="auto"/>
            </w:tcBorders>
            <w:shd w:val="clear" w:color="auto" w:fill="auto"/>
            <w:textDirection w:val="btLr"/>
            <w:vAlign w:val="bottom"/>
          </w:tcPr>
          <w:p w14:paraId="39AC82BC" w14:textId="77777777" w:rsidR="008E7D5D" w:rsidRPr="00A966B6" w:rsidRDefault="008E7D5D" w:rsidP="00273168">
            <w:pPr>
              <w:spacing w:after="0" w:line="300" w:lineRule="exact"/>
              <w:ind w:left="113" w:right="113"/>
              <w:jc w:val="center"/>
              <w:rPr>
                <w:rFonts w:cs="Arial"/>
                <w:b/>
                <w:bCs/>
                <w:sz w:val="20"/>
              </w:rPr>
            </w:pPr>
            <w:r w:rsidRPr="00A966B6">
              <w:rPr>
                <w:rFonts w:cs="Arial"/>
                <w:b/>
                <w:bCs/>
                <w:sz w:val="20"/>
              </w:rPr>
              <w:t>Zaměstnanec VS ČR</w:t>
            </w:r>
          </w:p>
        </w:tc>
        <w:tc>
          <w:tcPr>
            <w:tcW w:w="992" w:type="dxa"/>
            <w:tcBorders>
              <w:top w:val="double" w:sz="4" w:space="0" w:color="auto"/>
              <w:left w:val="nil"/>
              <w:bottom w:val="single" w:sz="4" w:space="0" w:color="auto"/>
              <w:right w:val="single" w:sz="4" w:space="0" w:color="auto"/>
            </w:tcBorders>
            <w:textDirection w:val="btLr"/>
          </w:tcPr>
          <w:p w14:paraId="2A204947" w14:textId="77777777" w:rsidR="008E7D5D" w:rsidRPr="00A966B6" w:rsidRDefault="008E7D5D" w:rsidP="008E7D5D">
            <w:pPr>
              <w:spacing w:after="0" w:line="300" w:lineRule="exact"/>
              <w:ind w:left="113" w:right="113"/>
              <w:jc w:val="center"/>
              <w:rPr>
                <w:rFonts w:cs="Arial"/>
                <w:b/>
                <w:bCs/>
                <w:sz w:val="20"/>
              </w:rPr>
            </w:pPr>
            <w:r w:rsidRPr="00A966B6">
              <w:rPr>
                <w:rFonts w:cs="Arial"/>
                <w:b/>
                <w:bCs/>
                <w:sz w:val="20"/>
              </w:rPr>
              <w:t>Zaměstnanec CS ČR</w:t>
            </w:r>
          </w:p>
        </w:tc>
        <w:tc>
          <w:tcPr>
            <w:tcW w:w="992" w:type="dxa"/>
            <w:tcBorders>
              <w:top w:val="double" w:sz="4" w:space="0" w:color="auto"/>
              <w:left w:val="nil"/>
              <w:bottom w:val="single" w:sz="4" w:space="0" w:color="auto"/>
              <w:right w:val="single" w:sz="4" w:space="0" w:color="auto"/>
            </w:tcBorders>
            <w:textDirection w:val="btLr"/>
          </w:tcPr>
          <w:p w14:paraId="33A8009C" w14:textId="77777777" w:rsidR="008E7D5D" w:rsidRPr="00A966B6" w:rsidRDefault="008E7D5D" w:rsidP="00273168">
            <w:pPr>
              <w:spacing w:after="0" w:line="300" w:lineRule="exact"/>
              <w:ind w:left="113" w:right="113"/>
              <w:jc w:val="center"/>
              <w:rPr>
                <w:rFonts w:cs="Arial"/>
                <w:b/>
                <w:bCs/>
                <w:sz w:val="20"/>
              </w:rPr>
            </w:pPr>
            <w:r w:rsidRPr="00A966B6">
              <w:rPr>
                <w:rFonts w:cs="Arial"/>
                <w:b/>
                <w:bCs/>
                <w:sz w:val="20"/>
              </w:rPr>
              <w:t>Civilní osoba (mimo BS)</w:t>
            </w:r>
          </w:p>
        </w:tc>
      </w:tr>
      <w:tr w:rsidR="00A966B6" w:rsidRPr="00A966B6" w14:paraId="3DE68245" w14:textId="77777777" w:rsidTr="00916BE7">
        <w:trPr>
          <w:trHeight w:val="300"/>
          <w:jc w:val="center"/>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10D05" w14:textId="77777777" w:rsidR="008E7D5D" w:rsidRPr="00A966B6" w:rsidRDefault="008E7D5D" w:rsidP="00273168">
            <w:pPr>
              <w:spacing w:after="0" w:line="300" w:lineRule="exact"/>
              <w:rPr>
                <w:rFonts w:cs="Arial"/>
                <w:b/>
                <w:bCs/>
                <w:sz w:val="20"/>
              </w:rPr>
            </w:pPr>
            <w:r w:rsidRPr="00A966B6">
              <w:rPr>
                <w:rFonts w:cs="Arial"/>
                <w:b/>
                <w:bCs/>
                <w:sz w:val="20"/>
              </w:rPr>
              <w:t xml:space="preserve">Celkem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FD634B" w14:textId="77777777" w:rsidR="008E7D5D" w:rsidRPr="00A966B6" w:rsidRDefault="008E7D5D" w:rsidP="00273168">
            <w:pPr>
              <w:spacing w:after="0" w:line="300" w:lineRule="exact"/>
              <w:jc w:val="center"/>
              <w:rPr>
                <w:rFonts w:cs="Arial"/>
                <w:b/>
                <w:bCs/>
                <w:sz w:val="20"/>
              </w:rPr>
            </w:pPr>
            <w:r w:rsidRPr="00A966B6">
              <w:rPr>
                <w:rFonts w:cs="Arial"/>
                <w:b/>
                <w:bCs/>
                <w:sz w:val="20"/>
              </w:rPr>
              <w:t>116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7D6EC12" w14:textId="77777777" w:rsidR="008E7D5D" w:rsidRPr="00A966B6" w:rsidRDefault="008E7D5D" w:rsidP="008E7D5D">
            <w:pPr>
              <w:spacing w:after="0" w:line="300" w:lineRule="exact"/>
              <w:jc w:val="center"/>
              <w:rPr>
                <w:rFonts w:cs="Arial"/>
                <w:b/>
                <w:bCs/>
                <w:sz w:val="20"/>
              </w:rPr>
            </w:pPr>
            <w:r w:rsidRPr="00A966B6">
              <w:rPr>
                <w:rFonts w:cs="Arial"/>
                <w:b/>
                <w:bCs/>
                <w:sz w:val="20"/>
              </w:rPr>
              <w:t>16</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B2B2E60" w14:textId="77777777" w:rsidR="008E7D5D" w:rsidRPr="00A966B6" w:rsidRDefault="008E7D5D" w:rsidP="00273168">
            <w:pPr>
              <w:spacing w:after="0" w:line="300" w:lineRule="exact"/>
              <w:jc w:val="center"/>
              <w:rPr>
                <w:rFonts w:cs="Arial"/>
                <w:b/>
                <w:sz w:val="20"/>
              </w:rPr>
            </w:pPr>
            <w:r w:rsidRPr="00A966B6">
              <w:rPr>
                <w:rFonts w:cs="Arial"/>
                <w:b/>
                <w:sz w:val="20"/>
              </w:rPr>
              <w:t>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29F0FCA" w14:textId="77777777" w:rsidR="008E7D5D" w:rsidRPr="00A966B6" w:rsidRDefault="008E7D5D" w:rsidP="00273168">
            <w:pPr>
              <w:spacing w:after="0" w:line="300" w:lineRule="exact"/>
              <w:jc w:val="center"/>
              <w:rPr>
                <w:rFonts w:cs="Arial"/>
                <w:b/>
                <w:sz w:val="20"/>
              </w:rPr>
            </w:pPr>
            <w:r w:rsidRPr="00A966B6">
              <w:rPr>
                <w:rFonts w:cs="Arial"/>
                <w:b/>
                <w:sz w:val="20"/>
              </w:rPr>
              <w:t>7</w:t>
            </w:r>
          </w:p>
        </w:tc>
        <w:tc>
          <w:tcPr>
            <w:tcW w:w="992" w:type="dxa"/>
            <w:tcBorders>
              <w:top w:val="single" w:sz="4" w:space="0" w:color="auto"/>
              <w:left w:val="nil"/>
              <w:bottom w:val="single" w:sz="4" w:space="0" w:color="auto"/>
              <w:right w:val="single" w:sz="4" w:space="0" w:color="auto"/>
            </w:tcBorders>
          </w:tcPr>
          <w:p w14:paraId="4B2D75F9" w14:textId="77777777" w:rsidR="008E7D5D" w:rsidRPr="00A966B6" w:rsidRDefault="008E7D5D" w:rsidP="00273168">
            <w:pPr>
              <w:spacing w:after="0" w:line="300" w:lineRule="exact"/>
              <w:jc w:val="center"/>
              <w:rPr>
                <w:rFonts w:cs="Arial"/>
                <w:b/>
                <w:sz w:val="20"/>
              </w:rPr>
            </w:pPr>
            <w:r w:rsidRPr="00A966B6">
              <w:rPr>
                <w:rFonts w:cs="Arial"/>
                <w:b/>
                <w:sz w:val="20"/>
              </w:rPr>
              <w:t>7</w:t>
            </w:r>
          </w:p>
        </w:tc>
        <w:tc>
          <w:tcPr>
            <w:tcW w:w="992" w:type="dxa"/>
            <w:tcBorders>
              <w:top w:val="single" w:sz="4" w:space="0" w:color="auto"/>
              <w:left w:val="nil"/>
              <w:bottom w:val="single" w:sz="4" w:space="0" w:color="auto"/>
              <w:right w:val="single" w:sz="4" w:space="0" w:color="auto"/>
            </w:tcBorders>
          </w:tcPr>
          <w:p w14:paraId="2A13B723" w14:textId="77777777" w:rsidR="008E7D5D" w:rsidRPr="00A966B6" w:rsidRDefault="008E7D5D" w:rsidP="00273168">
            <w:pPr>
              <w:spacing w:after="0" w:line="300" w:lineRule="exact"/>
              <w:jc w:val="center"/>
              <w:rPr>
                <w:rFonts w:cs="Arial"/>
                <w:b/>
                <w:sz w:val="20"/>
              </w:rPr>
            </w:pPr>
            <w:r w:rsidRPr="00A966B6">
              <w:rPr>
                <w:rFonts w:cs="Arial"/>
                <w:b/>
                <w:sz w:val="20"/>
              </w:rPr>
              <w:t>1</w:t>
            </w:r>
          </w:p>
        </w:tc>
        <w:tc>
          <w:tcPr>
            <w:tcW w:w="992" w:type="dxa"/>
            <w:tcBorders>
              <w:top w:val="single" w:sz="4" w:space="0" w:color="auto"/>
              <w:left w:val="nil"/>
              <w:bottom w:val="single" w:sz="4" w:space="0" w:color="auto"/>
              <w:right w:val="single" w:sz="4" w:space="0" w:color="auto"/>
            </w:tcBorders>
          </w:tcPr>
          <w:p w14:paraId="51657FD9" w14:textId="77777777" w:rsidR="008E7D5D" w:rsidRPr="00A966B6" w:rsidRDefault="008E7D5D" w:rsidP="00273168">
            <w:pPr>
              <w:spacing w:after="0" w:line="300" w:lineRule="exact"/>
              <w:jc w:val="center"/>
              <w:rPr>
                <w:rFonts w:cs="Arial"/>
                <w:b/>
                <w:sz w:val="20"/>
              </w:rPr>
            </w:pPr>
            <w:r w:rsidRPr="00A966B6">
              <w:rPr>
                <w:rFonts w:cs="Arial"/>
                <w:b/>
                <w:sz w:val="20"/>
              </w:rPr>
              <w:t>37</w:t>
            </w:r>
          </w:p>
        </w:tc>
      </w:tr>
      <w:tr w:rsidR="00A966B6" w:rsidRPr="00A966B6" w14:paraId="02EC2978" w14:textId="77777777" w:rsidTr="00916BE7">
        <w:trPr>
          <w:trHeight w:val="227"/>
          <w:jc w:val="center"/>
        </w:trPr>
        <w:tc>
          <w:tcPr>
            <w:tcW w:w="3690" w:type="dxa"/>
            <w:tcBorders>
              <w:top w:val="single" w:sz="4" w:space="0" w:color="auto"/>
              <w:left w:val="nil"/>
              <w:bottom w:val="single" w:sz="4" w:space="0" w:color="auto"/>
              <w:right w:val="nil"/>
            </w:tcBorders>
            <w:shd w:val="clear" w:color="auto" w:fill="auto"/>
            <w:noWrap/>
            <w:vAlign w:val="bottom"/>
            <w:hideMark/>
          </w:tcPr>
          <w:p w14:paraId="4F20741F" w14:textId="77777777" w:rsidR="008E7D5D" w:rsidRPr="00A966B6" w:rsidRDefault="008E7D5D" w:rsidP="00273168">
            <w:pPr>
              <w:spacing w:after="0" w:line="300" w:lineRule="exact"/>
              <w:rPr>
                <w:rFonts w:cs="Arial"/>
                <w:sz w:val="20"/>
              </w:rPr>
            </w:pPr>
            <w:r w:rsidRPr="00A966B6">
              <w:rPr>
                <w:rFonts w:cs="Arial"/>
                <w:sz w:val="20"/>
              </w:rPr>
              <w:t> Z toho:</w:t>
            </w:r>
          </w:p>
        </w:tc>
        <w:tc>
          <w:tcPr>
            <w:tcW w:w="992" w:type="dxa"/>
            <w:tcBorders>
              <w:top w:val="single" w:sz="4" w:space="0" w:color="auto"/>
              <w:left w:val="nil"/>
              <w:right w:val="nil"/>
            </w:tcBorders>
            <w:shd w:val="clear" w:color="auto" w:fill="auto"/>
            <w:noWrap/>
            <w:vAlign w:val="bottom"/>
            <w:hideMark/>
          </w:tcPr>
          <w:p w14:paraId="2B13A80C" w14:textId="77777777" w:rsidR="008E7D5D" w:rsidRPr="00A966B6" w:rsidRDefault="008E7D5D" w:rsidP="00273168">
            <w:pPr>
              <w:spacing w:after="0" w:line="300" w:lineRule="exact"/>
              <w:jc w:val="center"/>
              <w:rPr>
                <w:rFonts w:cs="Arial"/>
                <w:b/>
                <w:bCs/>
                <w:sz w:val="20"/>
              </w:rPr>
            </w:pPr>
            <w:r w:rsidRPr="00A966B6">
              <w:rPr>
                <w:rFonts w:cs="Arial"/>
                <w:b/>
                <w:bCs/>
                <w:sz w:val="20"/>
              </w:rPr>
              <w:t> </w:t>
            </w:r>
          </w:p>
        </w:tc>
        <w:tc>
          <w:tcPr>
            <w:tcW w:w="992" w:type="dxa"/>
            <w:tcBorders>
              <w:top w:val="single" w:sz="4" w:space="0" w:color="auto"/>
              <w:left w:val="nil"/>
              <w:right w:val="nil"/>
            </w:tcBorders>
            <w:shd w:val="clear" w:color="auto" w:fill="auto"/>
            <w:noWrap/>
            <w:vAlign w:val="bottom"/>
            <w:hideMark/>
          </w:tcPr>
          <w:p w14:paraId="2C22A595" w14:textId="77777777" w:rsidR="008E7D5D" w:rsidRPr="00A966B6" w:rsidRDefault="008E7D5D" w:rsidP="00273168">
            <w:pPr>
              <w:spacing w:after="0" w:line="300" w:lineRule="exact"/>
              <w:jc w:val="center"/>
              <w:rPr>
                <w:rFonts w:cs="Arial"/>
                <w:b/>
                <w:bCs/>
                <w:sz w:val="20"/>
              </w:rPr>
            </w:pPr>
            <w:r w:rsidRPr="00A966B6">
              <w:rPr>
                <w:rFonts w:cs="Arial"/>
                <w:b/>
                <w:bCs/>
                <w:sz w:val="20"/>
              </w:rPr>
              <w:t> </w:t>
            </w:r>
          </w:p>
        </w:tc>
        <w:tc>
          <w:tcPr>
            <w:tcW w:w="993" w:type="dxa"/>
            <w:tcBorders>
              <w:top w:val="single" w:sz="4" w:space="0" w:color="auto"/>
              <w:left w:val="nil"/>
              <w:right w:val="nil"/>
            </w:tcBorders>
            <w:shd w:val="clear" w:color="auto" w:fill="auto"/>
            <w:noWrap/>
            <w:vAlign w:val="bottom"/>
          </w:tcPr>
          <w:p w14:paraId="48371B12" w14:textId="77777777" w:rsidR="008E7D5D" w:rsidRPr="00A966B6" w:rsidRDefault="008E7D5D" w:rsidP="00273168">
            <w:pPr>
              <w:spacing w:after="0" w:line="300" w:lineRule="exact"/>
              <w:jc w:val="center"/>
              <w:rPr>
                <w:rFonts w:cs="Arial"/>
                <w:sz w:val="20"/>
              </w:rPr>
            </w:pPr>
          </w:p>
        </w:tc>
        <w:tc>
          <w:tcPr>
            <w:tcW w:w="992" w:type="dxa"/>
            <w:tcBorders>
              <w:top w:val="single" w:sz="4" w:space="0" w:color="auto"/>
              <w:left w:val="nil"/>
              <w:right w:val="nil"/>
            </w:tcBorders>
            <w:shd w:val="clear" w:color="auto" w:fill="auto"/>
            <w:noWrap/>
            <w:vAlign w:val="bottom"/>
          </w:tcPr>
          <w:p w14:paraId="0516687F" w14:textId="77777777" w:rsidR="008E7D5D" w:rsidRPr="00A966B6" w:rsidRDefault="008E7D5D" w:rsidP="00273168">
            <w:pPr>
              <w:spacing w:after="0" w:line="300" w:lineRule="exact"/>
              <w:jc w:val="center"/>
              <w:rPr>
                <w:rFonts w:cs="Arial"/>
                <w:sz w:val="20"/>
              </w:rPr>
            </w:pPr>
          </w:p>
        </w:tc>
        <w:tc>
          <w:tcPr>
            <w:tcW w:w="992" w:type="dxa"/>
            <w:tcBorders>
              <w:top w:val="single" w:sz="4" w:space="0" w:color="auto"/>
              <w:left w:val="nil"/>
              <w:right w:val="nil"/>
            </w:tcBorders>
          </w:tcPr>
          <w:p w14:paraId="47B37347" w14:textId="77777777" w:rsidR="008E7D5D" w:rsidRPr="00A966B6" w:rsidRDefault="008E7D5D" w:rsidP="00273168">
            <w:pPr>
              <w:spacing w:after="0" w:line="300" w:lineRule="exact"/>
              <w:jc w:val="center"/>
              <w:rPr>
                <w:rFonts w:cs="Arial"/>
                <w:sz w:val="20"/>
              </w:rPr>
            </w:pPr>
          </w:p>
        </w:tc>
        <w:tc>
          <w:tcPr>
            <w:tcW w:w="992" w:type="dxa"/>
            <w:tcBorders>
              <w:top w:val="single" w:sz="4" w:space="0" w:color="auto"/>
              <w:left w:val="nil"/>
              <w:right w:val="nil"/>
            </w:tcBorders>
          </w:tcPr>
          <w:p w14:paraId="4A5A4BE6" w14:textId="77777777" w:rsidR="008E7D5D" w:rsidRPr="00A966B6" w:rsidRDefault="008E7D5D" w:rsidP="00273168">
            <w:pPr>
              <w:spacing w:after="0" w:line="300" w:lineRule="exact"/>
              <w:jc w:val="center"/>
              <w:rPr>
                <w:rFonts w:cs="Arial"/>
                <w:sz w:val="20"/>
              </w:rPr>
            </w:pPr>
          </w:p>
        </w:tc>
        <w:tc>
          <w:tcPr>
            <w:tcW w:w="992" w:type="dxa"/>
            <w:tcBorders>
              <w:top w:val="single" w:sz="4" w:space="0" w:color="auto"/>
              <w:left w:val="nil"/>
              <w:right w:val="nil"/>
            </w:tcBorders>
          </w:tcPr>
          <w:p w14:paraId="051E9FFC" w14:textId="77777777" w:rsidR="008E7D5D" w:rsidRPr="00A966B6" w:rsidRDefault="008E7D5D" w:rsidP="00273168">
            <w:pPr>
              <w:spacing w:after="0" w:line="300" w:lineRule="exact"/>
              <w:jc w:val="center"/>
              <w:rPr>
                <w:rFonts w:cs="Arial"/>
                <w:sz w:val="20"/>
              </w:rPr>
            </w:pPr>
          </w:p>
        </w:tc>
      </w:tr>
      <w:tr w:rsidR="00A966B6" w:rsidRPr="00A966B6" w14:paraId="2CE0A359" w14:textId="77777777" w:rsidTr="002565C6">
        <w:trPr>
          <w:trHeight w:val="300"/>
          <w:jc w:val="center"/>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F866F" w14:textId="77777777" w:rsidR="008E7D5D" w:rsidRPr="00A966B6" w:rsidRDefault="008E7D5D" w:rsidP="00273168">
            <w:pPr>
              <w:spacing w:after="0" w:line="300" w:lineRule="exact"/>
              <w:rPr>
                <w:rFonts w:cs="Arial"/>
                <w:b/>
                <w:bCs/>
                <w:sz w:val="20"/>
              </w:rPr>
            </w:pPr>
            <w:r w:rsidRPr="00A966B6">
              <w:rPr>
                <w:rFonts w:cs="Arial"/>
                <w:b/>
                <w:bCs/>
                <w:sz w:val="20"/>
              </w:rPr>
              <w:t>Podle zavinění</w:t>
            </w:r>
          </w:p>
        </w:tc>
        <w:tc>
          <w:tcPr>
            <w:tcW w:w="5953" w:type="dxa"/>
            <w:gridSpan w:val="6"/>
            <w:tcBorders>
              <w:top w:val="nil"/>
              <w:left w:val="single" w:sz="4" w:space="0" w:color="auto"/>
              <w:bottom w:val="single" w:sz="4" w:space="0" w:color="auto"/>
            </w:tcBorders>
            <w:shd w:val="clear" w:color="auto" w:fill="auto"/>
            <w:noWrap/>
            <w:vAlign w:val="bottom"/>
          </w:tcPr>
          <w:p w14:paraId="3DD51FC0" w14:textId="77777777" w:rsidR="008E7D5D" w:rsidRPr="00A966B6" w:rsidRDefault="008E7D5D" w:rsidP="00273168">
            <w:pPr>
              <w:spacing w:after="0" w:line="300" w:lineRule="exact"/>
              <w:jc w:val="center"/>
              <w:rPr>
                <w:rFonts w:cs="Arial"/>
                <w:sz w:val="20"/>
              </w:rPr>
            </w:pPr>
          </w:p>
        </w:tc>
        <w:tc>
          <w:tcPr>
            <w:tcW w:w="992" w:type="dxa"/>
            <w:tcBorders>
              <w:top w:val="nil"/>
              <w:bottom w:val="single" w:sz="4" w:space="0" w:color="auto"/>
            </w:tcBorders>
          </w:tcPr>
          <w:p w14:paraId="342FE7E9" w14:textId="77777777" w:rsidR="008E7D5D" w:rsidRPr="00A966B6" w:rsidRDefault="008E7D5D" w:rsidP="008E7D5D">
            <w:pPr>
              <w:spacing w:after="0" w:line="300" w:lineRule="exact"/>
              <w:rPr>
                <w:rFonts w:cs="Arial"/>
                <w:sz w:val="20"/>
              </w:rPr>
            </w:pPr>
          </w:p>
        </w:tc>
      </w:tr>
      <w:tr w:rsidR="00A966B6" w:rsidRPr="00A966B6" w14:paraId="12423F49" w14:textId="77777777" w:rsidTr="002565C6">
        <w:trPr>
          <w:trHeight w:val="300"/>
          <w:jc w:val="center"/>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40E74EAB" w14:textId="1E1C786A" w:rsidR="008E7D5D" w:rsidRPr="00A966B6" w:rsidRDefault="00F2481F" w:rsidP="00273168">
            <w:pPr>
              <w:spacing w:after="0" w:line="300" w:lineRule="exact"/>
              <w:rPr>
                <w:rFonts w:cs="Arial"/>
                <w:sz w:val="20"/>
              </w:rPr>
            </w:pPr>
            <w:r w:rsidRPr="00A966B6">
              <w:rPr>
                <w:rFonts w:cs="Arial"/>
                <w:sz w:val="20"/>
              </w:rPr>
              <w:t>Ú</w:t>
            </w:r>
            <w:r w:rsidR="008E7D5D" w:rsidRPr="00A966B6">
              <w:rPr>
                <w:rFonts w:cs="Arial"/>
                <w:sz w:val="20"/>
              </w:rPr>
              <w:t>mysl</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4C1DEF3" w14:textId="77777777" w:rsidR="008E7D5D" w:rsidRPr="00A966B6" w:rsidRDefault="002A6D77" w:rsidP="00273168">
            <w:pPr>
              <w:spacing w:after="0" w:line="300" w:lineRule="exact"/>
              <w:jc w:val="center"/>
              <w:rPr>
                <w:rFonts w:cs="Arial"/>
                <w:bCs/>
                <w:sz w:val="20"/>
              </w:rPr>
            </w:pPr>
            <w:r w:rsidRPr="00A966B6">
              <w:rPr>
                <w:rFonts w:cs="Arial"/>
                <w:bCs/>
                <w:sz w:val="20"/>
              </w:rPr>
              <w:t>89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C92C82D" w14:textId="77777777" w:rsidR="008E7D5D" w:rsidRPr="00A966B6" w:rsidRDefault="002A6D77" w:rsidP="00273168">
            <w:pPr>
              <w:spacing w:after="0" w:line="300" w:lineRule="exact"/>
              <w:jc w:val="center"/>
              <w:rPr>
                <w:rFonts w:cs="Arial"/>
                <w:bCs/>
                <w:sz w:val="20"/>
              </w:rPr>
            </w:pPr>
            <w:r w:rsidRPr="00A966B6">
              <w:rPr>
                <w:rFonts w:cs="Arial"/>
                <w:bCs/>
                <w:sz w:val="20"/>
              </w:rPr>
              <w:t>14</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6162D28" w14:textId="77777777" w:rsidR="008E7D5D" w:rsidRPr="00A966B6" w:rsidRDefault="002A6D77" w:rsidP="00273168">
            <w:pPr>
              <w:spacing w:after="0" w:line="300" w:lineRule="exact"/>
              <w:jc w:val="center"/>
              <w:rPr>
                <w:rFonts w:cs="Arial"/>
                <w:sz w:val="20"/>
              </w:rPr>
            </w:pPr>
            <w:r w:rsidRPr="00A966B6">
              <w:rPr>
                <w:rFonts w:cs="Arial"/>
                <w:sz w:val="20"/>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BCF23F5" w14:textId="77777777" w:rsidR="008E7D5D" w:rsidRPr="00A966B6" w:rsidRDefault="002A6D77" w:rsidP="00273168">
            <w:pPr>
              <w:spacing w:after="0" w:line="300" w:lineRule="exact"/>
              <w:jc w:val="center"/>
              <w:rPr>
                <w:rFonts w:cs="Arial"/>
                <w:sz w:val="20"/>
              </w:rPr>
            </w:pPr>
            <w:r w:rsidRPr="00A966B6">
              <w:rPr>
                <w:rFonts w:cs="Arial"/>
                <w:sz w:val="20"/>
              </w:rPr>
              <w:t>6</w:t>
            </w:r>
          </w:p>
        </w:tc>
        <w:tc>
          <w:tcPr>
            <w:tcW w:w="992" w:type="dxa"/>
            <w:tcBorders>
              <w:top w:val="single" w:sz="4" w:space="0" w:color="auto"/>
              <w:left w:val="nil"/>
              <w:bottom w:val="single" w:sz="4" w:space="0" w:color="auto"/>
              <w:right w:val="single" w:sz="4" w:space="0" w:color="auto"/>
            </w:tcBorders>
          </w:tcPr>
          <w:p w14:paraId="34A35255" w14:textId="77777777" w:rsidR="008E7D5D" w:rsidRPr="00A966B6" w:rsidRDefault="002A6D77" w:rsidP="00273168">
            <w:pPr>
              <w:spacing w:after="0" w:line="300" w:lineRule="exact"/>
              <w:jc w:val="center"/>
              <w:rPr>
                <w:rFonts w:cs="Arial"/>
                <w:sz w:val="20"/>
              </w:rPr>
            </w:pPr>
            <w:r w:rsidRPr="00A966B6">
              <w:rPr>
                <w:rFonts w:cs="Arial"/>
                <w:sz w:val="20"/>
              </w:rPr>
              <w:t>7</w:t>
            </w:r>
          </w:p>
        </w:tc>
        <w:tc>
          <w:tcPr>
            <w:tcW w:w="992" w:type="dxa"/>
            <w:tcBorders>
              <w:top w:val="single" w:sz="4" w:space="0" w:color="auto"/>
              <w:left w:val="nil"/>
              <w:bottom w:val="single" w:sz="4" w:space="0" w:color="auto"/>
              <w:right w:val="single" w:sz="4" w:space="0" w:color="auto"/>
            </w:tcBorders>
          </w:tcPr>
          <w:p w14:paraId="789A6908" w14:textId="77777777" w:rsidR="008E7D5D" w:rsidRPr="00A966B6" w:rsidRDefault="002A6D77" w:rsidP="00273168">
            <w:pPr>
              <w:spacing w:after="0" w:line="300" w:lineRule="exact"/>
              <w:jc w:val="center"/>
              <w:rPr>
                <w:rFonts w:cs="Arial"/>
                <w:sz w:val="20"/>
              </w:rPr>
            </w:pPr>
            <w:r w:rsidRPr="00A966B6">
              <w:rPr>
                <w:rFonts w:cs="Arial"/>
                <w:sz w:val="20"/>
              </w:rPr>
              <w:t>1</w:t>
            </w:r>
          </w:p>
        </w:tc>
        <w:tc>
          <w:tcPr>
            <w:tcW w:w="992" w:type="dxa"/>
            <w:tcBorders>
              <w:top w:val="single" w:sz="4" w:space="0" w:color="auto"/>
              <w:left w:val="nil"/>
              <w:bottom w:val="single" w:sz="4" w:space="0" w:color="auto"/>
              <w:right w:val="single" w:sz="4" w:space="0" w:color="auto"/>
            </w:tcBorders>
          </w:tcPr>
          <w:p w14:paraId="56BC5629" w14:textId="77777777" w:rsidR="008E7D5D" w:rsidRPr="00A966B6" w:rsidRDefault="002A6D77" w:rsidP="00273168">
            <w:pPr>
              <w:spacing w:after="0" w:line="300" w:lineRule="exact"/>
              <w:jc w:val="center"/>
              <w:rPr>
                <w:rFonts w:cs="Arial"/>
                <w:sz w:val="20"/>
              </w:rPr>
            </w:pPr>
            <w:r w:rsidRPr="00A966B6">
              <w:rPr>
                <w:rFonts w:cs="Arial"/>
                <w:sz w:val="20"/>
              </w:rPr>
              <w:t>37</w:t>
            </w:r>
          </w:p>
        </w:tc>
      </w:tr>
      <w:tr w:rsidR="00A966B6" w:rsidRPr="00A966B6" w14:paraId="34D08461" w14:textId="77777777" w:rsidTr="008E7D5D">
        <w:trPr>
          <w:trHeight w:val="300"/>
          <w:jc w:val="center"/>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2828593" w14:textId="6584F89F" w:rsidR="008E7D5D" w:rsidRPr="00A966B6" w:rsidRDefault="00F2481F" w:rsidP="00273168">
            <w:pPr>
              <w:spacing w:after="0" w:line="300" w:lineRule="exact"/>
              <w:rPr>
                <w:rFonts w:cs="Arial"/>
                <w:sz w:val="20"/>
              </w:rPr>
            </w:pPr>
            <w:r w:rsidRPr="00A966B6">
              <w:rPr>
                <w:rFonts w:cs="Arial"/>
                <w:sz w:val="20"/>
              </w:rPr>
              <w:t>N</w:t>
            </w:r>
            <w:r w:rsidR="008E7D5D" w:rsidRPr="00A966B6">
              <w:rPr>
                <w:rFonts w:cs="Arial"/>
                <w:sz w:val="20"/>
              </w:rPr>
              <w:t>edbalost</w:t>
            </w:r>
          </w:p>
        </w:tc>
        <w:tc>
          <w:tcPr>
            <w:tcW w:w="992" w:type="dxa"/>
            <w:tcBorders>
              <w:top w:val="nil"/>
              <w:left w:val="nil"/>
              <w:bottom w:val="single" w:sz="4" w:space="0" w:color="auto"/>
              <w:right w:val="single" w:sz="4" w:space="0" w:color="auto"/>
            </w:tcBorders>
            <w:shd w:val="clear" w:color="auto" w:fill="auto"/>
            <w:noWrap/>
            <w:vAlign w:val="bottom"/>
          </w:tcPr>
          <w:p w14:paraId="344B18C4" w14:textId="77777777" w:rsidR="008E7D5D" w:rsidRPr="00A966B6" w:rsidRDefault="002A6D77" w:rsidP="00273168">
            <w:pPr>
              <w:spacing w:after="0" w:line="300" w:lineRule="exact"/>
              <w:jc w:val="center"/>
              <w:rPr>
                <w:rFonts w:cs="Arial"/>
                <w:bCs/>
                <w:sz w:val="20"/>
              </w:rPr>
            </w:pPr>
            <w:r w:rsidRPr="00A966B6">
              <w:rPr>
                <w:rFonts w:cs="Arial"/>
                <w:bCs/>
                <w:sz w:val="20"/>
              </w:rPr>
              <w:t>27</w:t>
            </w:r>
          </w:p>
        </w:tc>
        <w:tc>
          <w:tcPr>
            <w:tcW w:w="992" w:type="dxa"/>
            <w:tcBorders>
              <w:top w:val="nil"/>
              <w:left w:val="nil"/>
              <w:bottom w:val="single" w:sz="4" w:space="0" w:color="auto"/>
              <w:right w:val="single" w:sz="4" w:space="0" w:color="auto"/>
            </w:tcBorders>
            <w:shd w:val="clear" w:color="auto" w:fill="auto"/>
            <w:noWrap/>
            <w:vAlign w:val="bottom"/>
          </w:tcPr>
          <w:p w14:paraId="4001F22B" w14:textId="77777777" w:rsidR="008E7D5D" w:rsidRPr="00A966B6" w:rsidRDefault="002A6D77" w:rsidP="00273168">
            <w:pPr>
              <w:spacing w:after="0" w:line="300" w:lineRule="exact"/>
              <w:jc w:val="center"/>
              <w:rPr>
                <w:rFonts w:cs="Arial"/>
                <w:bCs/>
                <w:sz w:val="20"/>
              </w:rPr>
            </w:pPr>
            <w:r w:rsidRPr="00A966B6">
              <w:rPr>
                <w:rFonts w:cs="Arial"/>
                <w:bCs/>
                <w:sz w:val="20"/>
              </w:rPr>
              <w:t>2</w:t>
            </w:r>
          </w:p>
        </w:tc>
        <w:tc>
          <w:tcPr>
            <w:tcW w:w="993" w:type="dxa"/>
            <w:tcBorders>
              <w:top w:val="nil"/>
              <w:left w:val="nil"/>
              <w:bottom w:val="single" w:sz="4" w:space="0" w:color="auto"/>
              <w:right w:val="single" w:sz="4" w:space="0" w:color="auto"/>
            </w:tcBorders>
            <w:shd w:val="clear" w:color="auto" w:fill="auto"/>
            <w:noWrap/>
            <w:vAlign w:val="bottom"/>
          </w:tcPr>
          <w:p w14:paraId="25B422BB" w14:textId="77777777" w:rsidR="008E7D5D" w:rsidRPr="00A966B6" w:rsidRDefault="002A6D77" w:rsidP="00273168">
            <w:pPr>
              <w:spacing w:after="0" w:line="300" w:lineRule="exact"/>
              <w:jc w:val="center"/>
              <w:rPr>
                <w:rFonts w:cs="Arial"/>
                <w:sz w:val="20"/>
              </w:rPr>
            </w:pPr>
            <w:r w:rsidRPr="00A966B6">
              <w:rPr>
                <w:rFonts w:cs="Arial"/>
                <w:sz w:val="20"/>
              </w:rPr>
              <w:t>1</w:t>
            </w:r>
          </w:p>
        </w:tc>
        <w:tc>
          <w:tcPr>
            <w:tcW w:w="992" w:type="dxa"/>
            <w:tcBorders>
              <w:top w:val="nil"/>
              <w:left w:val="nil"/>
              <w:bottom w:val="single" w:sz="4" w:space="0" w:color="auto"/>
              <w:right w:val="single" w:sz="4" w:space="0" w:color="auto"/>
            </w:tcBorders>
            <w:shd w:val="clear" w:color="auto" w:fill="auto"/>
            <w:noWrap/>
            <w:vAlign w:val="bottom"/>
          </w:tcPr>
          <w:p w14:paraId="0AA521E0" w14:textId="77777777" w:rsidR="008E7D5D" w:rsidRPr="00A966B6" w:rsidRDefault="002A6D77" w:rsidP="00273168">
            <w:pPr>
              <w:spacing w:after="0" w:line="300" w:lineRule="exact"/>
              <w:jc w:val="center"/>
              <w:rPr>
                <w:rFonts w:cs="Arial"/>
                <w:sz w:val="20"/>
              </w:rPr>
            </w:pPr>
            <w:r w:rsidRPr="00A966B6">
              <w:rPr>
                <w:rFonts w:cs="Arial"/>
                <w:sz w:val="20"/>
              </w:rPr>
              <w:t>1</w:t>
            </w:r>
          </w:p>
        </w:tc>
        <w:tc>
          <w:tcPr>
            <w:tcW w:w="992" w:type="dxa"/>
            <w:tcBorders>
              <w:top w:val="nil"/>
              <w:left w:val="nil"/>
              <w:bottom w:val="single" w:sz="4" w:space="0" w:color="auto"/>
              <w:right w:val="single" w:sz="4" w:space="0" w:color="auto"/>
            </w:tcBorders>
          </w:tcPr>
          <w:p w14:paraId="7C113BDA" w14:textId="77777777" w:rsidR="008E7D5D" w:rsidRPr="00A966B6" w:rsidRDefault="002A6D77" w:rsidP="00273168">
            <w:pPr>
              <w:spacing w:after="0" w:line="300" w:lineRule="exact"/>
              <w:jc w:val="center"/>
              <w:rPr>
                <w:rFonts w:cs="Arial"/>
                <w:sz w:val="20"/>
              </w:rPr>
            </w:pPr>
            <w:r w:rsidRPr="00A966B6">
              <w:rPr>
                <w:rFonts w:cs="Arial"/>
                <w:sz w:val="20"/>
              </w:rPr>
              <w:t>0</w:t>
            </w:r>
          </w:p>
        </w:tc>
        <w:tc>
          <w:tcPr>
            <w:tcW w:w="992" w:type="dxa"/>
            <w:tcBorders>
              <w:top w:val="nil"/>
              <w:left w:val="nil"/>
              <w:bottom w:val="single" w:sz="4" w:space="0" w:color="auto"/>
              <w:right w:val="single" w:sz="4" w:space="0" w:color="auto"/>
            </w:tcBorders>
          </w:tcPr>
          <w:p w14:paraId="3C322437" w14:textId="77777777" w:rsidR="008E7D5D" w:rsidRPr="00A966B6" w:rsidRDefault="002A6D77" w:rsidP="00273168">
            <w:pPr>
              <w:spacing w:after="0" w:line="300" w:lineRule="exact"/>
              <w:jc w:val="center"/>
              <w:rPr>
                <w:rFonts w:cs="Arial"/>
                <w:sz w:val="20"/>
              </w:rPr>
            </w:pPr>
            <w:r w:rsidRPr="00A966B6">
              <w:rPr>
                <w:rFonts w:cs="Arial"/>
                <w:sz w:val="20"/>
              </w:rPr>
              <w:t>0</w:t>
            </w:r>
          </w:p>
        </w:tc>
        <w:tc>
          <w:tcPr>
            <w:tcW w:w="992" w:type="dxa"/>
            <w:tcBorders>
              <w:top w:val="nil"/>
              <w:left w:val="nil"/>
              <w:bottom w:val="single" w:sz="4" w:space="0" w:color="auto"/>
              <w:right w:val="single" w:sz="4" w:space="0" w:color="auto"/>
            </w:tcBorders>
          </w:tcPr>
          <w:p w14:paraId="6AA41BEF" w14:textId="77777777" w:rsidR="008E7D5D" w:rsidRPr="00A966B6" w:rsidRDefault="002A6D77" w:rsidP="00273168">
            <w:pPr>
              <w:spacing w:after="0" w:line="300" w:lineRule="exact"/>
              <w:jc w:val="center"/>
              <w:rPr>
                <w:rFonts w:cs="Arial"/>
                <w:sz w:val="20"/>
              </w:rPr>
            </w:pPr>
            <w:r w:rsidRPr="00A966B6">
              <w:rPr>
                <w:rFonts w:cs="Arial"/>
                <w:sz w:val="20"/>
              </w:rPr>
              <w:t>0</w:t>
            </w:r>
          </w:p>
        </w:tc>
      </w:tr>
      <w:tr w:rsidR="00A966B6" w:rsidRPr="00A966B6" w14:paraId="1BBBE4AC" w14:textId="77777777" w:rsidTr="002565C6">
        <w:trPr>
          <w:trHeight w:val="227"/>
          <w:jc w:val="center"/>
        </w:trPr>
        <w:tc>
          <w:tcPr>
            <w:tcW w:w="3690" w:type="dxa"/>
            <w:tcBorders>
              <w:top w:val="nil"/>
              <w:left w:val="nil"/>
              <w:bottom w:val="single" w:sz="4" w:space="0" w:color="auto"/>
              <w:right w:val="nil"/>
            </w:tcBorders>
            <w:shd w:val="clear" w:color="auto" w:fill="auto"/>
            <w:noWrap/>
            <w:vAlign w:val="bottom"/>
            <w:hideMark/>
          </w:tcPr>
          <w:p w14:paraId="3E734DF0" w14:textId="77777777" w:rsidR="008E7D5D" w:rsidRPr="00A966B6" w:rsidRDefault="008E7D5D" w:rsidP="00273168">
            <w:pPr>
              <w:spacing w:after="0" w:line="300" w:lineRule="exact"/>
              <w:rPr>
                <w:rFonts w:cs="Arial"/>
                <w:sz w:val="20"/>
              </w:rPr>
            </w:pPr>
          </w:p>
        </w:tc>
        <w:tc>
          <w:tcPr>
            <w:tcW w:w="992" w:type="dxa"/>
            <w:tcBorders>
              <w:top w:val="nil"/>
              <w:left w:val="nil"/>
              <w:right w:val="nil"/>
            </w:tcBorders>
            <w:shd w:val="clear" w:color="auto" w:fill="auto"/>
            <w:noWrap/>
            <w:vAlign w:val="bottom"/>
          </w:tcPr>
          <w:p w14:paraId="6881BBB7" w14:textId="77777777" w:rsidR="008E7D5D" w:rsidRPr="00A966B6" w:rsidRDefault="008E7D5D" w:rsidP="00273168">
            <w:pPr>
              <w:spacing w:after="0" w:line="300" w:lineRule="exact"/>
              <w:jc w:val="center"/>
              <w:rPr>
                <w:rFonts w:cs="Arial"/>
                <w:b/>
                <w:bCs/>
                <w:sz w:val="20"/>
              </w:rPr>
            </w:pPr>
          </w:p>
        </w:tc>
        <w:tc>
          <w:tcPr>
            <w:tcW w:w="992" w:type="dxa"/>
            <w:tcBorders>
              <w:top w:val="nil"/>
              <w:left w:val="nil"/>
              <w:right w:val="nil"/>
            </w:tcBorders>
            <w:shd w:val="clear" w:color="auto" w:fill="auto"/>
            <w:noWrap/>
            <w:vAlign w:val="bottom"/>
          </w:tcPr>
          <w:p w14:paraId="540B38EA" w14:textId="77777777" w:rsidR="008E7D5D" w:rsidRPr="00A966B6" w:rsidRDefault="008E7D5D" w:rsidP="00273168">
            <w:pPr>
              <w:spacing w:after="0" w:line="300" w:lineRule="exact"/>
              <w:jc w:val="center"/>
              <w:rPr>
                <w:rFonts w:cs="Arial"/>
                <w:b/>
                <w:bCs/>
                <w:sz w:val="20"/>
              </w:rPr>
            </w:pPr>
          </w:p>
        </w:tc>
        <w:tc>
          <w:tcPr>
            <w:tcW w:w="993" w:type="dxa"/>
            <w:tcBorders>
              <w:top w:val="nil"/>
              <w:left w:val="nil"/>
              <w:right w:val="nil"/>
            </w:tcBorders>
            <w:shd w:val="clear" w:color="auto" w:fill="auto"/>
            <w:noWrap/>
            <w:vAlign w:val="bottom"/>
          </w:tcPr>
          <w:p w14:paraId="4D935641" w14:textId="77777777" w:rsidR="008E7D5D" w:rsidRPr="00A966B6" w:rsidRDefault="008E7D5D" w:rsidP="00273168">
            <w:pPr>
              <w:spacing w:after="0" w:line="300" w:lineRule="exact"/>
              <w:jc w:val="center"/>
              <w:rPr>
                <w:rFonts w:cs="Arial"/>
                <w:sz w:val="20"/>
              </w:rPr>
            </w:pPr>
          </w:p>
        </w:tc>
        <w:tc>
          <w:tcPr>
            <w:tcW w:w="992" w:type="dxa"/>
            <w:tcBorders>
              <w:top w:val="nil"/>
              <w:left w:val="nil"/>
              <w:right w:val="nil"/>
            </w:tcBorders>
            <w:shd w:val="clear" w:color="auto" w:fill="auto"/>
            <w:noWrap/>
            <w:vAlign w:val="bottom"/>
          </w:tcPr>
          <w:p w14:paraId="2860CF03" w14:textId="77777777" w:rsidR="008E7D5D" w:rsidRPr="00A966B6" w:rsidRDefault="008E7D5D" w:rsidP="00273168">
            <w:pPr>
              <w:spacing w:after="0" w:line="300" w:lineRule="exact"/>
              <w:jc w:val="center"/>
              <w:rPr>
                <w:rFonts w:cs="Arial"/>
                <w:sz w:val="20"/>
              </w:rPr>
            </w:pPr>
          </w:p>
        </w:tc>
        <w:tc>
          <w:tcPr>
            <w:tcW w:w="992" w:type="dxa"/>
            <w:tcBorders>
              <w:top w:val="nil"/>
              <w:left w:val="nil"/>
              <w:right w:val="nil"/>
            </w:tcBorders>
          </w:tcPr>
          <w:p w14:paraId="24F25FF0" w14:textId="77777777" w:rsidR="008E7D5D" w:rsidRPr="00A966B6" w:rsidRDefault="008E7D5D" w:rsidP="00273168">
            <w:pPr>
              <w:spacing w:after="0" w:line="300" w:lineRule="exact"/>
              <w:jc w:val="center"/>
              <w:rPr>
                <w:rFonts w:cs="Arial"/>
                <w:sz w:val="20"/>
              </w:rPr>
            </w:pPr>
          </w:p>
        </w:tc>
        <w:tc>
          <w:tcPr>
            <w:tcW w:w="992" w:type="dxa"/>
            <w:tcBorders>
              <w:top w:val="nil"/>
              <w:left w:val="nil"/>
              <w:right w:val="nil"/>
            </w:tcBorders>
          </w:tcPr>
          <w:p w14:paraId="0157365C" w14:textId="77777777" w:rsidR="008E7D5D" w:rsidRPr="00A966B6" w:rsidRDefault="008E7D5D" w:rsidP="00273168">
            <w:pPr>
              <w:spacing w:after="0" w:line="300" w:lineRule="exact"/>
              <w:jc w:val="center"/>
              <w:rPr>
                <w:rFonts w:cs="Arial"/>
                <w:sz w:val="20"/>
              </w:rPr>
            </w:pPr>
          </w:p>
        </w:tc>
        <w:tc>
          <w:tcPr>
            <w:tcW w:w="992" w:type="dxa"/>
            <w:tcBorders>
              <w:top w:val="nil"/>
              <w:left w:val="nil"/>
              <w:right w:val="nil"/>
            </w:tcBorders>
          </w:tcPr>
          <w:p w14:paraId="09CD156E" w14:textId="77777777" w:rsidR="008E7D5D" w:rsidRPr="00A966B6" w:rsidRDefault="008E7D5D" w:rsidP="00273168">
            <w:pPr>
              <w:spacing w:after="0" w:line="300" w:lineRule="exact"/>
              <w:jc w:val="center"/>
              <w:rPr>
                <w:rFonts w:cs="Arial"/>
                <w:sz w:val="20"/>
              </w:rPr>
            </w:pPr>
          </w:p>
        </w:tc>
      </w:tr>
      <w:tr w:rsidR="00A966B6" w:rsidRPr="00A966B6" w14:paraId="536BC6DA" w14:textId="77777777" w:rsidTr="002565C6">
        <w:trPr>
          <w:trHeight w:val="300"/>
          <w:jc w:val="center"/>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052F2" w14:textId="77777777" w:rsidR="008E7D5D" w:rsidRPr="00A966B6" w:rsidRDefault="008E7D5D" w:rsidP="00273168">
            <w:pPr>
              <w:spacing w:after="0" w:line="300" w:lineRule="exact"/>
              <w:rPr>
                <w:rFonts w:cs="Arial"/>
                <w:b/>
                <w:bCs/>
                <w:sz w:val="20"/>
              </w:rPr>
            </w:pPr>
            <w:r w:rsidRPr="00A966B6">
              <w:rPr>
                <w:rFonts w:cs="Arial"/>
                <w:b/>
                <w:bCs/>
                <w:sz w:val="20"/>
              </w:rPr>
              <w:t>Podle stadia trestného činu</w:t>
            </w:r>
          </w:p>
        </w:tc>
        <w:tc>
          <w:tcPr>
            <w:tcW w:w="5953" w:type="dxa"/>
            <w:gridSpan w:val="6"/>
            <w:tcBorders>
              <w:top w:val="nil"/>
              <w:left w:val="single" w:sz="4" w:space="0" w:color="auto"/>
              <w:bottom w:val="single" w:sz="4" w:space="0" w:color="auto"/>
            </w:tcBorders>
            <w:shd w:val="clear" w:color="auto" w:fill="auto"/>
            <w:noWrap/>
            <w:vAlign w:val="bottom"/>
          </w:tcPr>
          <w:p w14:paraId="48BACF70" w14:textId="77777777" w:rsidR="008E7D5D" w:rsidRPr="00A966B6" w:rsidRDefault="008E7D5D" w:rsidP="00273168">
            <w:pPr>
              <w:spacing w:after="0" w:line="300" w:lineRule="exact"/>
              <w:jc w:val="center"/>
              <w:rPr>
                <w:rFonts w:cs="Arial"/>
                <w:sz w:val="20"/>
              </w:rPr>
            </w:pPr>
          </w:p>
        </w:tc>
        <w:tc>
          <w:tcPr>
            <w:tcW w:w="992" w:type="dxa"/>
            <w:tcBorders>
              <w:top w:val="nil"/>
              <w:bottom w:val="single" w:sz="4" w:space="0" w:color="auto"/>
            </w:tcBorders>
          </w:tcPr>
          <w:p w14:paraId="41B4E2C0" w14:textId="77777777" w:rsidR="008E7D5D" w:rsidRPr="00A966B6" w:rsidRDefault="008E7D5D" w:rsidP="00273168">
            <w:pPr>
              <w:spacing w:after="0" w:line="300" w:lineRule="exact"/>
              <w:jc w:val="center"/>
              <w:rPr>
                <w:rFonts w:cs="Arial"/>
                <w:sz w:val="20"/>
              </w:rPr>
            </w:pPr>
          </w:p>
        </w:tc>
      </w:tr>
      <w:tr w:rsidR="00A966B6" w:rsidRPr="00A966B6" w14:paraId="749EFB8D" w14:textId="77777777" w:rsidTr="002565C6">
        <w:trPr>
          <w:trHeight w:val="300"/>
          <w:jc w:val="center"/>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8B870A2" w14:textId="77777777" w:rsidR="008E7D5D" w:rsidRPr="00A966B6" w:rsidRDefault="008E7D5D" w:rsidP="00FB22A8">
            <w:pPr>
              <w:spacing w:after="0" w:line="300" w:lineRule="exact"/>
              <w:rPr>
                <w:rFonts w:cs="Arial"/>
                <w:sz w:val="20"/>
              </w:rPr>
            </w:pPr>
            <w:r w:rsidRPr="00A966B6">
              <w:rPr>
                <w:rFonts w:cs="Arial"/>
                <w:sz w:val="20"/>
              </w:rPr>
              <w:t xml:space="preserve">dokonaný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6C5F615" w14:textId="77777777" w:rsidR="008E7D5D" w:rsidRPr="00A966B6" w:rsidRDefault="002A6D77" w:rsidP="00273168">
            <w:pPr>
              <w:spacing w:after="0" w:line="300" w:lineRule="exact"/>
              <w:jc w:val="center"/>
              <w:rPr>
                <w:rFonts w:cs="Arial"/>
                <w:bCs/>
                <w:sz w:val="20"/>
              </w:rPr>
            </w:pPr>
            <w:r w:rsidRPr="00A966B6">
              <w:rPr>
                <w:rFonts w:cs="Arial"/>
                <w:bCs/>
                <w:sz w:val="20"/>
              </w:rPr>
              <w:t>116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37E4770" w14:textId="77777777" w:rsidR="008E7D5D" w:rsidRPr="00A966B6" w:rsidRDefault="002A6D77" w:rsidP="00273168">
            <w:pPr>
              <w:spacing w:after="0" w:line="300" w:lineRule="exact"/>
              <w:jc w:val="center"/>
              <w:rPr>
                <w:rFonts w:cs="Arial"/>
                <w:bCs/>
                <w:sz w:val="20"/>
              </w:rPr>
            </w:pPr>
            <w:r w:rsidRPr="00A966B6">
              <w:rPr>
                <w:rFonts w:cs="Arial"/>
                <w:bCs/>
                <w:sz w:val="20"/>
              </w:rPr>
              <w:t>15</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E877C49" w14:textId="77777777" w:rsidR="008E7D5D" w:rsidRPr="00A966B6" w:rsidRDefault="002A6D77" w:rsidP="00273168">
            <w:pPr>
              <w:spacing w:after="0" w:line="300" w:lineRule="exact"/>
              <w:jc w:val="center"/>
              <w:rPr>
                <w:rFonts w:cs="Arial"/>
                <w:sz w:val="20"/>
              </w:rPr>
            </w:pPr>
            <w:r w:rsidRPr="00A966B6">
              <w:rPr>
                <w:rFonts w:cs="Arial"/>
                <w:sz w:val="20"/>
              </w:rPr>
              <w:t>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EB7EC3D" w14:textId="77777777" w:rsidR="008E7D5D" w:rsidRPr="00A966B6" w:rsidRDefault="002A6D77" w:rsidP="00273168">
            <w:pPr>
              <w:spacing w:after="0" w:line="300" w:lineRule="exact"/>
              <w:jc w:val="center"/>
              <w:rPr>
                <w:rFonts w:cs="Arial"/>
                <w:sz w:val="20"/>
              </w:rPr>
            </w:pPr>
            <w:r w:rsidRPr="00A966B6">
              <w:rPr>
                <w:rFonts w:cs="Arial"/>
                <w:sz w:val="20"/>
              </w:rPr>
              <w:t>7</w:t>
            </w:r>
          </w:p>
        </w:tc>
        <w:tc>
          <w:tcPr>
            <w:tcW w:w="992" w:type="dxa"/>
            <w:tcBorders>
              <w:top w:val="single" w:sz="4" w:space="0" w:color="auto"/>
              <w:left w:val="nil"/>
              <w:bottom w:val="single" w:sz="4" w:space="0" w:color="auto"/>
              <w:right w:val="single" w:sz="4" w:space="0" w:color="auto"/>
            </w:tcBorders>
          </w:tcPr>
          <w:p w14:paraId="30EEB355" w14:textId="77777777" w:rsidR="008E7D5D" w:rsidRPr="00A966B6" w:rsidRDefault="002A6D77" w:rsidP="00273168">
            <w:pPr>
              <w:spacing w:after="0" w:line="300" w:lineRule="exact"/>
              <w:jc w:val="center"/>
              <w:rPr>
                <w:rFonts w:cs="Arial"/>
                <w:sz w:val="20"/>
              </w:rPr>
            </w:pPr>
            <w:r w:rsidRPr="00A966B6">
              <w:rPr>
                <w:rFonts w:cs="Arial"/>
                <w:sz w:val="20"/>
              </w:rPr>
              <w:t>7</w:t>
            </w:r>
          </w:p>
        </w:tc>
        <w:tc>
          <w:tcPr>
            <w:tcW w:w="992" w:type="dxa"/>
            <w:tcBorders>
              <w:top w:val="single" w:sz="4" w:space="0" w:color="auto"/>
              <w:left w:val="nil"/>
              <w:bottom w:val="single" w:sz="4" w:space="0" w:color="auto"/>
              <w:right w:val="single" w:sz="4" w:space="0" w:color="auto"/>
            </w:tcBorders>
          </w:tcPr>
          <w:p w14:paraId="50628F2E" w14:textId="77777777" w:rsidR="008E7D5D" w:rsidRPr="00A966B6" w:rsidRDefault="002A6D77" w:rsidP="00273168">
            <w:pPr>
              <w:spacing w:after="0" w:line="300" w:lineRule="exact"/>
              <w:jc w:val="center"/>
              <w:rPr>
                <w:rFonts w:cs="Arial"/>
                <w:sz w:val="20"/>
              </w:rPr>
            </w:pPr>
            <w:r w:rsidRPr="00A966B6">
              <w:rPr>
                <w:rFonts w:cs="Arial"/>
                <w:sz w:val="20"/>
              </w:rPr>
              <w:t>1</w:t>
            </w:r>
          </w:p>
        </w:tc>
        <w:tc>
          <w:tcPr>
            <w:tcW w:w="992" w:type="dxa"/>
            <w:tcBorders>
              <w:top w:val="single" w:sz="4" w:space="0" w:color="auto"/>
              <w:left w:val="nil"/>
              <w:bottom w:val="single" w:sz="4" w:space="0" w:color="auto"/>
              <w:right w:val="single" w:sz="4" w:space="0" w:color="auto"/>
            </w:tcBorders>
          </w:tcPr>
          <w:p w14:paraId="701BC69A" w14:textId="77777777" w:rsidR="008E7D5D" w:rsidRPr="00A966B6" w:rsidRDefault="002A6D77" w:rsidP="00273168">
            <w:pPr>
              <w:spacing w:after="0" w:line="300" w:lineRule="exact"/>
              <w:jc w:val="center"/>
              <w:rPr>
                <w:rFonts w:cs="Arial"/>
                <w:sz w:val="20"/>
              </w:rPr>
            </w:pPr>
            <w:r w:rsidRPr="00A966B6">
              <w:rPr>
                <w:rFonts w:cs="Arial"/>
                <w:sz w:val="20"/>
              </w:rPr>
              <w:t>37</w:t>
            </w:r>
          </w:p>
        </w:tc>
      </w:tr>
      <w:tr w:rsidR="008E7D5D" w:rsidRPr="00A966B6" w14:paraId="43093A1E" w14:textId="77777777" w:rsidTr="008E7D5D">
        <w:trPr>
          <w:trHeight w:val="300"/>
          <w:jc w:val="center"/>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22548EF" w14:textId="51EB5362" w:rsidR="008E7D5D" w:rsidRPr="00A966B6" w:rsidRDefault="00F2481F" w:rsidP="00273168">
            <w:pPr>
              <w:spacing w:after="0" w:line="300" w:lineRule="exact"/>
              <w:rPr>
                <w:rFonts w:cs="Arial"/>
                <w:sz w:val="20"/>
              </w:rPr>
            </w:pPr>
            <w:r w:rsidRPr="00A966B6">
              <w:rPr>
                <w:rFonts w:cs="Arial"/>
                <w:sz w:val="20"/>
              </w:rPr>
              <w:t>P</w:t>
            </w:r>
            <w:r w:rsidR="008E7D5D" w:rsidRPr="00A966B6">
              <w:rPr>
                <w:rFonts w:cs="Arial"/>
                <w:sz w:val="20"/>
              </w:rPr>
              <w:t>okus</w:t>
            </w:r>
          </w:p>
        </w:tc>
        <w:tc>
          <w:tcPr>
            <w:tcW w:w="992" w:type="dxa"/>
            <w:tcBorders>
              <w:top w:val="nil"/>
              <w:left w:val="nil"/>
              <w:bottom w:val="single" w:sz="4" w:space="0" w:color="auto"/>
              <w:right w:val="single" w:sz="4" w:space="0" w:color="auto"/>
            </w:tcBorders>
            <w:shd w:val="clear" w:color="auto" w:fill="auto"/>
            <w:noWrap/>
            <w:vAlign w:val="bottom"/>
          </w:tcPr>
          <w:p w14:paraId="3B6BC447" w14:textId="77777777" w:rsidR="008E7D5D" w:rsidRPr="00A966B6" w:rsidRDefault="002A6D77" w:rsidP="00273168">
            <w:pPr>
              <w:spacing w:after="0" w:line="300" w:lineRule="exact"/>
              <w:jc w:val="center"/>
              <w:rPr>
                <w:rFonts w:cs="Arial"/>
                <w:bCs/>
                <w:sz w:val="20"/>
              </w:rPr>
            </w:pPr>
            <w:r w:rsidRPr="00A966B6">
              <w:rPr>
                <w:rFonts w:cs="Arial"/>
                <w:bCs/>
                <w:sz w:val="20"/>
              </w:rPr>
              <w:t>0</w:t>
            </w:r>
          </w:p>
        </w:tc>
        <w:tc>
          <w:tcPr>
            <w:tcW w:w="992" w:type="dxa"/>
            <w:tcBorders>
              <w:top w:val="nil"/>
              <w:left w:val="nil"/>
              <w:bottom w:val="single" w:sz="4" w:space="0" w:color="auto"/>
              <w:right w:val="single" w:sz="4" w:space="0" w:color="auto"/>
            </w:tcBorders>
            <w:shd w:val="clear" w:color="auto" w:fill="auto"/>
            <w:noWrap/>
            <w:vAlign w:val="bottom"/>
          </w:tcPr>
          <w:p w14:paraId="3055AE43" w14:textId="77777777" w:rsidR="008E7D5D" w:rsidRPr="00A966B6" w:rsidRDefault="002A6D77" w:rsidP="00273168">
            <w:pPr>
              <w:spacing w:after="0" w:line="300" w:lineRule="exact"/>
              <w:jc w:val="center"/>
              <w:rPr>
                <w:rFonts w:cs="Arial"/>
                <w:bCs/>
                <w:sz w:val="20"/>
              </w:rPr>
            </w:pPr>
            <w:r w:rsidRPr="00A966B6">
              <w:rPr>
                <w:rFonts w:cs="Arial"/>
                <w:bCs/>
                <w:sz w:val="20"/>
              </w:rPr>
              <w:t>1</w:t>
            </w:r>
          </w:p>
        </w:tc>
        <w:tc>
          <w:tcPr>
            <w:tcW w:w="993" w:type="dxa"/>
            <w:tcBorders>
              <w:top w:val="nil"/>
              <w:left w:val="nil"/>
              <w:bottom w:val="single" w:sz="4" w:space="0" w:color="auto"/>
              <w:right w:val="single" w:sz="4" w:space="0" w:color="auto"/>
            </w:tcBorders>
            <w:shd w:val="clear" w:color="auto" w:fill="auto"/>
            <w:noWrap/>
            <w:vAlign w:val="bottom"/>
          </w:tcPr>
          <w:p w14:paraId="620B0B57" w14:textId="77777777" w:rsidR="008E7D5D" w:rsidRPr="00A966B6" w:rsidRDefault="002A6D77" w:rsidP="00273168">
            <w:pPr>
              <w:spacing w:after="0" w:line="300" w:lineRule="exact"/>
              <w:jc w:val="center"/>
              <w:rPr>
                <w:rFonts w:cs="Arial"/>
                <w:sz w:val="20"/>
              </w:rPr>
            </w:pPr>
            <w:r w:rsidRPr="00A966B6">
              <w:rPr>
                <w:rFonts w:cs="Arial"/>
                <w:sz w:val="20"/>
              </w:rPr>
              <w:t>0</w:t>
            </w:r>
          </w:p>
        </w:tc>
        <w:tc>
          <w:tcPr>
            <w:tcW w:w="992" w:type="dxa"/>
            <w:tcBorders>
              <w:top w:val="nil"/>
              <w:left w:val="nil"/>
              <w:bottom w:val="single" w:sz="4" w:space="0" w:color="auto"/>
              <w:right w:val="single" w:sz="4" w:space="0" w:color="auto"/>
            </w:tcBorders>
            <w:shd w:val="clear" w:color="auto" w:fill="auto"/>
            <w:noWrap/>
            <w:vAlign w:val="bottom"/>
          </w:tcPr>
          <w:p w14:paraId="5CBF01FD" w14:textId="77777777" w:rsidR="008E7D5D" w:rsidRPr="00A966B6" w:rsidRDefault="002A6D77" w:rsidP="00273168">
            <w:pPr>
              <w:spacing w:after="0" w:line="300" w:lineRule="exact"/>
              <w:jc w:val="center"/>
              <w:rPr>
                <w:rFonts w:cs="Arial"/>
                <w:sz w:val="20"/>
              </w:rPr>
            </w:pPr>
            <w:r w:rsidRPr="00A966B6">
              <w:rPr>
                <w:rFonts w:cs="Arial"/>
                <w:sz w:val="20"/>
              </w:rPr>
              <w:t>0</w:t>
            </w:r>
          </w:p>
        </w:tc>
        <w:tc>
          <w:tcPr>
            <w:tcW w:w="992" w:type="dxa"/>
            <w:tcBorders>
              <w:top w:val="nil"/>
              <w:left w:val="nil"/>
              <w:bottom w:val="single" w:sz="4" w:space="0" w:color="auto"/>
              <w:right w:val="single" w:sz="4" w:space="0" w:color="auto"/>
            </w:tcBorders>
          </w:tcPr>
          <w:p w14:paraId="26BC2AA4" w14:textId="77777777" w:rsidR="008E7D5D" w:rsidRPr="00A966B6" w:rsidRDefault="002A6D77" w:rsidP="00273168">
            <w:pPr>
              <w:spacing w:after="0" w:line="300" w:lineRule="exact"/>
              <w:jc w:val="center"/>
              <w:rPr>
                <w:rFonts w:cs="Arial"/>
                <w:sz w:val="20"/>
              </w:rPr>
            </w:pPr>
            <w:r w:rsidRPr="00A966B6">
              <w:rPr>
                <w:rFonts w:cs="Arial"/>
                <w:sz w:val="20"/>
              </w:rPr>
              <w:t>0</w:t>
            </w:r>
          </w:p>
        </w:tc>
        <w:tc>
          <w:tcPr>
            <w:tcW w:w="992" w:type="dxa"/>
            <w:tcBorders>
              <w:top w:val="nil"/>
              <w:left w:val="nil"/>
              <w:bottom w:val="single" w:sz="4" w:space="0" w:color="auto"/>
              <w:right w:val="single" w:sz="4" w:space="0" w:color="auto"/>
            </w:tcBorders>
          </w:tcPr>
          <w:p w14:paraId="1BBCA65A" w14:textId="77777777" w:rsidR="008E7D5D" w:rsidRPr="00A966B6" w:rsidRDefault="002A6D77" w:rsidP="00273168">
            <w:pPr>
              <w:spacing w:after="0" w:line="300" w:lineRule="exact"/>
              <w:jc w:val="center"/>
              <w:rPr>
                <w:rFonts w:cs="Arial"/>
                <w:sz w:val="20"/>
              </w:rPr>
            </w:pPr>
            <w:r w:rsidRPr="00A966B6">
              <w:rPr>
                <w:rFonts w:cs="Arial"/>
                <w:sz w:val="20"/>
              </w:rPr>
              <w:t>0</w:t>
            </w:r>
          </w:p>
        </w:tc>
        <w:tc>
          <w:tcPr>
            <w:tcW w:w="992" w:type="dxa"/>
            <w:tcBorders>
              <w:top w:val="nil"/>
              <w:left w:val="nil"/>
              <w:bottom w:val="single" w:sz="4" w:space="0" w:color="auto"/>
              <w:right w:val="single" w:sz="4" w:space="0" w:color="auto"/>
            </w:tcBorders>
          </w:tcPr>
          <w:p w14:paraId="2F469D31" w14:textId="77777777" w:rsidR="008E7D5D" w:rsidRPr="00A966B6" w:rsidRDefault="002A6D77" w:rsidP="00273168">
            <w:pPr>
              <w:spacing w:after="0" w:line="300" w:lineRule="exact"/>
              <w:jc w:val="center"/>
              <w:rPr>
                <w:rFonts w:cs="Arial"/>
                <w:sz w:val="20"/>
              </w:rPr>
            </w:pPr>
            <w:r w:rsidRPr="00A966B6">
              <w:rPr>
                <w:rFonts w:cs="Arial"/>
                <w:sz w:val="20"/>
              </w:rPr>
              <w:t>0</w:t>
            </w:r>
          </w:p>
        </w:tc>
      </w:tr>
    </w:tbl>
    <w:p w14:paraId="54075828" w14:textId="77777777" w:rsidR="00514901" w:rsidRPr="00CB57EE" w:rsidRDefault="00514901" w:rsidP="00CB57EE">
      <w:pPr>
        <w:spacing w:after="120"/>
        <w:rPr>
          <w:sz w:val="16"/>
        </w:rPr>
      </w:pPr>
    </w:p>
    <w:tbl>
      <w:tblPr>
        <w:tblW w:w="10635" w:type="dxa"/>
        <w:jc w:val="center"/>
        <w:tblCellMar>
          <w:left w:w="70" w:type="dxa"/>
          <w:right w:w="70" w:type="dxa"/>
        </w:tblCellMar>
        <w:tblLook w:val="04A0" w:firstRow="1" w:lastRow="0" w:firstColumn="1" w:lastColumn="0" w:noHBand="0" w:noVBand="1"/>
      </w:tblPr>
      <w:tblGrid>
        <w:gridCol w:w="3690"/>
        <w:gridCol w:w="992"/>
        <w:gridCol w:w="992"/>
        <w:gridCol w:w="993"/>
        <w:gridCol w:w="992"/>
        <w:gridCol w:w="992"/>
        <w:gridCol w:w="992"/>
        <w:gridCol w:w="992"/>
      </w:tblGrid>
      <w:tr w:rsidR="00A966B6" w:rsidRPr="00A966B6" w14:paraId="38A3DA7D" w14:textId="77777777" w:rsidTr="002565C6">
        <w:trPr>
          <w:trHeight w:val="300"/>
          <w:jc w:val="center"/>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DC668" w14:textId="77777777" w:rsidR="008E7D5D" w:rsidRPr="00A966B6" w:rsidRDefault="008E7D5D" w:rsidP="00273168">
            <w:pPr>
              <w:spacing w:after="0" w:line="300" w:lineRule="exact"/>
              <w:rPr>
                <w:rFonts w:cs="Arial"/>
                <w:b/>
                <w:bCs/>
                <w:sz w:val="20"/>
              </w:rPr>
            </w:pPr>
            <w:r w:rsidRPr="00A966B6">
              <w:rPr>
                <w:rFonts w:cs="Arial"/>
                <w:b/>
                <w:bCs/>
                <w:sz w:val="20"/>
              </w:rPr>
              <w:t>Podle doby spáchání trestného činu</w:t>
            </w:r>
          </w:p>
        </w:tc>
        <w:tc>
          <w:tcPr>
            <w:tcW w:w="5953" w:type="dxa"/>
            <w:gridSpan w:val="6"/>
            <w:tcBorders>
              <w:left w:val="single" w:sz="4" w:space="0" w:color="auto"/>
              <w:bottom w:val="single" w:sz="4" w:space="0" w:color="auto"/>
            </w:tcBorders>
            <w:shd w:val="clear" w:color="auto" w:fill="auto"/>
            <w:noWrap/>
            <w:vAlign w:val="bottom"/>
          </w:tcPr>
          <w:p w14:paraId="49414F62" w14:textId="77777777" w:rsidR="008E7D5D" w:rsidRPr="00A966B6" w:rsidRDefault="008E7D5D" w:rsidP="00273168">
            <w:pPr>
              <w:spacing w:after="0" w:line="300" w:lineRule="exact"/>
              <w:jc w:val="center"/>
              <w:rPr>
                <w:rFonts w:cs="Arial"/>
                <w:sz w:val="20"/>
              </w:rPr>
            </w:pPr>
          </w:p>
        </w:tc>
        <w:tc>
          <w:tcPr>
            <w:tcW w:w="992" w:type="dxa"/>
            <w:tcBorders>
              <w:bottom w:val="single" w:sz="4" w:space="0" w:color="auto"/>
            </w:tcBorders>
          </w:tcPr>
          <w:p w14:paraId="698F4701" w14:textId="77777777" w:rsidR="008E7D5D" w:rsidRPr="00A966B6" w:rsidRDefault="008E7D5D" w:rsidP="00273168">
            <w:pPr>
              <w:spacing w:after="0" w:line="300" w:lineRule="exact"/>
              <w:jc w:val="center"/>
              <w:rPr>
                <w:rFonts w:cs="Arial"/>
                <w:sz w:val="20"/>
              </w:rPr>
            </w:pPr>
          </w:p>
        </w:tc>
      </w:tr>
      <w:tr w:rsidR="00A966B6" w:rsidRPr="00A966B6" w14:paraId="288CAAF1" w14:textId="77777777" w:rsidTr="002565C6">
        <w:trPr>
          <w:trHeight w:val="262"/>
          <w:jc w:val="center"/>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101C12F" w14:textId="77777777" w:rsidR="008E7D5D" w:rsidRPr="00A966B6" w:rsidRDefault="008E7D5D" w:rsidP="00273168">
            <w:pPr>
              <w:spacing w:after="0" w:line="300" w:lineRule="exact"/>
              <w:rPr>
                <w:rFonts w:cs="Arial"/>
                <w:sz w:val="20"/>
              </w:rPr>
            </w:pPr>
            <w:r w:rsidRPr="00A966B6">
              <w:rPr>
                <w:rFonts w:cs="Arial"/>
                <w:sz w:val="20"/>
              </w:rPr>
              <w:t>v době služby / v pracovní době</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B5CDE66" w14:textId="77777777" w:rsidR="008E7D5D" w:rsidRPr="00A966B6" w:rsidRDefault="00444DFD" w:rsidP="00273168">
            <w:pPr>
              <w:spacing w:after="0" w:line="300" w:lineRule="exact"/>
              <w:jc w:val="center"/>
              <w:rPr>
                <w:rFonts w:cs="Arial"/>
                <w:bCs/>
                <w:sz w:val="20"/>
              </w:rPr>
            </w:pPr>
            <w:r w:rsidRPr="00A966B6">
              <w:rPr>
                <w:rFonts w:cs="Arial"/>
                <w:bCs/>
                <w:sz w:val="20"/>
              </w:rPr>
              <w:t>55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4CCBCFA" w14:textId="77777777" w:rsidR="008E7D5D" w:rsidRPr="00A966B6" w:rsidRDefault="005D12B6" w:rsidP="00273168">
            <w:pPr>
              <w:spacing w:after="0" w:line="300" w:lineRule="exact"/>
              <w:jc w:val="center"/>
              <w:rPr>
                <w:rFonts w:cs="Arial"/>
                <w:bCs/>
                <w:sz w:val="20"/>
              </w:rPr>
            </w:pPr>
            <w:r w:rsidRPr="00A966B6">
              <w:rPr>
                <w:rFonts w:cs="Arial"/>
                <w:bCs/>
                <w:sz w:val="20"/>
              </w:rPr>
              <w:t>5</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D7ACAE3" w14:textId="77777777" w:rsidR="008E7D5D" w:rsidRPr="00A966B6" w:rsidRDefault="005D12B6" w:rsidP="00273168">
            <w:pPr>
              <w:spacing w:after="0" w:line="300" w:lineRule="exact"/>
              <w:jc w:val="center"/>
              <w:rPr>
                <w:rFonts w:cs="Arial"/>
                <w:sz w:val="20"/>
              </w:rPr>
            </w:pPr>
            <w:r w:rsidRPr="00A966B6">
              <w:rPr>
                <w:rFonts w:cs="Arial"/>
                <w:sz w:val="20"/>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AC66146" w14:textId="77777777" w:rsidR="008E7D5D" w:rsidRPr="00A966B6" w:rsidRDefault="005D12B6" w:rsidP="00273168">
            <w:pPr>
              <w:spacing w:after="0" w:line="300" w:lineRule="exact"/>
              <w:jc w:val="center"/>
              <w:rPr>
                <w:rFonts w:cs="Arial"/>
                <w:sz w:val="20"/>
              </w:rPr>
            </w:pPr>
            <w:r w:rsidRPr="00A966B6">
              <w:rPr>
                <w:rFonts w:cs="Arial"/>
                <w:sz w:val="20"/>
              </w:rPr>
              <w:t>2</w:t>
            </w:r>
          </w:p>
        </w:tc>
        <w:tc>
          <w:tcPr>
            <w:tcW w:w="992" w:type="dxa"/>
            <w:tcBorders>
              <w:top w:val="single" w:sz="4" w:space="0" w:color="auto"/>
              <w:left w:val="nil"/>
              <w:bottom w:val="single" w:sz="4" w:space="0" w:color="auto"/>
              <w:right w:val="single" w:sz="4" w:space="0" w:color="auto"/>
            </w:tcBorders>
          </w:tcPr>
          <w:p w14:paraId="478E892E" w14:textId="77777777" w:rsidR="008E7D5D" w:rsidRPr="00A966B6" w:rsidRDefault="005D12B6" w:rsidP="00273168">
            <w:pPr>
              <w:spacing w:after="0" w:line="300" w:lineRule="exact"/>
              <w:jc w:val="center"/>
              <w:rPr>
                <w:rFonts w:cs="Arial"/>
                <w:sz w:val="20"/>
              </w:rPr>
            </w:pPr>
            <w:r w:rsidRPr="00A966B6">
              <w:rPr>
                <w:rFonts w:cs="Arial"/>
                <w:sz w:val="20"/>
              </w:rPr>
              <w:t>7</w:t>
            </w:r>
          </w:p>
        </w:tc>
        <w:tc>
          <w:tcPr>
            <w:tcW w:w="992" w:type="dxa"/>
            <w:tcBorders>
              <w:top w:val="single" w:sz="4" w:space="0" w:color="auto"/>
              <w:left w:val="nil"/>
              <w:bottom w:val="single" w:sz="4" w:space="0" w:color="auto"/>
              <w:right w:val="single" w:sz="4" w:space="0" w:color="auto"/>
            </w:tcBorders>
          </w:tcPr>
          <w:p w14:paraId="42317FE1" w14:textId="77777777" w:rsidR="008E7D5D" w:rsidRPr="00A966B6" w:rsidRDefault="005D12B6" w:rsidP="00273168">
            <w:pPr>
              <w:spacing w:after="0" w:line="300" w:lineRule="exact"/>
              <w:jc w:val="center"/>
              <w:rPr>
                <w:rFonts w:cs="Arial"/>
                <w:sz w:val="20"/>
              </w:rPr>
            </w:pPr>
            <w:r w:rsidRPr="00A966B6">
              <w:rPr>
                <w:rFonts w:cs="Arial"/>
                <w:sz w:val="20"/>
              </w:rPr>
              <w:t>1</w:t>
            </w:r>
          </w:p>
        </w:tc>
        <w:tc>
          <w:tcPr>
            <w:tcW w:w="992" w:type="dxa"/>
            <w:tcBorders>
              <w:top w:val="single" w:sz="4" w:space="0" w:color="auto"/>
              <w:left w:val="nil"/>
              <w:bottom w:val="single" w:sz="4" w:space="0" w:color="auto"/>
              <w:right w:val="single" w:sz="4" w:space="0" w:color="auto"/>
            </w:tcBorders>
          </w:tcPr>
          <w:p w14:paraId="0003B03C" w14:textId="77777777" w:rsidR="008E7D5D" w:rsidRPr="00A966B6" w:rsidRDefault="00CB7B91" w:rsidP="00273168">
            <w:pPr>
              <w:spacing w:after="0" w:line="300" w:lineRule="exact"/>
              <w:jc w:val="center"/>
              <w:rPr>
                <w:rFonts w:cs="Arial"/>
                <w:sz w:val="20"/>
              </w:rPr>
            </w:pPr>
            <w:r w:rsidRPr="00A966B6">
              <w:rPr>
                <w:rFonts w:cs="Arial"/>
                <w:sz w:val="20"/>
              </w:rPr>
              <w:t>--</w:t>
            </w:r>
          </w:p>
        </w:tc>
      </w:tr>
      <w:tr w:rsidR="008E7D5D" w:rsidRPr="00A966B6" w14:paraId="21BDCE0E" w14:textId="77777777" w:rsidTr="008E7D5D">
        <w:trPr>
          <w:trHeight w:val="300"/>
          <w:jc w:val="center"/>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37869B6C" w14:textId="77777777" w:rsidR="008E7D5D" w:rsidRPr="00A966B6" w:rsidRDefault="008E7D5D" w:rsidP="00514901">
            <w:pPr>
              <w:spacing w:after="0" w:line="300" w:lineRule="exact"/>
              <w:rPr>
                <w:rFonts w:cs="Arial"/>
                <w:sz w:val="20"/>
              </w:rPr>
            </w:pPr>
            <w:r w:rsidRPr="00A966B6">
              <w:rPr>
                <w:rFonts w:cs="Arial"/>
                <w:sz w:val="20"/>
              </w:rPr>
              <w:t xml:space="preserve">v době mimo službu / mimo </w:t>
            </w:r>
            <w:proofErr w:type="spellStart"/>
            <w:r w:rsidRPr="00A966B6">
              <w:rPr>
                <w:rFonts w:cs="Arial"/>
                <w:sz w:val="20"/>
              </w:rPr>
              <w:t>prac</w:t>
            </w:r>
            <w:proofErr w:type="spellEnd"/>
            <w:r w:rsidRPr="00A966B6">
              <w:rPr>
                <w:rFonts w:cs="Arial"/>
                <w:sz w:val="20"/>
              </w:rPr>
              <w:t>. dobu</w:t>
            </w:r>
          </w:p>
        </w:tc>
        <w:tc>
          <w:tcPr>
            <w:tcW w:w="992" w:type="dxa"/>
            <w:tcBorders>
              <w:top w:val="nil"/>
              <w:left w:val="nil"/>
              <w:bottom w:val="single" w:sz="4" w:space="0" w:color="auto"/>
              <w:right w:val="single" w:sz="4" w:space="0" w:color="auto"/>
            </w:tcBorders>
            <w:shd w:val="clear" w:color="auto" w:fill="auto"/>
            <w:noWrap/>
            <w:vAlign w:val="bottom"/>
          </w:tcPr>
          <w:p w14:paraId="4205448E" w14:textId="77777777" w:rsidR="008E7D5D" w:rsidRPr="00A966B6" w:rsidRDefault="00444DFD" w:rsidP="00273168">
            <w:pPr>
              <w:spacing w:after="0" w:line="300" w:lineRule="exact"/>
              <w:jc w:val="center"/>
              <w:rPr>
                <w:rFonts w:cs="Arial"/>
                <w:bCs/>
                <w:sz w:val="20"/>
              </w:rPr>
            </w:pPr>
            <w:r w:rsidRPr="00A966B6">
              <w:rPr>
                <w:rFonts w:cs="Arial"/>
                <w:bCs/>
                <w:sz w:val="20"/>
              </w:rPr>
              <w:t>61</w:t>
            </w:r>
          </w:p>
        </w:tc>
        <w:tc>
          <w:tcPr>
            <w:tcW w:w="992" w:type="dxa"/>
            <w:tcBorders>
              <w:top w:val="nil"/>
              <w:left w:val="nil"/>
              <w:bottom w:val="single" w:sz="4" w:space="0" w:color="auto"/>
              <w:right w:val="single" w:sz="4" w:space="0" w:color="auto"/>
            </w:tcBorders>
            <w:shd w:val="clear" w:color="auto" w:fill="auto"/>
            <w:noWrap/>
            <w:vAlign w:val="bottom"/>
          </w:tcPr>
          <w:p w14:paraId="5F23D44D" w14:textId="77777777" w:rsidR="008E7D5D" w:rsidRPr="00A966B6" w:rsidRDefault="005D12B6" w:rsidP="00273168">
            <w:pPr>
              <w:spacing w:after="0" w:line="300" w:lineRule="exact"/>
              <w:jc w:val="center"/>
              <w:rPr>
                <w:rFonts w:cs="Arial"/>
                <w:bCs/>
                <w:sz w:val="20"/>
              </w:rPr>
            </w:pPr>
            <w:r w:rsidRPr="00A966B6">
              <w:rPr>
                <w:rFonts w:cs="Arial"/>
                <w:bCs/>
                <w:sz w:val="20"/>
              </w:rPr>
              <w:t>11</w:t>
            </w:r>
          </w:p>
        </w:tc>
        <w:tc>
          <w:tcPr>
            <w:tcW w:w="993" w:type="dxa"/>
            <w:tcBorders>
              <w:top w:val="nil"/>
              <w:left w:val="nil"/>
              <w:bottom w:val="single" w:sz="4" w:space="0" w:color="auto"/>
              <w:right w:val="single" w:sz="4" w:space="0" w:color="auto"/>
            </w:tcBorders>
            <w:shd w:val="clear" w:color="auto" w:fill="auto"/>
            <w:noWrap/>
            <w:vAlign w:val="bottom"/>
          </w:tcPr>
          <w:p w14:paraId="7C946A35" w14:textId="77777777" w:rsidR="008E7D5D" w:rsidRPr="00A966B6" w:rsidRDefault="005D12B6" w:rsidP="00273168">
            <w:pPr>
              <w:spacing w:after="0" w:line="300" w:lineRule="exact"/>
              <w:jc w:val="center"/>
              <w:rPr>
                <w:rFonts w:cs="Arial"/>
                <w:sz w:val="20"/>
              </w:rPr>
            </w:pPr>
            <w:r w:rsidRPr="00A966B6">
              <w:rPr>
                <w:rFonts w:cs="Arial"/>
                <w:sz w:val="20"/>
              </w:rPr>
              <w:t>1</w:t>
            </w:r>
          </w:p>
        </w:tc>
        <w:tc>
          <w:tcPr>
            <w:tcW w:w="992" w:type="dxa"/>
            <w:tcBorders>
              <w:top w:val="nil"/>
              <w:left w:val="nil"/>
              <w:bottom w:val="single" w:sz="4" w:space="0" w:color="auto"/>
              <w:right w:val="single" w:sz="4" w:space="0" w:color="auto"/>
            </w:tcBorders>
            <w:shd w:val="clear" w:color="auto" w:fill="auto"/>
            <w:noWrap/>
            <w:vAlign w:val="bottom"/>
          </w:tcPr>
          <w:p w14:paraId="64BB6418" w14:textId="77777777" w:rsidR="008E7D5D" w:rsidRPr="00A966B6" w:rsidRDefault="005D12B6" w:rsidP="00273168">
            <w:pPr>
              <w:spacing w:after="0" w:line="300" w:lineRule="exact"/>
              <w:jc w:val="center"/>
              <w:rPr>
                <w:rFonts w:cs="Arial"/>
                <w:sz w:val="20"/>
              </w:rPr>
            </w:pPr>
            <w:r w:rsidRPr="00A966B6">
              <w:rPr>
                <w:rFonts w:cs="Arial"/>
                <w:sz w:val="20"/>
              </w:rPr>
              <w:t>5</w:t>
            </w:r>
          </w:p>
        </w:tc>
        <w:tc>
          <w:tcPr>
            <w:tcW w:w="992" w:type="dxa"/>
            <w:tcBorders>
              <w:top w:val="nil"/>
              <w:left w:val="nil"/>
              <w:bottom w:val="single" w:sz="4" w:space="0" w:color="auto"/>
              <w:right w:val="single" w:sz="4" w:space="0" w:color="auto"/>
            </w:tcBorders>
          </w:tcPr>
          <w:p w14:paraId="03FBDBD7" w14:textId="77777777" w:rsidR="008E7D5D" w:rsidRPr="00A966B6" w:rsidRDefault="005D12B6" w:rsidP="00273168">
            <w:pPr>
              <w:spacing w:after="0" w:line="300" w:lineRule="exact"/>
              <w:jc w:val="center"/>
              <w:rPr>
                <w:rFonts w:cs="Arial"/>
                <w:sz w:val="20"/>
              </w:rPr>
            </w:pPr>
            <w:r w:rsidRPr="00A966B6">
              <w:rPr>
                <w:rFonts w:cs="Arial"/>
                <w:sz w:val="20"/>
              </w:rPr>
              <w:t>0</w:t>
            </w:r>
          </w:p>
        </w:tc>
        <w:tc>
          <w:tcPr>
            <w:tcW w:w="992" w:type="dxa"/>
            <w:tcBorders>
              <w:top w:val="nil"/>
              <w:left w:val="nil"/>
              <w:bottom w:val="single" w:sz="4" w:space="0" w:color="auto"/>
              <w:right w:val="single" w:sz="4" w:space="0" w:color="auto"/>
            </w:tcBorders>
          </w:tcPr>
          <w:p w14:paraId="702D88E4" w14:textId="77777777" w:rsidR="008E7D5D" w:rsidRPr="00A966B6" w:rsidRDefault="005D12B6" w:rsidP="00273168">
            <w:pPr>
              <w:spacing w:after="0" w:line="300" w:lineRule="exact"/>
              <w:jc w:val="center"/>
              <w:rPr>
                <w:rFonts w:cs="Arial"/>
                <w:sz w:val="20"/>
              </w:rPr>
            </w:pPr>
            <w:r w:rsidRPr="00A966B6">
              <w:rPr>
                <w:rFonts w:cs="Arial"/>
                <w:sz w:val="20"/>
              </w:rPr>
              <w:t>0</w:t>
            </w:r>
          </w:p>
        </w:tc>
        <w:tc>
          <w:tcPr>
            <w:tcW w:w="992" w:type="dxa"/>
            <w:tcBorders>
              <w:top w:val="nil"/>
              <w:left w:val="nil"/>
              <w:bottom w:val="single" w:sz="4" w:space="0" w:color="auto"/>
              <w:right w:val="single" w:sz="4" w:space="0" w:color="auto"/>
            </w:tcBorders>
          </w:tcPr>
          <w:p w14:paraId="1DE97F1A" w14:textId="77777777" w:rsidR="008E7D5D" w:rsidRPr="00A966B6" w:rsidRDefault="00CB7B91" w:rsidP="00273168">
            <w:pPr>
              <w:spacing w:after="0" w:line="300" w:lineRule="exact"/>
              <w:jc w:val="center"/>
              <w:rPr>
                <w:rFonts w:cs="Arial"/>
                <w:sz w:val="20"/>
              </w:rPr>
            </w:pPr>
            <w:r w:rsidRPr="00A966B6">
              <w:rPr>
                <w:rFonts w:cs="Arial"/>
                <w:sz w:val="20"/>
              </w:rPr>
              <w:t>--</w:t>
            </w:r>
          </w:p>
        </w:tc>
      </w:tr>
    </w:tbl>
    <w:p w14:paraId="0996BF1D" w14:textId="77777777" w:rsidR="00514901" w:rsidRPr="00CB57EE" w:rsidRDefault="00514901" w:rsidP="00CB57EE">
      <w:pPr>
        <w:spacing w:after="120"/>
        <w:rPr>
          <w:sz w:val="16"/>
        </w:rPr>
      </w:pPr>
    </w:p>
    <w:tbl>
      <w:tblPr>
        <w:tblW w:w="10635" w:type="dxa"/>
        <w:jc w:val="center"/>
        <w:tblCellMar>
          <w:left w:w="70" w:type="dxa"/>
          <w:right w:w="70" w:type="dxa"/>
        </w:tblCellMar>
        <w:tblLook w:val="04A0" w:firstRow="1" w:lastRow="0" w:firstColumn="1" w:lastColumn="0" w:noHBand="0" w:noVBand="1"/>
      </w:tblPr>
      <w:tblGrid>
        <w:gridCol w:w="3690"/>
        <w:gridCol w:w="992"/>
        <w:gridCol w:w="992"/>
        <w:gridCol w:w="993"/>
        <w:gridCol w:w="992"/>
        <w:gridCol w:w="992"/>
        <w:gridCol w:w="992"/>
        <w:gridCol w:w="992"/>
      </w:tblGrid>
      <w:tr w:rsidR="00A966B6" w:rsidRPr="00A966B6" w14:paraId="071D3D98" w14:textId="77777777" w:rsidTr="00CB4B15">
        <w:trPr>
          <w:trHeight w:val="300"/>
          <w:jc w:val="center"/>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E6EB5" w14:textId="77777777" w:rsidR="008E7D5D" w:rsidRPr="00A966B6" w:rsidRDefault="008E7D5D" w:rsidP="00273168">
            <w:pPr>
              <w:spacing w:after="0" w:line="300" w:lineRule="exact"/>
              <w:rPr>
                <w:rFonts w:cs="Arial"/>
                <w:b/>
                <w:bCs/>
                <w:sz w:val="20"/>
              </w:rPr>
            </w:pPr>
            <w:r w:rsidRPr="00A966B6">
              <w:rPr>
                <w:rFonts w:cs="Arial"/>
                <w:b/>
                <w:bCs/>
                <w:sz w:val="20"/>
              </w:rPr>
              <w:t>V souvislosti se zneužitím postavení příslušníka / zaměstnance</w:t>
            </w:r>
          </w:p>
        </w:tc>
        <w:tc>
          <w:tcPr>
            <w:tcW w:w="5953" w:type="dxa"/>
            <w:gridSpan w:val="6"/>
            <w:tcBorders>
              <w:left w:val="single" w:sz="4" w:space="0" w:color="auto"/>
              <w:bottom w:val="single" w:sz="4" w:space="0" w:color="auto"/>
            </w:tcBorders>
            <w:shd w:val="clear" w:color="auto" w:fill="auto"/>
            <w:noWrap/>
            <w:vAlign w:val="bottom"/>
          </w:tcPr>
          <w:p w14:paraId="4B5A1847" w14:textId="77777777" w:rsidR="008E7D5D" w:rsidRPr="00A966B6" w:rsidRDefault="008E7D5D" w:rsidP="00273168">
            <w:pPr>
              <w:spacing w:after="0" w:line="300" w:lineRule="exact"/>
              <w:jc w:val="center"/>
              <w:rPr>
                <w:rFonts w:cs="Arial"/>
                <w:sz w:val="20"/>
              </w:rPr>
            </w:pPr>
          </w:p>
        </w:tc>
        <w:tc>
          <w:tcPr>
            <w:tcW w:w="992" w:type="dxa"/>
            <w:tcBorders>
              <w:bottom w:val="single" w:sz="4" w:space="0" w:color="auto"/>
            </w:tcBorders>
          </w:tcPr>
          <w:p w14:paraId="5A6245D1" w14:textId="77777777" w:rsidR="008E7D5D" w:rsidRPr="00A966B6" w:rsidRDefault="008E7D5D" w:rsidP="00273168">
            <w:pPr>
              <w:spacing w:after="0" w:line="300" w:lineRule="exact"/>
              <w:jc w:val="center"/>
              <w:rPr>
                <w:rFonts w:cs="Arial"/>
                <w:sz w:val="20"/>
              </w:rPr>
            </w:pPr>
          </w:p>
        </w:tc>
      </w:tr>
      <w:tr w:rsidR="00A966B6" w:rsidRPr="00A966B6" w14:paraId="615729C2" w14:textId="77777777" w:rsidTr="00CB4B15">
        <w:trPr>
          <w:trHeight w:val="300"/>
          <w:jc w:val="center"/>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7D09B75" w14:textId="073D3CAE" w:rsidR="008E7D5D" w:rsidRPr="00A966B6" w:rsidRDefault="00F2481F" w:rsidP="00273168">
            <w:pPr>
              <w:spacing w:after="0" w:line="300" w:lineRule="exact"/>
              <w:rPr>
                <w:rFonts w:cs="Arial"/>
                <w:sz w:val="20"/>
              </w:rPr>
            </w:pPr>
            <w:r w:rsidRPr="00A966B6">
              <w:rPr>
                <w:rFonts w:cs="Arial"/>
                <w:sz w:val="20"/>
              </w:rPr>
              <w:t>A</w:t>
            </w:r>
            <w:r w:rsidR="008E7D5D" w:rsidRPr="00A966B6">
              <w:rPr>
                <w:rFonts w:cs="Arial"/>
                <w:sz w:val="20"/>
              </w:rPr>
              <w:t>no</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8E8838F" w14:textId="77777777" w:rsidR="008E7D5D" w:rsidRPr="00A966B6" w:rsidRDefault="000A3824" w:rsidP="00273168">
            <w:pPr>
              <w:spacing w:after="0" w:line="300" w:lineRule="exact"/>
              <w:jc w:val="center"/>
              <w:rPr>
                <w:rFonts w:cs="Arial"/>
                <w:bCs/>
                <w:sz w:val="20"/>
              </w:rPr>
            </w:pPr>
            <w:r w:rsidRPr="00A966B6">
              <w:rPr>
                <w:rFonts w:cs="Arial"/>
                <w:bCs/>
                <w:sz w:val="20"/>
              </w:rPr>
              <w:t>54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B0BFDA9" w14:textId="77777777" w:rsidR="008E7D5D" w:rsidRPr="00A966B6" w:rsidRDefault="00F55F13" w:rsidP="00273168">
            <w:pPr>
              <w:spacing w:after="0" w:line="300" w:lineRule="exact"/>
              <w:jc w:val="center"/>
              <w:rPr>
                <w:rFonts w:cs="Arial"/>
                <w:bCs/>
                <w:sz w:val="20"/>
              </w:rPr>
            </w:pPr>
            <w:r w:rsidRPr="00A966B6">
              <w:rPr>
                <w:rFonts w:cs="Arial"/>
                <w:bCs/>
                <w:sz w:val="20"/>
              </w:rPr>
              <w:t>5</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60F07C5" w14:textId="77777777" w:rsidR="008E7D5D" w:rsidRPr="00A966B6" w:rsidRDefault="00961EB5" w:rsidP="00273168">
            <w:pPr>
              <w:spacing w:after="0" w:line="300" w:lineRule="exact"/>
              <w:jc w:val="center"/>
              <w:rPr>
                <w:rFonts w:cs="Arial"/>
                <w:sz w:val="20"/>
              </w:rPr>
            </w:pPr>
            <w:r w:rsidRPr="00A966B6">
              <w:rPr>
                <w:rFonts w:cs="Arial"/>
                <w:sz w:val="20"/>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9AA066E" w14:textId="77777777" w:rsidR="008E7D5D" w:rsidRPr="00A966B6" w:rsidRDefault="00961EB5" w:rsidP="00273168">
            <w:pPr>
              <w:spacing w:after="0" w:line="300" w:lineRule="exact"/>
              <w:jc w:val="center"/>
              <w:rPr>
                <w:rFonts w:cs="Arial"/>
                <w:sz w:val="20"/>
              </w:rPr>
            </w:pPr>
            <w:r w:rsidRPr="00A966B6">
              <w:rPr>
                <w:rFonts w:cs="Arial"/>
                <w:sz w:val="20"/>
              </w:rPr>
              <w:t>3</w:t>
            </w:r>
          </w:p>
        </w:tc>
        <w:tc>
          <w:tcPr>
            <w:tcW w:w="992" w:type="dxa"/>
            <w:tcBorders>
              <w:top w:val="single" w:sz="4" w:space="0" w:color="auto"/>
              <w:left w:val="nil"/>
              <w:bottom w:val="single" w:sz="4" w:space="0" w:color="auto"/>
              <w:right w:val="single" w:sz="4" w:space="0" w:color="auto"/>
            </w:tcBorders>
          </w:tcPr>
          <w:p w14:paraId="2AC57916" w14:textId="77777777" w:rsidR="008E7D5D" w:rsidRPr="00A966B6" w:rsidRDefault="00961EB5" w:rsidP="00273168">
            <w:pPr>
              <w:spacing w:after="0" w:line="300" w:lineRule="exact"/>
              <w:jc w:val="center"/>
              <w:rPr>
                <w:rFonts w:cs="Arial"/>
                <w:sz w:val="20"/>
              </w:rPr>
            </w:pPr>
            <w:r w:rsidRPr="00A966B6">
              <w:rPr>
                <w:rFonts w:cs="Arial"/>
                <w:sz w:val="20"/>
              </w:rPr>
              <w:t>6</w:t>
            </w:r>
          </w:p>
        </w:tc>
        <w:tc>
          <w:tcPr>
            <w:tcW w:w="992" w:type="dxa"/>
            <w:tcBorders>
              <w:top w:val="single" w:sz="4" w:space="0" w:color="auto"/>
              <w:left w:val="nil"/>
              <w:bottom w:val="single" w:sz="4" w:space="0" w:color="auto"/>
              <w:right w:val="single" w:sz="4" w:space="0" w:color="auto"/>
            </w:tcBorders>
          </w:tcPr>
          <w:p w14:paraId="74C313A3" w14:textId="77777777" w:rsidR="008E7D5D" w:rsidRPr="00A966B6" w:rsidRDefault="005D12B6" w:rsidP="00273168">
            <w:pPr>
              <w:spacing w:after="0" w:line="300" w:lineRule="exact"/>
              <w:jc w:val="center"/>
              <w:rPr>
                <w:rFonts w:cs="Arial"/>
                <w:sz w:val="20"/>
              </w:rPr>
            </w:pPr>
            <w:r w:rsidRPr="00A966B6">
              <w:rPr>
                <w:rFonts w:cs="Arial"/>
                <w:sz w:val="20"/>
              </w:rPr>
              <w:t>1</w:t>
            </w:r>
          </w:p>
        </w:tc>
        <w:tc>
          <w:tcPr>
            <w:tcW w:w="992" w:type="dxa"/>
            <w:tcBorders>
              <w:top w:val="single" w:sz="4" w:space="0" w:color="auto"/>
              <w:left w:val="nil"/>
              <w:bottom w:val="single" w:sz="4" w:space="0" w:color="auto"/>
              <w:right w:val="single" w:sz="4" w:space="0" w:color="auto"/>
            </w:tcBorders>
          </w:tcPr>
          <w:p w14:paraId="7AD53B76" w14:textId="77777777" w:rsidR="008E7D5D" w:rsidRPr="00A966B6" w:rsidRDefault="00CB7B91" w:rsidP="00273168">
            <w:pPr>
              <w:spacing w:after="0" w:line="300" w:lineRule="exact"/>
              <w:jc w:val="center"/>
              <w:rPr>
                <w:rFonts w:cs="Arial"/>
                <w:sz w:val="20"/>
              </w:rPr>
            </w:pPr>
            <w:r w:rsidRPr="00A966B6">
              <w:rPr>
                <w:rFonts w:cs="Arial"/>
                <w:sz w:val="20"/>
              </w:rPr>
              <w:t>--</w:t>
            </w:r>
          </w:p>
        </w:tc>
      </w:tr>
      <w:tr w:rsidR="008E7D5D" w:rsidRPr="00A966B6" w14:paraId="3C16336D" w14:textId="77777777" w:rsidTr="008E7D5D">
        <w:trPr>
          <w:trHeight w:val="300"/>
          <w:jc w:val="center"/>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7E9D61C" w14:textId="63F2853C" w:rsidR="008E7D5D" w:rsidRPr="00A966B6" w:rsidRDefault="00F2481F" w:rsidP="00273168">
            <w:pPr>
              <w:spacing w:after="0" w:line="300" w:lineRule="exact"/>
              <w:rPr>
                <w:rFonts w:cs="Arial"/>
                <w:sz w:val="20"/>
              </w:rPr>
            </w:pPr>
            <w:r w:rsidRPr="00A966B6">
              <w:rPr>
                <w:rFonts w:cs="Arial"/>
                <w:sz w:val="20"/>
              </w:rPr>
              <w:t>N</w:t>
            </w:r>
            <w:r w:rsidR="008E7D5D" w:rsidRPr="00A966B6">
              <w:rPr>
                <w:rFonts w:cs="Arial"/>
                <w:sz w:val="20"/>
              </w:rPr>
              <w:t>e</w:t>
            </w:r>
          </w:p>
        </w:tc>
        <w:tc>
          <w:tcPr>
            <w:tcW w:w="992" w:type="dxa"/>
            <w:tcBorders>
              <w:top w:val="nil"/>
              <w:left w:val="nil"/>
              <w:bottom w:val="single" w:sz="4" w:space="0" w:color="auto"/>
              <w:right w:val="single" w:sz="4" w:space="0" w:color="auto"/>
            </w:tcBorders>
            <w:shd w:val="clear" w:color="auto" w:fill="auto"/>
            <w:noWrap/>
            <w:vAlign w:val="bottom"/>
          </w:tcPr>
          <w:p w14:paraId="10C7D9D3" w14:textId="77777777" w:rsidR="008E7D5D" w:rsidRPr="00A966B6" w:rsidRDefault="000A3824" w:rsidP="00273168">
            <w:pPr>
              <w:spacing w:after="0" w:line="300" w:lineRule="exact"/>
              <w:jc w:val="center"/>
              <w:rPr>
                <w:rFonts w:cs="Arial"/>
                <w:bCs/>
                <w:sz w:val="20"/>
              </w:rPr>
            </w:pPr>
            <w:r w:rsidRPr="00A966B6">
              <w:rPr>
                <w:rFonts w:cs="Arial"/>
                <w:bCs/>
                <w:sz w:val="20"/>
              </w:rPr>
              <w:t>62</w:t>
            </w:r>
          </w:p>
        </w:tc>
        <w:tc>
          <w:tcPr>
            <w:tcW w:w="992" w:type="dxa"/>
            <w:tcBorders>
              <w:top w:val="nil"/>
              <w:left w:val="nil"/>
              <w:bottom w:val="single" w:sz="4" w:space="0" w:color="auto"/>
              <w:right w:val="single" w:sz="4" w:space="0" w:color="auto"/>
            </w:tcBorders>
            <w:shd w:val="clear" w:color="auto" w:fill="auto"/>
            <w:noWrap/>
            <w:vAlign w:val="bottom"/>
          </w:tcPr>
          <w:p w14:paraId="5DFC2B79" w14:textId="77777777" w:rsidR="008E7D5D" w:rsidRPr="00A966B6" w:rsidRDefault="00F55F13" w:rsidP="00273168">
            <w:pPr>
              <w:spacing w:after="0" w:line="300" w:lineRule="exact"/>
              <w:jc w:val="center"/>
              <w:rPr>
                <w:rFonts w:cs="Arial"/>
                <w:bCs/>
                <w:sz w:val="20"/>
              </w:rPr>
            </w:pPr>
            <w:r w:rsidRPr="00A966B6">
              <w:rPr>
                <w:rFonts w:cs="Arial"/>
                <w:bCs/>
                <w:sz w:val="20"/>
              </w:rPr>
              <w:t>11</w:t>
            </w:r>
          </w:p>
        </w:tc>
        <w:tc>
          <w:tcPr>
            <w:tcW w:w="993" w:type="dxa"/>
            <w:tcBorders>
              <w:top w:val="nil"/>
              <w:left w:val="nil"/>
              <w:bottom w:val="single" w:sz="4" w:space="0" w:color="auto"/>
              <w:right w:val="single" w:sz="4" w:space="0" w:color="auto"/>
            </w:tcBorders>
            <w:shd w:val="clear" w:color="auto" w:fill="auto"/>
            <w:noWrap/>
            <w:vAlign w:val="bottom"/>
          </w:tcPr>
          <w:p w14:paraId="2E1CA729" w14:textId="77777777" w:rsidR="008E7D5D" w:rsidRPr="00A966B6" w:rsidRDefault="00961EB5" w:rsidP="00273168">
            <w:pPr>
              <w:spacing w:after="0" w:line="300" w:lineRule="exact"/>
              <w:jc w:val="center"/>
              <w:rPr>
                <w:rFonts w:cs="Arial"/>
                <w:sz w:val="20"/>
              </w:rPr>
            </w:pPr>
            <w:r w:rsidRPr="00A966B6">
              <w:rPr>
                <w:rFonts w:cs="Arial"/>
                <w:sz w:val="20"/>
              </w:rPr>
              <w:t>1</w:t>
            </w:r>
          </w:p>
        </w:tc>
        <w:tc>
          <w:tcPr>
            <w:tcW w:w="992" w:type="dxa"/>
            <w:tcBorders>
              <w:top w:val="nil"/>
              <w:left w:val="nil"/>
              <w:bottom w:val="single" w:sz="4" w:space="0" w:color="auto"/>
              <w:right w:val="single" w:sz="4" w:space="0" w:color="auto"/>
            </w:tcBorders>
            <w:shd w:val="clear" w:color="auto" w:fill="auto"/>
            <w:noWrap/>
            <w:vAlign w:val="bottom"/>
          </w:tcPr>
          <w:p w14:paraId="1C45A072" w14:textId="77777777" w:rsidR="008E7D5D" w:rsidRPr="00A966B6" w:rsidRDefault="00961EB5" w:rsidP="00273168">
            <w:pPr>
              <w:spacing w:after="0" w:line="300" w:lineRule="exact"/>
              <w:jc w:val="center"/>
              <w:rPr>
                <w:rFonts w:cs="Arial"/>
                <w:sz w:val="20"/>
              </w:rPr>
            </w:pPr>
            <w:r w:rsidRPr="00A966B6">
              <w:rPr>
                <w:rFonts w:cs="Arial"/>
                <w:sz w:val="20"/>
              </w:rPr>
              <w:t>4</w:t>
            </w:r>
          </w:p>
        </w:tc>
        <w:tc>
          <w:tcPr>
            <w:tcW w:w="992" w:type="dxa"/>
            <w:tcBorders>
              <w:top w:val="nil"/>
              <w:left w:val="nil"/>
              <w:bottom w:val="single" w:sz="4" w:space="0" w:color="auto"/>
              <w:right w:val="single" w:sz="4" w:space="0" w:color="auto"/>
            </w:tcBorders>
          </w:tcPr>
          <w:p w14:paraId="3628F302" w14:textId="77777777" w:rsidR="008E7D5D" w:rsidRPr="00A966B6" w:rsidRDefault="00961EB5" w:rsidP="00273168">
            <w:pPr>
              <w:spacing w:after="0" w:line="300" w:lineRule="exact"/>
              <w:jc w:val="center"/>
              <w:rPr>
                <w:rFonts w:cs="Arial"/>
                <w:sz w:val="20"/>
              </w:rPr>
            </w:pPr>
            <w:r w:rsidRPr="00A966B6">
              <w:rPr>
                <w:rFonts w:cs="Arial"/>
                <w:sz w:val="20"/>
              </w:rPr>
              <w:t>1</w:t>
            </w:r>
          </w:p>
        </w:tc>
        <w:tc>
          <w:tcPr>
            <w:tcW w:w="992" w:type="dxa"/>
            <w:tcBorders>
              <w:top w:val="nil"/>
              <w:left w:val="nil"/>
              <w:bottom w:val="single" w:sz="4" w:space="0" w:color="auto"/>
              <w:right w:val="single" w:sz="4" w:space="0" w:color="auto"/>
            </w:tcBorders>
          </w:tcPr>
          <w:p w14:paraId="5BFF530A" w14:textId="77777777" w:rsidR="008E7D5D" w:rsidRPr="00A966B6" w:rsidRDefault="005D12B6" w:rsidP="00273168">
            <w:pPr>
              <w:spacing w:after="0" w:line="300" w:lineRule="exact"/>
              <w:jc w:val="center"/>
              <w:rPr>
                <w:rFonts w:cs="Arial"/>
                <w:sz w:val="20"/>
              </w:rPr>
            </w:pPr>
            <w:r w:rsidRPr="00A966B6">
              <w:rPr>
                <w:rFonts w:cs="Arial"/>
                <w:sz w:val="20"/>
              </w:rPr>
              <w:t>0</w:t>
            </w:r>
          </w:p>
        </w:tc>
        <w:tc>
          <w:tcPr>
            <w:tcW w:w="992" w:type="dxa"/>
            <w:tcBorders>
              <w:top w:val="nil"/>
              <w:left w:val="nil"/>
              <w:bottom w:val="single" w:sz="4" w:space="0" w:color="auto"/>
              <w:right w:val="single" w:sz="4" w:space="0" w:color="auto"/>
            </w:tcBorders>
          </w:tcPr>
          <w:p w14:paraId="6D219320" w14:textId="77777777" w:rsidR="008E7D5D" w:rsidRPr="00A966B6" w:rsidRDefault="00CB7B91" w:rsidP="00273168">
            <w:pPr>
              <w:spacing w:after="0" w:line="300" w:lineRule="exact"/>
              <w:jc w:val="center"/>
              <w:rPr>
                <w:rFonts w:cs="Arial"/>
                <w:sz w:val="20"/>
              </w:rPr>
            </w:pPr>
            <w:r w:rsidRPr="00A966B6">
              <w:rPr>
                <w:rFonts w:cs="Arial"/>
                <w:sz w:val="20"/>
              </w:rPr>
              <w:t>--</w:t>
            </w:r>
          </w:p>
        </w:tc>
      </w:tr>
    </w:tbl>
    <w:p w14:paraId="3BA57255" w14:textId="77777777" w:rsidR="00CB57EE" w:rsidRPr="00CB57EE" w:rsidRDefault="00CB57EE" w:rsidP="001A78E0">
      <w:pPr>
        <w:spacing w:after="251" w:line="300" w:lineRule="exact"/>
        <w:jc w:val="both"/>
        <w:rPr>
          <w:rFonts w:cs="Arial"/>
          <w:i/>
          <w:sz w:val="16"/>
          <w:szCs w:val="24"/>
        </w:rPr>
      </w:pPr>
    </w:p>
    <w:p w14:paraId="692B2852" w14:textId="77777777" w:rsidR="001A78E0" w:rsidRPr="00A966B6" w:rsidRDefault="001A78E0" w:rsidP="001A78E0">
      <w:pPr>
        <w:spacing w:after="251" w:line="300" w:lineRule="exact"/>
        <w:jc w:val="both"/>
        <w:rPr>
          <w:rFonts w:cs="Arial"/>
          <w:szCs w:val="24"/>
        </w:rPr>
      </w:pPr>
      <w:r w:rsidRPr="00A966B6">
        <w:rPr>
          <w:rFonts w:cs="Arial"/>
          <w:i/>
          <w:szCs w:val="24"/>
        </w:rPr>
        <w:t xml:space="preserve">Tabulka č. 3 – </w:t>
      </w:r>
      <w:r w:rsidRPr="00A966B6">
        <w:rPr>
          <w:rFonts w:cs="Arial"/>
          <w:b/>
          <w:i/>
          <w:szCs w:val="24"/>
        </w:rPr>
        <w:t>Způsob ukončení trest</w:t>
      </w:r>
      <w:r w:rsidR="00133A7E" w:rsidRPr="00A966B6">
        <w:rPr>
          <w:rFonts w:cs="Arial"/>
          <w:b/>
          <w:i/>
          <w:szCs w:val="24"/>
        </w:rPr>
        <w:t>ních spisů napadlých v roce 2018</w:t>
      </w:r>
    </w:p>
    <w:tbl>
      <w:tblPr>
        <w:tblStyle w:val="Mkatabulky"/>
        <w:tblW w:w="9640" w:type="dxa"/>
        <w:tblInd w:w="-289" w:type="dxa"/>
        <w:tblLook w:val="04A0" w:firstRow="1" w:lastRow="0" w:firstColumn="1" w:lastColumn="0" w:noHBand="0" w:noVBand="1"/>
      </w:tblPr>
      <w:tblGrid>
        <w:gridCol w:w="7655"/>
        <w:gridCol w:w="1985"/>
      </w:tblGrid>
      <w:tr w:rsidR="00A966B6" w:rsidRPr="00A966B6" w14:paraId="7527A1E3" w14:textId="77777777" w:rsidTr="008139CE">
        <w:tc>
          <w:tcPr>
            <w:tcW w:w="7655" w:type="dxa"/>
          </w:tcPr>
          <w:p w14:paraId="37B6C541" w14:textId="77777777" w:rsidR="008139CE" w:rsidRPr="00A966B6" w:rsidRDefault="008139CE" w:rsidP="008139CE">
            <w:pPr>
              <w:spacing w:line="300" w:lineRule="exact"/>
              <w:rPr>
                <w:rFonts w:cs="Arial"/>
                <w:b/>
                <w:bCs/>
                <w:sz w:val="20"/>
              </w:rPr>
            </w:pPr>
            <w:r w:rsidRPr="00A966B6">
              <w:rPr>
                <w:rFonts w:cs="Arial"/>
                <w:b/>
                <w:bCs/>
                <w:sz w:val="20"/>
              </w:rPr>
              <w:t>Vyřízeno podle trestního řádu:</w:t>
            </w:r>
          </w:p>
        </w:tc>
        <w:tc>
          <w:tcPr>
            <w:tcW w:w="1985" w:type="dxa"/>
          </w:tcPr>
          <w:p w14:paraId="79BA24ED" w14:textId="77777777" w:rsidR="008139CE" w:rsidRPr="00A966B6" w:rsidRDefault="008139CE" w:rsidP="008139CE">
            <w:pPr>
              <w:spacing w:line="300" w:lineRule="exact"/>
              <w:jc w:val="center"/>
              <w:rPr>
                <w:rFonts w:cs="Arial"/>
                <w:b/>
                <w:bCs/>
                <w:sz w:val="20"/>
              </w:rPr>
            </w:pPr>
            <w:r w:rsidRPr="00A966B6">
              <w:rPr>
                <w:rFonts w:cs="Arial"/>
                <w:b/>
                <w:bCs/>
                <w:sz w:val="20"/>
              </w:rPr>
              <w:t>počet</w:t>
            </w:r>
          </w:p>
        </w:tc>
      </w:tr>
      <w:tr w:rsidR="00A966B6" w:rsidRPr="00A966B6" w14:paraId="46D7C0D2" w14:textId="77777777" w:rsidTr="008139CE">
        <w:tc>
          <w:tcPr>
            <w:tcW w:w="7655" w:type="dxa"/>
          </w:tcPr>
          <w:p w14:paraId="0C7A832B" w14:textId="77777777" w:rsidR="008139CE" w:rsidRPr="00A966B6" w:rsidRDefault="008139CE" w:rsidP="008139CE">
            <w:pPr>
              <w:spacing w:line="300" w:lineRule="exact"/>
              <w:rPr>
                <w:rFonts w:cs="Arial"/>
                <w:bCs/>
                <w:sz w:val="20"/>
              </w:rPr>
            </w:pPr>
            <w:r w:rsidRPr="00A966B6">
              <w:rPr>
                <w:rFonts w:cs="Arial"/>
                <w:bCs/>
                <w:sz w:val="20"/>
              </w:rPr>
              <w:t>§ 159a odst. 1</w:t>
            </w:r>
          </w:p>
        </w:tc>
        <w:tc>
          <w:tcPr>
            <w:tcW w:w="1985" w:type="dxa"/>
          </w:tcPr>
          <w:p w14:paraId="5306CC48" w14:textId="77777777" w:rsidR="008139CE" w:rsidRPr="00A966B6" w:rsidRDefault="00D97E45" w:rsidP="008139CE">
            <w:pPr>
              <w:spacing w:line="300" w:lineRule="exact"/>
              <w:jc w:val="center"/>
              <w:rPr>
                <w:rFonts w:cs="Arial"/>
                <w:bCs/>
                <w:sz w:val="20"/>
              </w:rPr>
            </w:pPr>
            <w:r w:rsidRPr="00A966B6">
              <w:rPr>
                <w:rFonts w:cs="Arial"/>
                <w:bCs/>
                <w:sz w:val="20"/>
              </w:rPr>
              <w:t>93</w:t>
            </w:r>
          </w:p>
        </w:tc>
      </w:tr>
      <w:tr w:rsidR="00A966B6" w:rsidRPr="00A966B6" w14:paraId="1DD7A5D0" w14:textId="77777777" w:rsidTr="008139CE">
        <w:tc>
          <w:tcPr>
            <w:tcW w:w="7655" w:type="dxa"/>
          </w:tcPr>
          <w:p w14:paraId="5E0D09E2" w14:textId="77777777" w:rsidR="008139CE" w:rsidRPr="00A966B6" w:rsidRDefault="008139CE" w:rsidP="008139CE">
            <w:pPr>
              <w:spacing w:line="300" w:lineRule="exact"/>
              <w:rPr>
                <w:rFonts w:cs="Arial"/>
                <w:bCs/>
                <w:sz w:val="20"/>
              </w:rPr>
            </w:pPr>
            <w:r w:rsidRPr="00A966B6">
              <w:rPr>
                <w:rFonts w:cs="Arial"/>
                <w:bCs/>
                <w:sz w:val="20"/>
              </w:rPr>
              <w:t>§ 159a odst. 1 písm. a)</w:t>
            </w:r>
          </w:p>
        </w:tc>
        <w:tc>
          <w:tcPr>
            <w:tcW w:w="1985" w:type="dxa"/>
          </w:tcPr>
          <w:p w14:paraId="35411BE3" w14:textId="77777777" w:rsidR="008139CE" w:rsidRPr="00A966B6" w:rsidRDefault="00D97E45" w:rsidP="008139CE">
            <w:pPr>
              <w:spacing w:line="300" w:lineRule="exact"/>
              <w:jc w:val="center"/>
              <w:rPr>
                <w:rFonts w:cs="Arial"/>
                <w:bCs/>
                <w:sz w:val="20"/>
              </w:rPr>
            </w:pPr>
            <w:r w:rsidRPr="00A966B6">
              <w:rPr>
                <w:rFonts w:cs="Arial"/>
                <w:bCs/>
                <w:sz w:val="20"/>
              </w:rPr>
              <w:t>4</w:t>
            </w:r>
          </w:p>
        </w:tc>
      </w:tr>
      <w:tr w:rsidR="00A966B6" w:rsidRPr="00A966B6" w14:paraId="204339ED" w14:textId="77777777" w:rsidTr="008139CE">
        <w:tc>
          <w:tcPr>
            <w:tcW w:w="7655" w:type="dxa"/>
          </w:tcPr>
          <w:p w14:paraId="7500E7F0" w14:textId="77777777" w:rsidR="008139CE" w:rsidRPr="00A966B6" w:rsidRDefault="008139CE" w:rsidP="008139CE">
            <w:pPr>
              <w:spacing w:line="300" w:lineRule="exact"/>
              <w:rPr>
                <w:rFonts w:cs="Arial"/>
                <w:bCs/>
                <w:sz w:val="20"/>
              </w:rPr>
            </w:pPr>
            <w:r w:rsidRPr="00A966B6">
              <w:rPr>
                <w:rFonts w:cs="Arial"/>
                <w:bCs/>
                <w:sz w:val="20"/>
              </w:rPr>
              <w:t>§ 159a odst. 1 písm. b)</w:t>
            </w:r>
          </w:p>
        </w:tc>
        <w:tc>
          <w:tcPr>
            <w:tcW w:w="1985" w:type="dxa"/>
          </w:tcPr>
          <w:p w14:paraId="3ECED80D" w14:textId="77777777" w:rsidR="008139CE" w:rsidRPr="00A966B6" w:rsidRDefault="00D97E45" w:rsidP="008139CE">
            <w:pPr>
              <w:spacing w:line="300" w:lineRule="exact"/>
              <w:jc w:val="center"/>
              <w:rPr>
                <w:rFonts w:cs="Arial"/>
                <w:bCs/>
                <w:sz w:val="20"/>
              </w:rPr>
            </w:pPr>
            <w:r w:rsidRPr="00A966B6">
              <w:rPr>
                <w:rFonts w:cs="Arial"/>
                <w:bCs/>
                <w:sz w:val="20"/>
              </w:rPr>
              <w:t>74</w:t>
            </w:r>
          </w:p>
        </w:tc>
      </w:tr>
      <w:tr w:rsidR="00A966B6" w:rsidRPr="00A966B6" w14:paraId="7369959E" w14:textId="77777777" w:rsidTr="008139CE">
        <w:tc>
          <w:tcPr>
            <w:tcW w:w="7655" w:type="dxa"/>
          </w:tcPr>
          <w:p w14:paraId="4E11EC59" w14:textId="77777777" w:rsidR="008139CE" w:rsidRPr="00A966B6" w:rsidRDefault="008139CE" w:rsidP="008139CE">
            <w:pPr>
              <w:spacing w:line="300" w:lineRule="exact"/>
              <w:rPr>
                <w:rFonts w:cs="Arial"/>
                <w:bCs/>
                <w:sz w:val="20"/>
              </w:rPr>
            </w:pPr>
            <w:r w:rsidRPr="00A966B6">
              <w:rPr>
                <w:rFonts w:cs="Arial"/>
                <w:bCs/>
                <w:sz w:val="20"/>
              </w:rPr>
              <w:t>§ 159a odst. 2</w:t>
            </w:r>
          </w:p>
        </w:tc>
        <w:tc>
          <w:tcPr>
            <w:tcW w:w="1985" w:type="dxa"/>
          </w:tcPr>
          <w:p w14:paraId="20A4F577" w14:textId="77777777" w:rsidR="00D97E45" w:rsidRPr="00A966B6" w:rsidRDefault="00D97E45" w:rsidP="00D97E45">
            <w:pPr>
              <w:spacing w:line="300" w:lineRule="exact"/>
              <w:jc w:val="center"/>
              <w:rPr>
                <w:rFonts w:cs="Arial"/>
                <w:bCs/>
                <w:sz w:val="20"/>
              </w:rPr>
            </w:pPr>
            <w:r w:rsidRPr="00A966B6">
              <w:rPr>
                <w:rFonts w:cs="Arial"/>
                <w:bCs/>
                <w:sz w:val="20"/>
              </w:rPr>
              <w:t>4</w:t>
            </w:r>
          </w:p>
        </w:tc>
      </w:tr>
      <w:tr w:rsidR="00A966B6" w:rsidRPr="00A966B6" w14:paraId="136A0440" w14:textId="77777777" w:rsidTr="008139CE">
        <w:tc>
          <w:tcPr>
            <w:tcW w:w="7655" w:type="dxa"/>
          </w:tcPr>
          <w:p w14:paraId="349DC1DD" w14:textId="77777777" w:rsidR="00D97E45" w:rsidRPr="00A966B6" w:rsidRDefault="00D97E45" w:rsidP="008139CE">
            <w:pPr>
              <w:spacing w:line="300" w:lineRule="exact"/>
              <w:rPr>
                <w:rFonts w:cs="Arial"/>
                <w:bCs/>
                <w:sz w:val="20"/>
              </w:rPr>
            </w:pPr>
            <w:r w:rsidRPr="00A966B6">
              <w:rPr>
                <w:rFonts w:cs="Arial"/>
                <w:bCs/>
                <w:sz w:val="20"/>
              </w:rPr>
              <w:t>§ 159a odst. 3</w:t>
            </w:r>
          </w:p>
        </w:tc>
        <w:tc>
          <w:tcPr>
            <w:tcW w:w="1985" w:type="dxa"/>
          </w:tcPr>
          <w:p w14:paraId="232311AE" w14:textId="77777777" w:rsidR="00D97E45" w:rsidRPr="00A966B6" w:rsidRDefault="00D97E45" w:rsidP="00D97E45">
            <w:pPr>
              <w:spacing w:line="300" w:lineRule="exact"/>
              <w:jc w:val="center"/>
              <w:rPr>
                <w:rFonts w:cs="Arial"/>
                <w:bCs/>
                <w:sz w:val="20"/>
              </w:rPr>
            </w:pPr>
            <w:r w:rsidRPr="00A966B6">
              <w:rPr>
                <w:rFonts w:cs="Arial"/>
                <w:bCs/>
                <w:sz w:val="20"/>
              </w:rPr>
              <w:t>1</w:t>
            </w:r>
          </w:p>
        </w:tc>
      </w:tr>
      <w:tr w:rsidR="00A966B6" w:rsidRPr="00A966B6" w14:paraId="7091BAD9" w14:textId="77777777" w:rsidTr="008139CE">
        <w:tc>
          <w:tcPr>
            <w:tcW w:w="7655" w:type="dxa"/>
          </w:tcPr>
          <w:p w14:paraId="6531BC07" w14:textId="77777777" w:rsidR="008139CE" w:rsidRPr="00A966B6" w:rsidRDefault="008139CE" w:rsidP="008139CE">
            <w:pPr>
              <w:spacing w:line="300" w:lineRule="exact"/>
              <w:rPr>
                <w:rFonts w:cs="Arial"/>
                <w:bCs/>
                <w:sz w:val="20"/>
              </w:rPr>
            </w:pPr>
            <w:r w:rsidRPr="00A966B6">
              <w:rPr>
                <w:rFonts w:cs="Arial"/>
                <w:bCs/>
                <w:sz w:val="20"/>
              </w:rPr>
              <w:t>§ 159a odst. 5</w:t>
            </w:r>
          </w:p>
        </w:tc>
        <w:tc>
          <w:tcPr>
            <w:tcW w:w="1985" w:type="dxa"/>
          </w:tcPr>
          <w:p w14:paraId="40073BE6" w14:textId="77777777" w:rsidR="008139CE" w:rsidRPr="00A966B6" w:rsidRDefault="00D97E45" w:rsidP="008139CE">
            <w:pPr>
              <w:spacing w:line="300" w:lineRule="exact"/>
              <w:jc w:val="center"/>
              <w:rPr>
                <w:rFonts w:cs="Arial"/>
                <w:bCs/>
                <w:sz w:val="20"/>
              </w:rPr>
            </w:pPr>
            <w:r w:rsidRPr="00A966B6">
              <w:rPr>
                <w:rFonts w:cs="Arial"/>
                <w:bCs/>
                <w:sz w:val="20"/>
              </w:rPr>
              <w:t>13</w:t>
            </w:r>
          </w:p>
        </w:tc>
      </w:tr>
      <w:tr w:rsidR="00A966B6" w:rsidRPr="00A966B6" w14:paraId="4284B691" w14:textId="77777777" w:rsidTr="008139CE">
        <w:tc>
          <w:tcPr>
            <w:tcW w:w="7655" w:type="dxa"/>
          </w:tcPr>
          <w:p w14:paraId="21B9FDEF" w14:textId="77777777" w:rsidR="008139CE" w:rsidRPr="00A966B6" w:rsidRDefault="008139CE" w:rsidP="008139CE">
            <w:pPr>
              <w:spacing w:line="300" w:lineRule="exact"/>
              <w:rPr>
                <w:rFonts w:cs="Arial"/>
                <w:bCs/>
                <w:sz w:val="20"/>
              </w:rPr>
            </w:pPr>
            <w:r w:rsidRPr="00A966B6">
              <w:rPr>
                <w:rFonts w:cs="Arial"/>
                <w:bCs/>
                <w:sz w:val="20"/>
              </w:rPr>
              <w:t>§ 172 odst. 1</w:t>
            </w:r>
          </w:p>
        </w:tc>
        <w:tc>
          <w:tcPr>
            <w:tcW w:w="1985" w:type="dxa"/>
          </w:tcPr>
          <w:p w14:paraId="774F9143" w14:textId="77777777" w:rsidR="008139CE" w:rsidRPr="00A966B6" w:rsidRDefault="00D97E45" w:rsidP="008139CE">
            <w:pPr>
              <w:spacing w:line="300" w:lineRule="exact"/>
              <w:jc w:val="center"/>
              <w:rPr>
                <w:rFonts w:cs="Arial"/>
                <w:bCs/>
                <w:sz w:val="20"/>
              </w:rPr>
            </w:pPr>
            <w:r w:rsidRPr="00A966B6">
              <w:rPr>
                <w:rFonts w:cs="Arial"/>
                <w:bCs/>
                <w:sz w:val="20"/>
              </w:rPr>
              <w:t>3</w:t>
            </w:r>
          </w:p>
        </w:tc>
      </w:tr>
      <w:tr w:rsidR="00A966B6" w:rsidRPr="00A966B6" w14:paraId="4F672A9C" w14:textId="77777777" w:rsidTr="008139CE">
        <w:tc>
          <w:tcPr>
            <w:tcW w:w="7655" w:type="dxa"/>
          </w:tcPr>
          <w:p w14:paraId="785CC2FF" w14:textId="77777777" w:rsidR="008139CE" w:rsidRPr="00A966B6" w:rsidRDefault="008139CE" w:rsidP="008139CE">
            <w:pPr>
              <w:spacing w:line="300" w:lineRule="exact"/>
              <w:rPr>
                <w:rFonts w:cs="Arial"/>
                <w:bCs/>
                <w:sz w:val="20"/>
              </w:rPr>
            </w:pPr>
            <w:r w:rsidRPr="00A966B6">
              <w:rPr>
                <w:rFonts w:cs="Arial"/>
                <w:bCs/>
                <w:sz w:val="20"/>
              </w:rPr>
              <w:t>§ 179c odst. 1</w:t>
            </w:r>
          </w:p>
        </w:tc>
        <w:tc>
          <w:tcPr>
            <w:tcW w:w="1985" w:type="dxa"/>
          </w:tcPr>
          <w:p w14:paraId="19B1A72D" w14:textId="77777777" w:rsidR="008139CE" w:rsidRPr="00A966B6" w:rsidRDefault="00D97E45" w:rsidP="008139CE">
            <w:pPr>
              <w:spacing w:line="300" w:lineRule="exact"/>
              <w:jc w:val="center"/>
              <w:rPr>
                <w:rFonts w:cs="Arial"/>
                <w:bCs/>
                <w:sz w:val="20"/>
              </w:rPr>
            </w:pPr>
            <w:r w:rsidRPr="00A966B6">
              <w:rPr>
                <w:rFonts w:cs="Arial"/>
                <w:bCs/>
                <w:sz w:val="20"/>
              </w:rPr>
              <w:t>5</w:t>
            </w:r>
          </w:p>
        </w:tc>
      </w:tr>
      <w:tr w:rsidR="00A966B6" w:rsidRPr="00A966B6" w14:paraId="76784907" w14:textId="77777777" w:rsidTr="008139CE">
        <w:tc>
          <w:tcPr>
            <w:tcW w:w="7655" w:type="dxa"/>
          </w:tcPr>
          <w:p w14:paraId="43DA8487" w14:textId="77777777" w:rsidR="008139CE" w:rsidRPr="00A966B6" w:rsidRDefault="008139CE" w:rsidP="008139CE">
            <w:pPr>
              <w:spacing w:line="300" w:lineRule="exact"/>
              <w:rPr>
                <w:rFonts w:cs="Arial"/>
                <w:bCs/>
                <w:sz w:val="20"/>
              </w:rPr>
            </w:pPr>
            <w:r w:rsidRPr="00A966B6">
              <w:rPr>
                <w:rFonts w:cs="Arial"/>
                <w:bCs/>
                <w:sz w:val="20"/>
              </w:rPr>
              <w:t>§ 307 odst. 1</w:t>
            </w:r>
          </w:p>
        </w:tc>
        <w:tc>
          <w:tcPr>
            <w:tcW w:w="1985" w:type="dxa"/>
          </w:tcPr>
          <w:p w14:paraId="311B116D" w14:textId="77777777" w:rsidR="008139CE" w:rsidRPr="00A966B6" w:rsidRDefault="00D97E45" w:rsidP="008139CE">
            <w:pPr>
              <w:spacing w:line="300" w:lineRule="exact"/>
              <w:jc w:val="center"/>
              <w:rPr>
                <w:rFonts w:cs="Arial"/>
                <w:bCs/>
                <w:sz w:val="20"/>
              </w:rPr>
            </w:pPr>
            <w:r w:rsidRPr="00A966B6">
              <w:rPr>
                <w:rFonts w:cs="Arial"/>
                <w:bCs/>
                <w:sz w:val="20"/>
              </w:rPr>
              <w:t>14</w:t>
            </w:r>
          </w:p>
        </w:tc>
      </w:tr>
      <w:tr w:rsidR="00A966B6" w:rsidRPr="00A966B6" w14:paraId="48DC4537" w14:textId="77777777" w:rsidTr="008139CE">
        <w:tc>
          <w:tcPr>
            <w:tcW w:w="7655" w:type="dxa"/>
          </w:tcPr>
          <w:p w14:paraId="7F9687DA" w14:textId="77777777" w:rsidR="008139CE" w:rsidRPr="00A966B6" w:rsidRDefault="008139CE" w:rsidP="008139CE">
            <w:pPr>
              <w:spacing w:line="300" w:lineRule="exact"/>
              <w:rPr>
                <w:rFonts w:cs="Arial"/>
                <w:bCs/>
                <w:sz w:val="20"/>
              </w:rPr>
            </w:pPr>
            <w:r w:rsidRPr="00A966B6">
              <w:rPr>
                <w:rFonts w:cs="Arial"/>
                <w:bCs/>
                <w:sz w:val="20"/>
              </w:rPr>
              <w:t>§ 166 odst. 3</w:t>
            </w:r>
          </w:p>
        </w:tc>
        <w:tc>
          <w:tcPr>
            <w:tcW w:w="1985" w:type="dxa"/>
          </w:tcPr>
          <w:p w14:paraId="4CE6AF34" w14:textId="77777777" w:rsidR="008139CE" w:rsidRPr="00A966B6" w:rsidRDefault="00D97E45" w:rsidP="008139CE">
            <w:pPr>
              <w:spacing w:line="300" w:lineRule="exact"/>
              <w:jc w:val="center"/>
              <w:rPr>
                <w:rFonts w:cs="Arial"/>
                <w:bCs/>
                <w:sz w:val="20"/>
              </w:rPr>
            </w:pPr>
            <w:r w:rsidRPr="00A966B6">
              <w:rPr>
                <w:rFonts w:cs="Arial"/>
                <w:bCs/>
                <w:sz w:val="20"/>
              </w:rPr>
              <w:t>36</w:t>
            </w:r>
          </w:p>
        </w:tc>
      </w:tr>
      <w:tr w:rsidR="00A966B6" w:rsidRPr="00A966B6" w14:paraId="52CDCEC0" w14:textId="77777777" w:rsidTr="008139CE">
        <w:tc>
          <w:tcPr>
            <w:tcW w:w="7655" w:type="dxa"/>
          </w:tcPr>
          <w:p w14:paraId="45583B54" w14:textId="77777777" w:rsidR="008139CE" w:rsidRPr="00A966B6" w:rsidRDefault="008139CE" w:rsidP="008139CE">
            <w:pPr>
              <w:spacing w:line="300" w:lineRule="exact"/>
              <w:rPr>
                <w:rFonts w:cs="Arial"/>
                <w:bCs/>
                <w:sz w:val="20"/>
              </w:rPr>
            </w:pPr>
            <w:r w:rsidRPr="00A966B6">
              <w:rPr>
                <w:rFonts w:cs="Arial"/>
                <w:bCs/>
                <w:sz w:val="20"/>
              </w:rPr>
              <w:t>vyřízeno jinak (předáno P ČR, předáno jinému orgánu, sloučeno)</w:t>
            </w:r>
          </w:p>
        </w:tc>
        <w:tc>
          <w:tcPr>
            <w:tcW w:w="1985" w:type="dxa"/>
          </w:tcPr>
          <w:p w14:paraId="64E8D204" w14:textId="77777777" w:rsidR="008139CE" w:rsidRPr="00A966B6" w:rsidRDefault="00D97E45" w:rsidP="008139CE">
            <w:pPr>
              <w:spacing w:line="300" w:lineRule="exact"/>
              <w:jc w:val="center"/>
              <w:rPr>
                <w:rFonts w:cs="Arial"/>
                <w:bCs/>
                <w:sz w:val="20"/>
              </w:rPr>
            </w:pPr>
            <w:r w:rsidRPr="00A966B6">
              <w:rPr>
                <w:rFonts w:cs="Arial"/>
                <w:bCs/>
                <w:sz w:val="20"/>
              </w:rPr>
              <w:t>34</w:t>
            </w:r>
          </w:p>
        </w:tc>
      </w:tr>
      <w:tr w:rsidR="00A966B6" w:rsidRPr="00A966B6" w14:paraId="395A854F" w14:textId="77777777" w:rsidTr="008139CE">
        <w:tc>
          <w:tcPr>
            <w:tcW w:w="7655" w:type="dxa"/>
          </w:tcPr>
          <w:p w14:paraId="3C8179C9" w14:textId="77777777" w:rsidR="008139CE" w:rsidRPr="00A966B6" w:rsidRDefault="00F235E1" w:rsidP="008139CE">
            <w:pPr>
              <w:spacing w:line="300" w:lineRule="exact"/>
              <w:rPr>
                <w:rFonts w:cs="Arial"/>
                <w:bCs/>
                <w:sz w:val="20"/>
              </w:rPr>
            </w:pPr>
            <w:r w:rsidRPr="00A966B6">
              <w:rPr>
                <w:rFonts w:cs="Arial"/>
                <w:bCs/>
                <w:sz w:val="20"/>
              </w:rPr>
              <w:t>N</w:t>
            </w:r>
            <w:r w:rsidR="008139CE" w:rsidRPr="00A966B6">
              <w:rPr>
                <w:rFonts w:cs="Arial"/>
                <w:bCs/>
                <w:sz w:val="20"/>
              </w:rPr>
              <w:t>eukončeno</w:t>
            </w:r>
            <w:r w:rsidRPr="00A966B6">
              <w:rPr>
                <w:rFonts w:cs="Arial"/>
                <w:bCs/>
                <w:sz w:val="20"/>
              </w:rPr>
              <w:t xml:space="preserve"> (stav k 15. 1. 2019)</w:t>
            </w:r>
          </w:p>
        </w:tc>
        <w:tc>
          <w:tcPr>
            <w:tcW w:w="1985" w:type="dxa"/>
          </w:tcPr>
          <w:p w14:paraId="4E29EC49" w14:textId="77777777" w:rsidR="008139CE" w:rsidRPr="00A966B6" w:rsidRDefault="008A475F" w:rsidP="008139CE">
            <w:pPr>
              <w:spacing w:line="300" w:lineRule="exact"/>
              <w:jc w:val="center"/>
              <w:rPr>
                <w:rFonts w:cs="Arial"/>
                <w:bCs/>
                <w:sz w:val="20"/>
              </w:rPr>
            </w:pPr>
            <w:r w:rsidRPr="00A966B6">
              <w:rPr>
                <w:rFonts w:cs="Arial"/>
                <w:bCs/>
                <w:sz w:val="20"/>
              </w:rPr>
              <w:t>179</w:t>
            </w:r>
          </w:p>
        </w:tc>
      </w:tr>
      <w:tr w:rsidR="00A966B6" w:rsidRPr="00A966B6" w14:paraId="0D915890" w14:textId="77777777" w:rsidTr="008139CE">
        <w:tc>
          <w:tcPr>
            <w:tcW w:w="7655" w:type="dxa"/>
          </w:tcPr>
          <w:p w14:paraId="60B90AE7" w14:textId="77777777" w:rsidR="008139CE" w:rsidRPr="00A966B6" w:rsidRDefault="008139CE" w:rsidP="008139CE">
            <w:pPr>
              <w:spacing w:line="300" w:lineRule="exact"/>
              <w:rPr>
                <w:rFonts w:cs="Arial"/>
                <w:b/>
                <w:bCs/>
                <w:sz w:val="20"/>
              </w:rPr>
            </w:pPr>
            <w:r w:rsidRPr="00A966B6">
              <w:rPr>
                <w:rFonts w:cs="Arial"/>
                <w:b/>
                <w:bCs/>
                <w:sz w:val="20"/>
              </w:rPr>
              <w:t>CELKEM</w:t>
            </w:r>
          </w:p>
        </w:tc>
        <w:tc>
          <w:tcPr>
            <w:tcW w:w="1985" w:type="dxa"/>
          </w:tcPr>
          <w:p w14:paraId="35E42CA4" w14:textId="77777777" w:rsidR="008139CE" w:rsidRPr="00A966B6" w:rsidRDefault="008A475F" w:rsidP="008139CE">
            <w:pPr>
              <w:spacing w:line="300" w:lineRule="exact"/>
              <w:jc w:val="center"/>
              <w:rPr>
                <w:rFonts w:cs="Arial"/>
                <w:b/>
                <w:bCs/>
                <w:sz w:val="20"/>
              </w:rPr>
            </w:pPr>
            <w:r w:rsidRPr="00A966B6">
              <w:rPr>
                <w:rFonts w:cs="Arial"/>
                <w:b/>
                <w:bCs/>
                <w:sz w:val="20"/>
              </w:rPr>
              <w:t>460</w:t>
            </w:r>
          </w:p>
        </w:tc>
      </w:tr>
    </w:tbl>
    <w:p w14:paraId="1BFF3CA5" w14:textId="77777777" w:rsidR="001A78E0" w:rsidRPr="00A966B6" w:rsidRDefault="001A78E0" w:rsidP="00B840BB">
      <w:pPr>
        <w:spacing w:after="251" w:line="300" w:lineRule="exact"/>
        <w:jc w:val="both"/>
        <w:rPr>
          <w:rFonts w:cs="Arial"/>
          <w:szCs w:val="24"/>
        </w:rPr>
      </w:pPr>
    </w:p>
    <w:p w14:paraId="357E6512" w14:textId="32CFDADF" w:rsidR="00CC50A0" w:rsidRPr="00A966B6" w:rsidRDefault="00BE6EB0" w:rsidP="00CC50A0">
      <w:pPr>
        <w:spacing w:after="251" w:line="300" w:lineRule="exact"/>
        <w:jc w:val="both"/>
        <w:rPr>
          <w:rFonts w:cs="Arial"/>
          <w:szCs w:val="24"/>
        </w:rPr>
      </w:pPr>
      <w:r w:rsidRPr="00A966B6">
        <w:rPr>
          <w:rFonts w:cs="Arial"/>
          <w:szCs w:val="24"/>
        </w:rPr>
        <w:t>GIBS v roce 201</w:t>
      </w:r>
      <w:r w:rsidR="00D24FC4" w:rsidRPr="00A966B6">
        <w:rPr>
          <w:rFonts w:cs="Arial"/>
          <w:szCs w:val="24"/>
        </w:rPr>
        <w:t>8</w:t>
      </w:r>
      <w:r w:rsidRPr="00A966B6">
        <w:rPr>
          <w:rFonts w:cs="Arial"/>
          <w:szCs w:val="24"/>
        </w:rPr>
        <w:t xml:space="preserve"> </w:t>
      </w:r>
      <w:r w:rsidR="00D24FC4" w:rsidRPr="00A966B6">
        <w:rPr>
          <w:rFonts w:cs="Arial"/>
          <w:szCs w:val="24"/>
        </w:rPr>
        <w:t>ne</w:t>
      </w:r>
      <w:r w:rsidRPr="00A966B6">
        <w:rPr>
          <w:rFonts w:cs="Arial"/>
          <w:szCs w:val="24"/>
        </w:rPr>
        <w:t xml:space="preserve">stíhala </w:t>
      </w:r>
      <w:r w:rsidR="00D24FC4" w:rsidRPr="00A966B6">
        <w:rPr>
          <w:rFonts w:cs="Arial"/>
          <w:szCs w:val="24"/>
        </w:rPr>
        <w:t xml:space="preserve">žádnou </w:t>
      </w:r>
      <w:r w:rsidRPr="00A966B6">
        <w:rPr>
          <w:rFonts w:cs="Arial"/>
          <w:szCs w:val="24"/>
        </w:rPr>
        <w:t>právnickou</w:t>
      </w:r>
      <w:r w:rsidR="00923F24" w:rsidRPr="00A966B6">
        <w:rPr>
          <w:rFonts w:cs="Arial"/>
          <w:szCs w:val="24"/>
        </w:rPr>
        <w:t xml:space="preserve"> osobu</w:t>
      </w:r>
      <w:r w:rsidR="009B2899" w:rsidRPr="00A966B6">
        <w:rPr>
          <w:rFonts w:cs="Arial"/>
          <w:szCs w:val="24"/>
        </w:rPr>
        <w:t>.</w:t>
      </w:r>
      <w:r w:rsidRPr="00A966B6">
        <w:rPr>
          <w:rFonts w:cs="Arial"/>
          <w:szCs w:val="24"/>
        </w:rPr>
        <w:t xml:space="preserve"> </w:t>
      </w:r>
      <w:r w:rsidR="00CC50A0" w:rsidRPr="00A966B6">
        <w:rPr>
          <w:rFonts w:cs="Arial"/>
          <w:szCs w:val="24"/>
        </w:rPr>
        <w:t xml:space="preserve">Od vzniku GIBS </w:t>
      </w:r>
      <w:r w:rsidR="00D24FC4" w:rsidRPr="00A966B6">
        <w:rPr>
          <w:rFonts w:cs="Arial"/>
          <w:szCs w:val="24"/>
        </w:rPr>
        <w:t>do současné doby byly stíhány pouze dvě právnické osoby</w:t>
      </w:r>
      <w:r w:rsidR="00CC50A0" w:rsidRPr="00A966B6">
        <w:rPr>
          <w:rFonts w:cs="Arial"/>
          <w:szCs w:val="24"/>
        </w:rPr>
        <w:t>. To je dáno zejména tím, že právnické osoby nespadají primárně do kompetence GIBS dle ustanovení § 2 odst. 1</w:t>
      </w:r>
      <w:r w:rsidR="008B76C0" w:rsidRPr="00A966B6">
        <w:rPr>
          <w:rFonts w:cs="Arial"/>
          <w:szCs w:val="24"/>
        </w:rPr>
        <w:t xml:space="preserve"> a</w:t>
      </w:r>
      <w:r w:rsidR="00DA02A5" w:rsidRPr="00A966B6">
        <w:rPr>
          <w:rFonts w:cs="Arial"/>
          <w:szCs w:val="24"/>
        </w:rPr>
        <w:t xml:space="preserve"> </w:t>
      </w:r>
      <w:r w:rsidR="00CC50A0" w:rsidRPr="00A966B6">
        <w:rPr>
          <w:rFonts w:cs="Arial"/>
          <w:szCs w:val="24"/>
        </w:rPr>
        <w:t xml:space="preserve">2 zákona o GIBS. S odkazem na ustanovení § 6 odst. 1 písm. a) zákona č. 418/2011 Sb., </w:t>
      </w:r>
      <w:r w:rsidR="001C2CCC" w:rsidRPr="00A966B6">
        <w:rPr>
          <w:rFonts w:cs="Arial"/>
          <w:szCs w:val="24"/>
        </w:rPr>
        <w:br/>
      </w:r>
      <w:r w:rsidR="00CC50A0" w:rsidRPr="00A966B6">
        <w:rPr>
          <w:rFonts w:cs="Arial"/>
        </w:rPr>
        <w:t>o trestní odpovědnosti právnických osob a řízení proti nim</w:t>
      </w:r>
      <w:r w:rsidR="00CC50A0" w:rsidRPr="00A966B6">
        <w:rPr>
          <w:rFonts w:cs="Arial"/>
          <w:szCs w:val="24"/>
        </w:rPr>
        <w:t>, které jednoznačně stanovuje vyloučení Č</w:t>
      </w:r>
      <w:r w:rsidR="00CC145C" w:rsidRPr="00A966B6">
        <w:rPr>
          <w:rFonts w:cs="Arial"/>
          <w:szCs w:val="24"/>
        </w:rPr>
        <w:t>R</w:t>
      </w:r>
      <w:r w:rsidR="00CC50A0" w:rsidRPr="00A966B6">
        <w:rPr>
          <w:rFonts w:cs="Arial"/>
          <w:szCs w:val="24"/>
        </w:rPr>
        <w:t xml:space="preserve"> z odpovědnosti za trestný čin, nelze</w:t>
      </w:r>
      <w:r w:rsidR="00CC145C" w:rsidRPr="00A966B6">
        <w:rPr>
          <w:rFonts w:cs="Arial"/>
          <w:szCs w:val="24"/>
        </w:rPr>
        <w:t xml:space="preserve"> </w:t>
      </w:r>
      <w:r w:rsidR="00CC50A0" w:rsidRPr="00A966B6">
        <w:rPr>
          <w:rFonts w:cs="Arial"/>
          <w:szCs w:val="24"/>
        </w:rPr>
        <w:t>o problematice trestní odpovědnosti právnických osob hovořit jako o oblasti, která si zasluhuje z pohledu GIBS vyšší pozornost.</w:t>
      </w:r>
      <w:r w:rsidR="00142478" w:rsidRPr="00A966B6">
        <w:rPr>
          <w:rFonts w:cs="Arial"/>
          <w:szCs w:val="24"/>
        </w:rPr>
        <w:t xml:space="preserve"> </w:t>
      </w:r>
      <w:r w:rsidR="00142478" w:rsidRPr="00A966B6">
        <w:rPr>
          <w:rFonts w:cs="Arial"/>
        </w:rPr>
        <w:t>Trestní stíhání právnických osob je odůvodněno zpravidla spolupachatelstvím nebo různými formami účastenství v rámci vedeného trestního řízení, tedy dle ustanovení § 23 a ust</w:t>
      </w:r>
      <w:r w:rsidR="00DA02A5" w:rsidRPr="00A966B6">
        <w:rPr>
          <w:rFonts w:cs="Arial"/>
        </w:rPr>
        <w:t>ano</w:t>
      </w:r>
      <w:r w:rsidR="00142478" w:rsidRPr="00A966B6">
        <w:rPr>
          <w:rFonts w:cs="Arial"/>
        </w:rPr>
        <w:t>vení § 24 odst. 1,</w:t>
      </w:r>
      <w:r w:rsidR="00CC145C" w:rsidRPr="00A966B6">
        <w:rPr>
          <w:rFonts w:cs="Arial"/>
        </w:rPr>
        <w:t xml:space="preserve"> </w:t>
      </w:r>
      <w:r w:rsidR="00142478" w:rsidRPr="00A966B6">
        <w:rPr>
          <w:rFonts w:cs="Arial"/>
        </w:rPr>
        <w:t>písm. a</w:t>
      </w:r>
      <w:r w:rsidR="008B76C0" w:rsidRPr="00A966B6">
        <w:rPr>
          <w:rFonts w:cs="Arial"/>
        </w:rPr>
        <w:t>)</w:t>
      </w:r>
      <w:r w:rsidR="00457DC6">
        <w:rPr>
          <w:rFonts w:cs="Arial"/>
        </w:rPr>
        <w:t xml:space="preserve"> až</w:t>
      </w:r>
      <w:r w:rsidR="00491CEB">
        <w:rPr>
          <w:rFonts w:cs="Arial"/>
        </w:rPr>
        <w:t xml:space="preserve"> c) trestního zákoníku.</w:t>
      </w:r>
    </w:p>
    <w:p w14:paraId="4CF82207" w14:textId="7E30F416" w:rsidR="00B840BB" w:rsidRPr="00A966B6" w:rsidRDefault="00B840BB" w:rsidP="00B840BB">
      <w:pPr>
        <w:spacing w:after="251" w:line="300" w:lineRule="exact"/>
        <w:jc w:val="both"/>
        <w:rPr>
          <w:rFonts w:cs="Arial"/>
          <w:szCs w:val="24"/>
        </w:rPr>
      </w:pPr>
      <w:r w:rsidRPr="00A966B6">
        <w:rPr>
          <w:rFonts w:cs="Arial"/>
          <w:szCs w:val="24"/>
        </w:rPr>
        <w:t xml:space="preserve">GIBS dále vedla </w:t>
      </w:r>
      <w:r w:rsidR="000A4D22" w:rsidRPr="00A966B6">
        <w:rPr>
          <w:rFonts w:cs="Arial"/>
          <w:szCs w:val="24"/>
        </w:rPr>
        <w:t>16</w:t>
      </w:r>
      <w:r w:rsidR="00923F24" w:rsidRPr="00A966B6">
        <w:rPr>
          <w:rFonts w:cs="Arial"/>
          <w:szCs w:val="24"/>
        </w:rPr>
        <w:t>75</w:t>
      </w:r>
      <w:r w:rsidR="000A4D22" w:rsidRPr="00A966B6">
        <w:rPr>
          <w:rFonts w:cs="Arial"/>
          <w:szCs w:val="24"/>
        </w:rPr>
        <w:t xml:space="preserve"> (+3</w:t>
      </w:r>
      <w:r w:rsidR="00923F24" w:rsidRPr="00A966B6">
        <w:rPr>
          <w:rFonts w:cs="Arial"/>
          <w:szCs w:val="24"/>
        </w:rPr>
        <w:t>23</w:t>
      </w:r>
      <w:r w:rsidR="000A4D22" w:rsidRPr="00A966B6">
        <w:rPr>
          <w:rFonts w:cs="Arial"/>
          <w:szCs w:val="24"/>
        </w:rPr>
        <w:t>)</w:t>
      </w:r>
      <w:r w:rsidRPr="00A966B6">
        <w:rPr>
          <w:rFonts w:cs="Arial"/>
          <w:szCs w:val="24"/>
        </w:rPr>
        <w:t xml:space="preserve"> spisů v rámci šetření dle zákona o GIBS, přičemž v</w:t>
      </w:r>
      <w:r w:rsidR="000A4D22" w:rsidRPr="00A966B6">
        <w:rPr>
          <w:rFonts w:cs="Arial"/>
          <w:szCs w:val="24"/>
        </w:rPr>
        <w:t> 43 (-11)</w:t>
      </w:r>
      <w:r w:rsidRPr="00A966B6">
        <w:rPr>
          <w:rFonts w:cs="Arial"/>
          <w:szCs w:val="24"/>
        </w:rPr>
        <w:t xml:space="preserve"> případech byl spisový materiál postoupen příslušnému služebnímu funkcionáři</w:t>
      </w:r>
      <w:r w:rsidR="00883448">
        <w:rPr>
          <w:rFonts w:cs="Arial"/>
          <w:szCs w:val="24"/>
        </w:rPr>
        <w:t xml:space="preserve"> k posouzení možného kázeňského přestupku</w:t>
      </w:r>
      <w:r w:rsidRPr="00A966B6">
        <w:rPr>
          <w:rFonts w:cs="Arial"/>
          <w:szCs w:val="24"/>
        </w:rPr>
        <w:t xml:space="preserve">. </w:t>
      </w:r>
    </w:p>
    <w:p w14:paraId="663E531D" w14:textId="5BEBB6C7" w:rsidR="00B840BB" w:rsidRPr="00A966B6" w:rsidRDefault="00B840BB" w:rsidP="00CB57EE">
      <w:pPr>
        <w:pStyle w:val="Nadpis2"/>
        <w:spacing w:after="251" w:line="300" w:lineRule="exact"/>
      </w:pPr>
      <w:bookmarkStart w:id="106" w:name="_Toc490818785"/>
      <w:bookmarkStart w:id="107" w:name="_Toc490818813"/>
      <w:bookmarkStart w:id="108" w:name="_Toc2085164"/>
      <w:bookmarkStart w:id="109" w:name="_Toc2682546"/>
      <w:bookmarkEnd w:id="106"/>
      <w:bookmarkEnd w:id="107"/>
      <w:r w:rsidRPr="00A966B6">
        <w:t>Sledované problematiky protiprávních jednání</w:t>
      </w:r>
      <w:bookmarkEnd w:id="108"/>
      <w:bookmarkEnd w:id="109"/>
    </w:p>
    <w:p w14:paraId="000760F2" w14:textId="5885F760" w:rsidR="00B840BB" w:rsidRPr="00A966B6" w:rsidRDefault="00B840BB" w:rsidP="00B840BB">
      <w:pPr>
        <w:spacing w:after="251" w:line="300" w:lineRule="exact"/>
        <w:jc w:val="both"/>
        <w:rPr>
          <w:rFonts w:cs="Arial"/>
          <w:szCs w:val="24"/>
        </w:rPr>
      </w:pPr>
      <w:r w:rsidRPr="00A966B6">
        <w:rPr>
          <w:rFonts w:cs="Arial"/>
          <w:szCs w:val="24"/>
        </w:rPr>
        <w:t>Určitým typům protiprávního jednání v BS věnuje GI</w:t>
      </w:r>
      <w:r w:rsidR="008B4027" w:rsidRPr="00A966B6">
        <w:rPr>
          <w:rFonts w:cs="Arial"/>
          <w:szCs w:val="24"/>
        </w:rPr>
        <w:t>BS zvýšenou pozornost. Soustřeďuje</w:t>
      </w:r>
      <w:r w:rsidRPr="00A966B6">
        <w:rPr>
          <w:rFonts w:cs="Arial"/>
          <w:szCs w:val="24"/>
        </w:rPr>
        <w:t xml:space="preserve"> se na příčiny, které k jejich spáchání vedly, a na okolnosti, které je v BS doprovázejí. </w:t>
      </w:r>
      <w:r w:rsidR="00EF6E44">
        <w:rPr>
          <w:rFonts w:cs="Arial"/>
          <w:szCs w:val="24"/>
        </w:rPr>
        <w:t>Shromažďuje také meritorní rozhodnutí ve věci, která by mohla být následně zevšeo</w:t>
      </w:r>
      <w:r w:rsidR="00457DC6">
        <w:rPr>
          <w:rFonts w:cs="Arial"/>
          <w:szCs w:val="24"/>
        </w:rPr>
        <w:t>becněna a použita při prověřování</w:t>
      </w:r>
      <w:r w:rsidR="00EF6E44">
        <w:rPr>
          <w:rFonts w:cs="Arial"/>
          <w:szCs w:val="24"/>
        </w:rPr>
        <w:t xml:space="preserve"> obdobných případů.</w:t>
      </w:r>
    </w:p>
    <w:p w14:paraId="361EDC7C" w14:textId="77777777" w:rsidR="00B840BB" w:rsidRPr="00A966B6" w:rsidRDefault="00B840BB" w:rsidP="00B840BB">
      <w:pPr>
        <w:spacing w:after="251" w:line="300" w:lineRule="exact"/>
        <w:jc w:val="both"/>
        <w:rPr>
          <w:rFonts w:cs="Arial"/>
          <w:b/>
          <w:szCs w:val="24"/>
        </w:rPr>
      </w:pPr>
      <w:r w:rsidRPr="00A966B6">
        <w:rPr>
          <w:rFonts w:cs="Arial"/>
          <w:b/>
          <w:szCs w:val="24"/>
        </w:rPr>
        <w:t>Trestná činnost v oblasti korupčního jednání</w:t>
      </w:r>
    </w:p>
    <w:p w14:paraId="58FD6035" w14:textId="77777777" w:rsidR="00B840BB" w:rsidRPr="00A966B6" w:rsidRDefault="00B840BB" w:rsidP="00B840BB">
      <w:pPr>
        <w:spacing w:after="251" w:line="300" w:lineRule="exact"/>
        <w:jc w:val="both"/>
        <w:rPr>
          <w:rFonts w:cs="Arial"/>
          <w:szCs w:val="24"/>
        </w:rPr>
      </w:pPr>
      <w:r w:rsidRPr="00A966B6">
        <w:rPr>
          <w:rFonts w:cs="Arial"/>
          <w:szCs w:val="24"/>
        </w:rPr>
        <w:t>V roce 201</w:t>
      </w:r>
      <w:r w:rsidR="00AC402D" w:rsidRPr="00A966B6">
        <w:rPr>
          <w:rFonts w:cs="Arial"/>
          <w:szCs w:val="24"/>
        </w:rPr>
        <w:t>8</w:t>
      </w:r>
      <w:r w:rsidRPr="00A966B6">
        <w:rPr>
          <w:rFonts w:cs="Arial"/>
          <w:szCs w:val="24"/>
        </w:rPr>
        <w:t xml:space="preserve"> GIBS zdokumentovala celkem </w:t>
      </w:r>
      <w:r w:rsidR="00DB1B1B" w:rsidRPr="00A966B6">
        <w:rPr>
          <w:rFonts w:cs="Arial"/>
          <w:szCs w:val="24"/>
        </w:rPr>
        <w:t>22</w:t>
      </w:r>
      <w:r w:rsidRPr="00A966B6">
        <w:rPr>
          <w:rFonts w:cs="Arial"/>
          <w:szCs w:val="24"/>
        </w:rPr>
        <w:t xml:space="preserve"> (</w:t>
      </w:r>
      <w:r w:rsidR="00DB1B1B" w:rsidRPr="00A966B6">
        <w:rPr>
          <w:rFonts w:cs="Arial"/>
          <w:szCs w:val="24"/>
        </w:rPr>
        <w:t>-34</w:t>
      </w:r>
      <w:r w:rsidRPr="00A966B6">
        <w:rPr>
          <w:rFonts w:cs="Arial"/>
          <w:szCs w:val="24"/>
        </w:rPr>
        <w:t xml:space="preserve">) trestných činů (dále jen „TČ“) vykazujících znaky korupčního jednání. Trestní stíhání bylo zahájeno vůči celkem </w:t>
      </w:r>
      <w:r w:rsidR="00DB1B1B" w:rsidRPr="00A966B6">
        <w:rPr>
          <w:rFonts w:cs="Arial"/>
          <w:szCs w:val="24"/>
        </w:rPr>
        <w:t xml:space="preserve">15 </w:t>
      </w:r>
      <w:r w:rsidRPr="00A966B6">
        <w:rPr>
          <w:rFonts w:cs="Arial"/>
          <w:szCs w:val="24"/>
        </w:rPr>
        <w:t>(</w:t>
      </w:r>
      <w:r w:rsidR="00DB1B1B" w:rsidRPr="00A966B6">
        <w:rPr>
          <w:rFonts w:cs="Arial"/>
          <w:szCs w:val="24"/>
        </w:rPr>
        <w:t>-11</w:t>
      </w:r>
      <w:r w:rsidRPr="00A966B6">
        <w:rPr>
          <w:rFonts w:cs="Arial"/>
          <w:szCs w:val="24"/>
        </w:rPr>
        <w:t>) osobám. Z toho se jednalo o 5 (</w:t>
      </w:r>
      <w:r w:rsidR="00DB1B1B" w:rsidRPr="00A966B6">
        <w:rPr>
          <w:rFonts w:cs="Arial"/>
          <w:szCs w:val="24"/>
        </w:rPr>
        <w:t>0</w:t>
      </w:r>
      <w:r w:rsidRPr="00A966B6">
        <w:rPr>
          <w:rFonts w:cs="Arial"/>
          <w:szCs w:val="24"/>
        </w:rPr>
        <w:t xml:space="preserve">) příslušníků P ČR, </w:t>
      </w:r>
      <w:r w:rsidR="00DB1B1B" w:rsidRPr="00A966B6">
        <w:rPr>
          <w:rFonts w:cs="Arial"/>
          <w:szCs w:val="24"/>
        </w:rPr>
        <w:t xml:space="preserve">1 </w:t>
      </w:r>
      <w:r w:rsidR="001775F6" w:rsidRPr="00A966B6">
        <w:rPr>
          <w:rFonts w:cs="Arial"/>
          <w:szCs w:val="24"/>
        </w:rPr>
        <w:t>(+1) zaměstnance P ČR</w:t>
      </w:r>
      <w:r w:rsidR="00DB1B1B" w:rsidRPr="00A966B6">
        <w:rPr>
          <w:rFonts w:cs="Arial"/>
          <w:szCs w:val="24"/>
        </w:rPr>
        <w:t xml:space="preserve">, </w:t>
      </w:r>
      <w:r w:rsidR="001775F6" w:rsidRPr="00A966B6">
        <w:rPr>
          <w:rFonts w:cs="Arial"/>
          <w:szCs w:val="24"/>
        </w:rPr>
        <w:t xml:space="preserve">žádného </w:t>
      </w:r>
      <w:r w:rsidRPr="00A966B6">
        <w:rPr>
          <w:rFonts w:cs="Arial"/>
          <w:szCs w:val="24"/>
        </w:rPr>
        <w:t>(</w:t>
      </w:r>
      <w:r w:rsidR="001775F6" w:rsidRPr="00A966B6">
        <w:rPr>
          <w:rFonts w:cs="Arial"/>
          <w:szCs w:val="24"/>
        </w:rPr>
        <w:t>-2</w:t>
      </w:r>
      <w:r w:rsidRPr="00A966B6">
        <w:rPr>
          <w:rFonts w:cs="Arial"/>
          <w:szCs w:val="24"/>
        </w:rPr>
        <w:t>)</w:t>
      </w:r>
      <w:r w:rsidR="001775F6" w:rsidRPr="00A966B6">
        <w:rPr>
          <w:rFonts w:cs="Arial"/>
          <w:szCs w:val="24"/>
        </w:rPr>
        <w:t xml:space="preserve"> příslušníka</w:t>
      </w:r>
      <w:r w:rsidRPr="00A966B6">
        <w:rPr>
          <w:rFonts w:cs="Arial"/>
          <w:szCs w:val="24"/>
        </w:rPr>
        <w:t xml:space="preserve"> VS ČR, </w:t>
      </w:r>
      <w:r w:rsidR="001775F6" w:rsidRPr="00A966B6">
        <w:rPr>
          <w:rFonts w:cs="Arial"/>
          <w:szCs w:val="24"/>
        </w:rPr>
        <w:t>1</w:t>
      </w:r>
      <w:r w:rsidRPr="00A966B6">
        <w:rPr>
          <w:rFonts w:cs="Arial"/>
          <w:szCs w:val="24"/>
        </w:rPr>
        <w:t xml:space="preserve"> (</w:t>
      </w:r>
      <w:r w:rsidR="001775F6" w:rsidRPr="00A966B6">
        <w:rPr>
          <w:rFonts w:cs="Arial"/>
          <w:szCs w:val="24"/>
        </w:rPr>
        <w:t>-7</w:t>
      </w:r>
      <w:r w:rsidRPr="00A966B6">
        <w:rPr>
          <w:rFonts w:cs="Arial"/>
          <w:szCs w:val="24"/>
        </w:rPr>
        <w:t>) příslušník</w:t>
      </w:r>
      <w:r w:rsidR="001775F6" w:rsidRPr="00A966B6">
        <w:rPr>
          <w:rFonts w:cs="Arial"/>
          <w:szCs w:val="24"/>
        </w:rPr>
        <w:t>a</w:t>
      </w:r>
      <w:r w:rsidRPr="00A966B6">
        <w:rPr>
          <w:rFonts w:cs="Arial"/>
          <w:szCs w:val="24"/>
        </w:rPr>
        <w:t xml:space="preserve"> CS</w:t>
      </w:r>
      <w:r w:rsidR="001775F6" w:rsidRPr="00A966B6">
        <w:rPr>
          <w:rFonts w:cs="Arial"/>
          <w:szCs w:val="24"/>
        </w:rPr>
        <w:t xml:space="preserve"> ČR, 1 (+1) zaměstnance CS ČR</w:t>
      </w:r>
      <w:r w:rsidRPr="00A966B6">
        <w:rPr>
          <w:rFonts w:cs="Arial"/>
          <w:szCs w:val="24"/>
        </w:rPr>
        <w:t xml:space="preserve"> a </w:t>
      </w:r>
      <w:r w:rsidR="001775F6" w:rsidRPr="00A966B6">
        <w:rPr>
          <w:rFonts w:cs="Arial"/>
          <w:szCs w:val="24"/>
        </w:rPr>
        <w:t>7</w:t>
      </w:r>
      <w:r w:rsidRPr="00A966B6">
        <w:rPr>
          <w:rFonts w:cs="Arial"/>
          <w:szCs w:val="24"/>
        </w:rPr>
        <w:t xml:space="preserve"> (</w:t>
      </w:r>
      <w:r w:rsidR="001775F6" w:rsidRPr="00A966B6">
        <w:rPr>
          <w:rFonts w:cs="Arial"/>
          <w:szCs w:val="24"/>
        </w:rPr>
        <w:t>-4</w:t>
      </w:r>
      <w:r w:rsidRPr="00A966B6">
        <w:rPr>
          <w:rFonts w:cs="Arial"/>
          <w:szCs w:val="24"/>
        </w:rPr>
        <w:t>) civilních osob, jejichž TČ souvisely s trestnou činností příslušníků BS v působnosti GIBS.</w:t>
      </w:r>
    </w:p>
    <w:p w14:paraId="0B60AC98" w14:textId="77777777" w:rsidR="00B840BB" w:rsidRPr="00A966B6" w:rsidRDefault="00B840BB" w:rsidP="00B840BB">
      <w:pPr>
        <w:spacing w:after="251" w:line="300" w:lineRule="exact"/>
        <w:jc w:val="both"/>
        <w:rPr>
          <w:rFonts w:cs="Arial"/>
          <w:szCs w:val="24"/>
        </w:rPr>
      </w:pPr>
      <w:r w:rsidRPr="00A966B6">
        <w:rPr>
          <w:rFonts w:cs="Arial"/>
          <w:szCs w:val="24"/>
        </w:rPr>
        <w:t>K nejčastějším formám korupce v BS i nadále patří následující:</w:t>
      </w:r>
    </w:p>
    <w:p w14:paraId="16CA06CF" w14:textId="34D282F1" w:rsidR="00B840BB" w:rsidRPr="00A966B6" w:rsidRDefault="00B840BB" w:rsidP="00B840BB">
      <w:pPr>
        <w:pStyle w:val="Styl8"/>
        <w:numPr>
          <w:ilvl w:val="0"/>
          <w:numId w:val="39"/>
        </w:numPr>
        <w:spacing w:line="300" w:lineRule="exact"/>
        <w:ind w:left="357" w:hanging="357"/>
        <w:jc w:val="both"/>
        <w:rPr>
          <w:rFonts w:ascii="Arial" w:hAnsi="Arial" w:cs="Arial"/>
          <w:lang w:eastAsia="en-US"/>
        </w:rPr>
      </w:pPr>
      <w:r w:rsidRPr="00A966B6">
        <w:rPr>
          <w:rFonts w:ascii="Arial" w:hAnsi="Arial" w:cs="Arial"/>
        </w:rPr>
        <w:t>předávání informací za úplatu či protislužbu</w:t>
      </w:r>
      <w:r w:rsidR="004340E8">
        <w:rPr>
          <w:rFonts w:ascii="Arial" w:hAnsi="Arial" w:cs="Arial"/>
        </w:rPr>
        <w:t>,</w:t>
      </w:r>
    </w:p>
    <w:p w14:paraId="5F73E087" w14:textId="1F7A45F7" w:rsidR="00B840BB" w:rsidRPr="00A966B6" w:rsidRDefault="00B840BB" w:rsidP="00B840BB">
      <w:pPr>
        <w:pStyle w:val="Styl8"/>
        <w:numPr>
          <w:ilvl w:val="0"/>
          <w:numId w:val="39"/>
        </w:numPr>
        <w:spacing w:line="300" w:lineRule="exact"/>
        <w:ind w:left="357" w:hanging="357"/>
        <w:jc w:val="both"/>
        <w:rPr>
          <w:rFonts w:ascii="Arial" w:hAnsi="Arial" w:cs="Arial"/>
          <w:lang w:eastAsia="en-US"/>
        </w:rPr>
      </w:pPr>
      <w:r w:rsidRPr="00A966B6">
        <w:rPr>
          <w:rFonts w:ascii="Arial" w:hAnsi="Arial" w:cs="Arial"/>
          <w:lang w:eastAsia="en-US"/>
        </w:rPr>
        <w:t>neoprávněné lustrace v informačních systémech</w:t>
      </w:r>
      <w:r w:rsidR="004340E8">
        <w:rPr>
          <w:rFonts w:ascii="Arial" w:hAnsi="Arial" w:cs="Arial"/>
          <w:lang w:eastAsia="en-US"/>
        </w:rPr>
        <w:t>,</w:t>
      </w:r>
    </w:p>
    <w:p w14:paraId="7B79971F" w14:textId="0AF621C5" w:rsidR="00B840BB" w:rsidRPr="00A966B6" w:rsidRDefault="00B840BB" w:rsidP="00B840BB">
      <w:pPr>
        <w:pStyle w:val="Styl8"/>
        <w:numPr>
          <w:ilvl w:val="0"/>
          <w:numId w:val="39"/>
        </w:numPr>
        <w:spacing w:line="300" w:lineRule="exact"/>
        <w:ind w:left="357" w:hanging="357"/>
        <w:jc w:val="both"/>
        <w:rPr>
          <w:rFonts w:ascii="Arial" w:hAnsi="Arial" w:cs="Arial"/>
          <w:lang w:eastAsia="en-US"/>
        </w:rPr>
      </w:pPr>
      <w:r w:rsidRPr="00A966B6">
        <w:rPr>
          <w:rFonts w:ascii="Arial" w:hAnsi="Arial" w:cs="Arial"/>
          <w:lang w:eastAsia="en-US"/>
        </w:rPr>
        <w:t>ovlivňování řízení v nezákonný prospěch</w:t>
      </w:r>
      <w:r w:rsidR="004340E8">
        <w:rPr>
          <w:rFonts w:ascii="Arial" w:hAnsi="Arial" w:cs="Arial"/>
          <w:lang w:eastAsia="en-US"/>
        </w:rPr>
        <w:t>,</w:t>
      </w:r>
    </w:p>
    <w:p w14:paraId="02A778AD" w14:textId="30DAEA30" w:rsidR="00B840BB" w:rsidRPr="00A966B6" w:rsidRDefault="00B840BB" w:rsidP="00B840BB">
      <w:pPr>
        <w:pStyle w:val="Odstavecseseznamem"/>
        <w:numPr>
          <w:ilvl w:val="0"/>
          <w:numId w:val="39"/>
        </w:numPr>
        <w:spacing w:after="0" w:line="300" w:lineRule="exact"/>
        <w:ind w:left="357" w:hanging="357"/>
        <w:jc w:val="both"/>
        <w:rPr>
          <w:rFonts w:cs="Arial"/>
          <w:szCs w:val="24"/>
          <w:lang w:eastAsia="en-US"/>
        </w:rPr>
      </w:pPr>
      <w:r w:rsidRPr="00A966B6">
        <w:rPr>
          <w:rFonts w:cs="Arial"/>
          <w:szCs w:val="24"/>
          <w:lang w:eastAsia="en-US"/>
        </w:rPr>
        <w:t>spolupráce na vydírání osob (zejména podnikatelů)</w:t>
      </w:r>
      <w:r w:rsidR="004340E8">
        <w:rPr>
          <w:rFonts w:cs="Arial"/>
          <w:szCs w:val="24"/>
          <w:lang w:eastAsia="en-US"/>
        </w:rPr>
        <w:t>,</w:t>
      </w:r>
    </w:p>
    <w:p w14:paraId="6DCD346D" w14:textId="59570046" w:rsidR="00B840BB" w:rsidRPr="00A966B6" w:rsidRDefault="00B840BB" w:rsidP="00B840BB">
      <w:pPr>
        <w:pStyle w:val="Odstavecseseznamem"/>
        <w:numPr>
          <w:ilvl w:val="0"/>
          <w:numId w:val="39"/>
        </w:numPr>
        <w:spacing w:after="0" w:line="300" w:lineRule="exact"/>
        <w:ind w:left="357" w:hanging="357"/>
        <w:jc w:val="both"/>
        <w:rPr>
          <w:rFonts w:cs="Arial"/>
          <w:szCs w:val="24"/>
          <w:lang w:eastAsia="en-US"/>
        </w:rPr>
      </w:pPr>
      <w:r w:rsidRPr="00A966B6">
        <w:rPr>
          <w:rFonts w:cs="Arial"/>
          <w:szCs w:val="24"/>
          <w:lang w:eastAsia="en-US"/>
        </w:rPr>
        <w:t>nelegální pronášení předmětů do věznice</w:t>
      </w:r>
      <w:r w:rsidR="004340E8">
        <w:rPr>
          <w:rFonts w:cs="Arial"/>
          <w:szCs w:val="24"/>
          <w:lang w:eastAsia="en-US"/>
        </w:rPr>
        <w:t>,</w:t>
      </w:r>
    </w:p>
    <w:p w14:paraId="7461208C" w14:textId="79B274E6" w:rsidR="00B840BB" w:rsidRPr="00A966B6" w:rsidRDefault="00B840BB" w:rsidP="00B840BB">
      <w:pPr>
        <w:pStyle w:val="Odstavecseseznamem"/>
        <w:numPr>
          <w:ilvl w:val="0"/>
          <w:numId w:val="39"/>
        </w:numPr>
        <w:spacing w:after="251" w:line="300" w:lineRule="exact"/>
        <w:ind w:left="357" w:hanging="357"/>
        <w:jc w:val="both"/>
        <w:rPr>
          <w:rFonts w:cs="Arial"/>
          <w:szCs w:val="24"/>
          <w:lang w:eastAsia="en-US"/>
        </w:rPr>
      </w:pPr>
      <w:r w:rsidRPr="00A966B6">
        <w:rPr>
          <w:rFonts w:cs="Arial"/>
          <w:szCs w:val="24"/>
          <w:lang w:eastAsia="en-US"/>
        </w:rPr>
        <w:t>přijetí úplatku za neřešení dopravního deliktu</w:t>
      </w:r>
      <w:r w:rsidR="004340E8">
        <w:rPr>
          <w:rFonts w:cs="Arial"/>
          <w:szCs w:val="24"/>
          <w:lang w:eastAsia="en-US"/>
        </w:rPr>
        <w:t>.</w:t>
      </w:r>
    </w:p>
    <w:p w14:paraId="4D2AA1CE" w14:textId="77777777" w:rsidR="00B840BB" w:rsidRDefault="00B840BB" w:rsidP="00B840BB">
      <w:pPr>
        <w:spacing w:after="251" w:line="300" w:lineRule="exact"/>
        <w:jc w:val="both"/>
        <w:rPr>
          <w:rFonts w:cs="Arial"/>
          <w:szCs w:val="24"/>
          <w:lang w:eastAsia="en-US"/>
        </w:rPr>
      </w:pPr>
      <w:r w:rsidRPr="00A966B6">
        <w:rPr>
          <w:rFonts w:cs="Arial"/>
          <w:szCs w:val="24"/>
          <w:lang w:eastAsia="en-US"/>
        </w:rPr>
        <w:t>Jak již bylo uvedeno výše, v rámci boje proti korupci věnuje GIBS této oblasti zvýšenou pozornost a zaměřuje na ni svou preventivní a metodickou činnost, stejně jako na spolupráci s dotčenými BS. Jedná se zejména o posilování právního vědomí příslušníků a zaměstnanců a zvyšování jejich odolnosti proti takovému jednání.</w:t>
      </w:r>
    </w:p>
    <w:p w14:paraId="31033334" w14:textId="7AF993A3" w:rsidR="00457DC6" w:rsidRDefault="00457DC6" w:rsidP="00B840BB">
      <w:pPr>
        <w:spacing w:after="251" w:line="300" w:lineRule="exact"/>
        <w:jc w:val="both"/>
        <w:rPr>
          <w:rFonts w:cs="Arial"/>
          <w:szCs w:val="24"/>
          <w:lang w:eastAsia="en-US"/>
        </w:rPr>
      </w:pPr>
      <w:r w:rsidRPr="00457DC6">
        <w:rPr>
          <w:rFonts w:cs="Arial"/>
          <w:szCs w:val="24"/>
          <w:lang w:eastAsia="en-US"/>
        </w:rPr>
        <w:lastRenderedPageBreak/>
        <w:t>V některých případech, zejména v oblastech korupčního jednání či zneužívání pravomoci úřední osoby, se GIBS setkává i s tzv. účelovými oznámeními, jejichž cílem je poškodit či zdiskreditovat konkrétního příslušníka BS. Při prověřování oznámení směřujících na příslušníky BS se GIBS vždy zabývá i otázkou možné účelovosti oznámení a v případě zjištění skutečností nasvědčujících tomu, že mohlo dojít ke spáchání trestného činu křivého obvinění, spisový materiál předávají věcně příslušnému orgánu k prověření.</w:t>
      </w:r>
    </w:p>
    <w:p w14:paraId="4F74CFD4" w14:textId="2D1DF0AD" w:rsidR="000D7ADB" w:rsidRDefault="00AC2A21" w:rsidP="00B840BB">
      <w:pPr>
        <w:spacing w:after="251" w:line="300" w:lineRule="exact"/>
        <w:jc w:val="both"/>
        <w:rPr>
          <w:rFonts w:cs="Arial"/>
          <w:szCs w:val="24"/>
          <w:lang w:eastAsia="en-US"/>
        </w:rPr>
      </w:pPr>
      <w:r>
        <w:rPr>
          <w:rFonts w:cs="Arial"/>
          <w:szCs w:val="24"/>
          <w:lang w:eastAsia="en-US"/>
        </w:rPr>
        <w:t>Např.</w:t>
      </w:r>
      <w:r w:rsidR="005717D5">
        <w:rPr>
          <w:rFonts w:cs="Arial"/>
          <w:szCs w:val="24"/>
          <w:lang w:eastAsia="en-US"/>
        </w:rPr>
        <w:t xml:space="preserve"> </w:t>
      </w:r>
      <w:r w:rsidR="00AB7A1A">
        <w:rPr>
          <w:rFonts w:cs="Arial"/>
          <w:szCs w:val="24"/>
          <w:lang w:eastAsia="en-US"/>
        </w:rPr>
        <w:t>Útěk vězně z nestřeženého pracoviště zařazeného ve v</w:t>
      </w:r>
      <w:r w:rsidR="004F0629">
        <w:rPr>
          <w:rFonts w:cs="Arial"/>
          <w:szCs w:val="24"/>
          <w:lang w:eastAsia="en-US"/>
        </w:rPr>
        <w:t>ěznic</w:t>
      </w:r>
      <w:r w:rsidR="00AB7A1A">
        <w:rPr>
          <w:rFonts w:cs="Arial"/>
          <w:szCs w:val="24"/>
          <w:lang w:eastAsia="en-US"/>
        </w:rPr>
        <w:t>i</w:t>
      </w:r>
      <w:r w:rsidR="004F0629">
        <w:rPr>
          <w:rFonts w:cs="Arial"/>
          <w:szCs w:val="24"/>
          <w:lang w:eastAsia="en-US"/>
        </w:rPr>
        <w:t xml:space="preserve"> Rýnovice</w:t>
      </w:r>
      <w:r w:rsidR="00AB7A1A">
        <w:rPr>
          <w:rFonts w:cs="Arial"/>
          <w:szCs w:val="24"/>
          <w:lang w:eastAsia="en-US"/>
        </w:rPr>
        <w:t xml:space="preserve"> z roku 2015</w:t>
      </w:r>
      <w:r w:rsidR="004F0629">
        <w:rPr>
          <w:rFonts w:cs="Arial"/>
          <w:szCs w:val="24"/>
          <w:lang w:eastAsia="en-US"/>
        </w:rPr>
        <w:t xml:space="preserve">: V roce 2017 </w:t>
      </w:r>
      <w:r w:rsidR="002B6380">
        <w:rPr>
          <w:rFonts w:cs="Arial"/>
          <w:szCs w:val="24"/>
          <w:lang w:eastAsia="en-US"/>
        </w:rPr>
        <w:t>GIBS obdržel</w:t>
      </w:r>
      <w:r w:rsidR="004F0629">
        <w:rPr>
          <w:rFonts w:cs="Arial"/>
          <w:szCs w:val="24"/>
          <w:lang w:eastAsia="en-US"/>
        </w:rPr>
        <w:t xml:space="preserve"> poznatek o korupčním jednání příslušníka VS ČR, kdy jako dozorce měl</w:t>
      </w:r>
      <w:r w:rsidR="00AB7A1A">
        <w:rPr>
          <w:rFonts w:cs="Arial"/>
          <w:szCs w:val="24"/>
          <w:lang w:eastAsia="en-US"/>
        </w:rPr>
        <w:t xml:space="preserve"> údajně</w:t>
      </w:r>
      <w:r w:rsidR="004F0629">
        <w:rPr>
          <w:rFonts w:cs="Arial"/>
          <w:szCs w:val="24"/>
          <w:lang w:eastAsia="en-US"/>
        </w:rPr>
        <w:t xml:space="preserve"> za úplatek zajistit útěk vězně.</w:t>
      </w:r>
      <w:r w:rsidR="00AB7A1A">
        <w:rPr>
          <w:rFonts w:cs="Arial"/>
          <w:szCs w:val="24"/>
          <w:lang w:eastAsia="en-US"/>
        </w:rPr>
        <w:t xml:space="preserve"> V rámci rozsáhlého </w:t>
      </w:r>
      <w:r w:rsidR="002B6380">
        <w:rPr>
          <w:rFonts w:cs="Arial"/>
          <w:szCs w:val="24"/>
          <w:lang w:eastAsia="en-US"/>
        </w:rPr>
        <w:t xml:space="preserve">a vhledem k značnému časovému odstupu velmi složitého </w:t>
      </w:r>
      <w:r w:rsidR="00AB7A1A">
        <w:rPr>
          <w:rFonts w:cs="Arial"/>
          <w:szCs w:val="24"/>
          <w:lang w:eastAsia="en-US"/>
        </w:rPr>
        <w:t>prověřování</w:t>
      </w:r>
      <w:r w:rsidR="004F0629">
        <w:rPr>
          <w:rFonts w:cs="Arial"/>
          <w:szCs w:val="24"/>
          <w:lang w:eastAsia="en-US"/>
        </w:rPr>
        <w:t xml:space="preserve"> bylo zjištěno, že</w:t>
      </w:r>
      <w:r w:rsidR="002B6380">
        <w:rPr>
          <w:rFonts w:cs="Arial"/>
          <w:szCs w:val="24"/>
          <w:lang w:eastAsia="en-US"/>
        </w:rPr>
        <w:t xml:space="preserve"> k útěku napomohl vězni jiný odsouzený a nikoliv příslušník VS ČR.</w:t>
      </w:r>
      <w:r w:rsidR="004F0629">
        <w:rPr>
          <w:rFonts w:cs="Arial"/>
          <w:szCs w:val="24"/>
          <w:lang w:eastAsia="en-US"/>
        </w:rPr>
        <w:t xml:space="preserve"> </w:t>
      </w:r>
      <w:r w:rsidR="002B6380">
        <w:rPr>
          <w:rFonts w:cs="Arial"/>
          <w:szCs w:val="24"/>
          <w:lang w:eastAsia="en-US"/>
        </w:rPr>
        <w:t>K</w:t>
      </w:r>
      <w:r w:rsidR="004F0629">
        <w:rPr>
          <w:rFonts w:cs="Arial"/>
          <w:szCs w:val="24"/>
          <w:lang w:eastAsia="en-US"/>
        </w:rPr>
        <w:t> žádnému korupčnímu jednání</w:t>
      </w:r>
      <w:r w:rsidR="00AB7A1A">
        <w:rPr>
          <w:rFonts w:cs="Arial"/>
          <w:szCs w:val="24"/>
          <w:lang w:eastAsia="en-US"/>
        </w:rPr>
        <w:t xml:space="preserve"> ze strany příslušníka VS ČR</w:t>
      </w:r>
      <w:r w:rsidR="002B6380">
        <w:rPr>
          <w:rFonts w:cs="Arial"/>
          <w:szCs w:val="24"/>
          <w:lang w:eastAsia="en-US"/>
        </w:rPr>
        <w:t xml:space="preserve"> tedy</w:t>
      </w:r>
      <w:r w:rsidR="004F0629">
        <w:rPr>
          <w:rFonts w:cs="Arial"/>
          <w:szCs w:val="24"/>
          <w:lang w:eastAsia="en-US"/>
        </w:rPr>
        <w:t xml:space="preserve"> nedošlo</w:t>
      </w:r>
      <w:r w:rsidR="00AB7A1A">
        <w:rPr>
          <w:rFonts w:cs="Arial"/>
          <w:szCs w:val="24"/>
          <w:lang w:eastAsia="en-US"/>
        </w:rPr>
        <w:t xml:space="preserve"> a věc byla odložena. V návaznosti na zjištěné skutečnosti v rámci prověřování byl postoupen P ČR poznatek o podezření ze spáchání TČ křivé obvinění, kterého se dopustil vězeň.</w:t>
      </w:r>
    </w:p>
    <w:p w14:paraId="778E3AEB" w14:textId="1AF058D3" w:rsidR="00B840BB" w:rsidRPr="00A966B6" w:rsidRDefault="00B840BB" w:rsidP="00B840BB">
      <w:pPr>
        <w:spacing w:after="251" w:line="300" w:lineRule="exact"/>
        <w:jc w:val="both"/>
        <w:rPr>
          <w:rFonts w:cs="Arial"/>
          <w:b/>
          <w:szCs w:val="24"/>
        </w:rPr>
      </w:pPr>
      <w:r w:rsidRPr="00A966B6">
        <w:rPr>
          <w:rFonts w:cs="Arial"/>
          <w:b/>
          <w:szCs w:val="24"/>
        </w:rPr>
        <w:t>Trestná činnost v oblasti extremismu</w:t>
      </w:r>
      <w:r w:rsidR="004051D2">
        <w:rPr>
          <w:rFonts w:cs="Arial"/>
          <w:b/>
          <w:szCs w:val="24"/>
        </w:rPr>
        <w:t xml:space="preserve"> a</w:t>
      </w:r>
      <w:r w:rsidRPr="00A966B6">
        <w:rPr>
          <w:rFonts w:cs="Arial"/>
          <w:b/>
          <w:szCs w:val="24"/>
        </w:rPr>
        <w:t xml:space="preserve"> omamných a psychotropních látek</w:t>
      </w:r>
    </w:p>
    <w:p w14:paraId="26773678" w14:textId="77777777" w:rsidR="00B840BB" w:rsidRPr="00A966B6" w:rsidRDefault="00B840BB" w:rsidP="00B840BB">
      <w:pPr>
        <w:spacing w:after="251" w:line="300" w:lineRule="exact"/>
        <w:jc w:val="both"/>
        <w:rPr>
          <w:rFonts w:cs="Arial"/>
          <w:szCs w:val="24"/>
        </w:rPr>
      </w:pPr>
      <w:r w:rsidRPr="00A966B6">
        <w:rPr>
          <w:rFonts w:cs="Arial"/>
          <w:szCs w:val="24"/>
        </w:rPr>
        <w:t>V oblasti extremismu v roce 201</w:t>
      </w:r>
      <w:r w:rsidR="005F199A" w:rsidRPr="00A966B6">
        <w:rPr>
          <w:rFonts w:cs="Arial"/>
          <w:szCs w:val="24"/>
        </w:rPr>
        <w:t>8</w:t>
      </w:r>
      <w:r w:rsidRPr="00A966B6">
        <w:rPr>
          <w:rFonts w:cs="Arial"/>
          <w:szCs w:val="24"/>
        </w:rPr>
        <w:t>, stejně jako v roce předchozím, nezahájila GIBS trestní stíhání proti žádnému příslušníkovi ani zaměstnanci BS.</w:t>
      </w:r>
    </w:p>
    <w:p w14:paraId="46715F0D" w14:textId="77777777" w:rsidR="00B840BB" w:rsidRPr="00A966B6" w:rsidRDefault="00B840BB" w:rsidP="00B840BB">
      <w:pPr>
        <w:spacing w:after="251" w:line="300" w:lineRule="exact"/>
        <w:jc w:val="both"/>
        <w:rPr>
          <w:rFonts w:cs="Arial"/>
          <w:szCs w:val="24"/>
        </w:rPr>
      </w:pPr>
      <w:r w:rsidRPr="00A966B6">
        <w:rPr>
          <w:rFonts w:cs="Arial"/>
          <w:szCs w:val="24"/>
        </w:rPr>
        <w:t>V oblasti zneužívání omamných a psychotropních látek v roce 201</w:t>
      </w:r>
      <w:r w:rsidR="005F199A" w:rsidRPr="00A966B6">
        <w:rPr>
          <w:rFonts w:cs="Arial"/>
          <w:szCs w:val="24"/>
        </w:rPr>
        <w:t>8</w:t>
      </w:r>
      <w:r w:rsidRPr="00A966B6">
        <w:rPr>
          <w:rFonts w:cs="Arial"/>
          <w:szCs w:val="24"/>
        </w:rPr>
        <w:t xml:space="preserve"> zdokumentovala GIBS celkem 1</w:t>
      </w:r>
      <w:r w:rsidR="00D50362" w:rsidRPr="00A966B6">
        <w:rPr>
          <w:rFonts w:cs="Arial"/>
          <w:szCs w:val="24"/>
        </w:rPr>
        <w:t>5</w:t>
      </w:r>
      <w:r w:rsidRPr="00A966B6">
        <w:rPr>
          <w:rFonts w:cs="Arial"/>
          <w:szCs w:val="24"/>
        </w:rPr>
        <w:t xml:space="preserve"> (</w:t>
      </w:r>
      <w:r w:rsidR="00D50362" w:rsidRPr="00A966B6">
        <w:rPr>
          <w:rFonts w:cs="Arial"/>
          <w:szCs w:val="24"/>
        </w:rPr>
        <w:t>+14</w:t>
      </w:r>
      <w:r w:rsidRPr="00A966B6">
        <w:rPr>
          <w:rFonts w:cs="Arial"/>
          <w:szCs w:val="24"/>
        </w:rPr>
        <w:t xml:space="preserve">) TČ. Trestní stíhání bylo zahájeno vůči </w:t>
      </w:r>
      <w:r w:rsidR="005F199A" w:rsidRPr="00A966B6">
        <w:rPr>
          <w:rFonts w:cs="Arial"/>
          <w:szCs w:val="24"/>
        </w:rPr>
        <w:t>6</w:t>
      </w:r>
      <w:r w:rsidRPr="00A966B6">
        <w:rPr>
          <w:rFonts w:cs="Arial"/>
          <w:szCs w:val="24"/>
        </w:rPr>
        <w:t xml:space="preserve"> (</w:t>
      </w:r>
      <w:r w:rsidR="005F199A" w:rsidRPr="00A966B6">
        <w:rPr>
          <w:rFonts w:cs="Arial"/>
          <w:szCs w:val="24"/>
        </w:rPr>
        <w:t>+5</w:t>
      </w:r>
      <w:r w:rsidRPr="00A966B6">
        <w:rPr>
          <w:rFonts w:cs="Arial"/>
          <w:szCs w:val="24"/>
        </w:rPr>
        <w:t>) osob</w:t>
      </w:r>
      <w:r w:rsidR="005F199A" w:rsidRPr="00A966B6">
        <w:rPr>
          <w:rFonts w:cs="Arial"/>
          <w:szCs w:val="24"/>
        </w:rPr>
        <w:t>ám</w:t>
      </w:r>
      <w:r w:rsidRPr="00A966B6">
        <w:rPr>
          <w:rFonts w:cs="Arial"/>
          <w:szCs w:val="24"/>
        </w:rPr>
        <w:t>. Jednalo se o 1 (</w:t>
      </w:r>
      <w:r w:rsidR="005F199A" w:rsidRPr="00A966B6">
        <w:rPr>
          <w:rFonts w:cs="Arial"/>
          <w:szCs w:val="24"/>
        </w:rPr>
        <w:t>0</w:t>
      </w:r>
      <w:r w:rsidRPr="00A966B6">
        <w:rPr>
          <w:rFonts w:cs="Arial"/>
          <w:szCs w:val="24"/>
        </w:rPr>
        <w:t>) příslušníka P ČR</w:t>
      </w:r>
      <w:r w:rsidR="005F199A" w:rsidRPr="00A966B6">
        <w:rPr>
          <w:rFonts w:cs="Arial"/>
          <w:szCs w:val="24"/>
        </w:rPr>
        <w:t>, 1 (+1) příslušníka VS ČR, 1 (+1) zaměstnance VS ČR a 3 (+3) civilní osoby</w:t>
      </w:r>
      <w:r w:rsidRPr="00A966B6">
        <w:rPr>
          <w:rFonts w:cs="Arial"/>
          <w:szCs w:val="24"/>
        </w:rPr>
        <w:t xml:space="preserve">. </w:t>
      </w:r>
    </w:p>
    <w:p w14:paraId="5327DDAF" w14:textId="35353563" w:rsidR="004738AC" w:rsidRDefault="004738AC" w:rsidP="00B840BB">
      <w:pPr>
        <w:spacing w:after="251" w:line="300" w:lineRule="exact"/>
        <w:jc w:val="both"/>
        <w:rPr>
          <w:rFonts w:cs="Arial"/>
          <w:szCs w:val="24"/>
        </w:rPr>
      </w:pPr>
      <w:r>
        <w:rPr>
          <w:rFonts w:cs="Arial"/>
          <w:szCs w:val="24"/>
        </w:rPr>
        <w:t>V oblasti domácího násilí v roce 2018 zdokumentovala GIBS celkem 13 (+9) TČ.</w:t>
      </w:r>
    </w:p>
    <w:p w14:paraId="07219FC5" w14:textId="77777777" w:rsidR="00B840BB" w:rsidRPr="00A966B6" w:rsidRDefault="00B840BB" w:rsidP="00B840BB">
      <w:pPr>
        <w:spacing w:after="251" w:line="300" w:lineRule="exact"/>
        <w:jc w:val="both"/>
        <w:rPr>
          <w:rFonts w:cs="Arial"/>
          <w:szCs w:val="24"/>
        </w:rPr>
      </w:pPr>
      <w:r w:rsidRPr="00A966B6">
        <w:rPr>
          <w:rFonts w:cs="Arial"/>
          <w:szCs w:val="24"/>
        </w:rPr>
        <w:t xml:space="preserve">Trestní stíhání bylo zahájeno vůči </w:t>
      </w:r>
      <w:r w:rsidR="00D91E1F" w:rsidRPr="00A966B6">
        <w:rPr>
          <w:rFonts w:cs="Arial"/>
          <w:szCs w:val="24"/>
        </w:rPr>
        <w:t>3</w:t>
      </w:r>
      <w:r w:rsidRPr="00A966B6">
        <w:rPr>
          <w:rFonts w:cs="Arial"/>
          <w:szCs w:val="24"/>
        </w:rPr>
        <w:t xml:space="preserve"> (</w:t>
      </w:r>
      <w:r w:rsidR="00D91E1F" w:rsidRPr="00A966B6">
        <w:rPr>
          <w:rFonts w:cs="Arial"/>
          <w:szCs w:val="24"/>
        </w:rPr>
        <w:t>+1</w:t>
      </w:r>
      <w:r w:rsidRPr="00A966B6">
        <w:rPr>
          <w:rFonts w:cs="Arial"/>
          <w:szCs w:val="24"/>
        </w:rPr>
        <w:t xml:space="preserve">) osobám, jednalo se o </w:t>
      </w:r>
      <w:r w:rsidR="00D91E1F" w:rsidRPr="00A966B6">
        <w:rPr>
          <w:rFonts w:cs="Arial"/>
          <w:szCs w:val="24"/>
        </w:rPr>
        <w:t>3</w:t>
      </w:r>
      <w:r w:rsidRPr="00A966B6">
        <w:rPr>
          <w:rFonts w:cs="Arial"/>
          <w:szCs w:val="24"/>
        </w:rPr>
        <w:t xml:space="preserve"> (</w:t>
      </w:r>
      <w:r w:rsidR="00D91E1F" w:rsidRPr="00A966B6">
        <w:rPr>
          <w:rFonts w:cs="Arial"/>
          <w:szCs w:val="24"/>
        </w:rPr>
        <w:t>+1</w:t>
      </w:r>
      <w:r w:rsidRPr="00A966B6">
        <w:rPr>
          <w:rFonts w:cs="Arial"/>
          <w:szCs w:val="24"/>
        </w:rPr>
        <w:t xml:space="preserve">) </w:t>
      </w:r>
      <w:r w:rsidR="00D91E1F" w:rsidRPr="00A966B6">
        <w:rPr>
          <w:rFonts w:cs="Arial"/>
          <w:szCs w:val="24"/>
        </w:rPr>
        <w:t xml:space="preserve">příslušníky </w:t>
      </w:r>
      <w:r w:rsidRPr="00A966B6">
        <w:rPr>
          <w:rFonts w:cs="Arial"/>
          <w:szCs w:val="24"/>
        </w:rPr>
        <w:t>P ČR.</w:t>
      </w:r>
    </w:p>
    <w:p w14:paraId="4F55E423" w14:textId="70A6EE24" w:rsidR="000D7ADB" w:rsidRPr="000D7ADB" w:rsidRDefault="00B840BB" w:rsidP="00B840BB">
      <w:pPr>
        <w:pStyle w:val="Odstavecseseznamem"/>
        <w:spacing w:after="251" w:line="300" w:lineRule="exact"/>
        <w:ind w:left="0"/>
        <w:contextualSpacing w:val="0"/>
        <w:jc w:val="both"/>
        <w:rPr>
          <w:rFonts w:cs="Arial"/>
          <w:szCs w:val="24"/>
        </w:rPr>
      </w:pPr>
      <w:r w:rsidRPr="00A966B6">
        <w:rPr>
          <w:rFonts w:cs="Arial"/>
          <w:szCs w:val="24"/>
        </w:rPr>
        <w:t>V těchto případech se jedná zejména o selhání jednotlivců, které</w:t>
      </w:r>
      <w:r w:rsidR="004051D2">
        <w:rPr>
          <w:rFonts w:cs="Arial"/>
          <w:szCs w:val="24"/>
        </w:rPr>
        <w:t xml:space="preserve"> přímo</w:t>
      </w:r>
      <w:r w:rsidRPr="00A966B6">
        <w:rPr>
          <w:rFonts w:cs="Arial"/>
          <w:szCs w:val="24"/>
        </w:rPr>
        <w:t xml:space="preserve"> nesouvisí s plněním služebních úkolů. </w:t>
      </w:r>
    </w:p>
    <w:p w14:paraId="4AE060F4" w14:textId="77777777" w:rsidR="00B840BB" w:rsidRPr="00A966B6" w:rsidRDefault="00B840BB" w:rsidP="00B840BB">
      <w:pPr>
        <w:spacing w:after="251" w:line="300" w:lineRule="exact"/>
        <w:jc w:val="both"/>
        <w:rPr>
          <w:rFonts w:cs="Arial"/>
          <w:b/>
          <w:szCs w:val="24"/>
        </w:rPr>
      </w:pPr>
      <w:r w:rsidRPr="00A966B6">
        <w:rPr>
          <w:rFonts w:cs="Arial"/>
          <w:b/>
          <w:szCs w:val="24"/>
        </w:rPr>
        <w:t>Trestná činnost v oblasti úniků informací</w:t>
      </w:r>
    </w:p>
    <w:p w14:paraId="1CF44038" w14:textId="77777777" w:rsidR="00B840BB" w:rsidRDefault="00B840BB" w:rsidP="00B840BB">
      <w:pPr>
        <w:pStyle w:val="Prosttext"/>
        <w:shd w:val="clear" w:color="auto" w:fill="FFFFFF"/>
        <w:spacing w:after="251" w:line="300" w:lineRule="exact"/>
        <w:jc w:val="both"/>
        <w:rPr>
          <w:rFonts w:ascii="Arial" w:eastAsia="MyriadPro-Light" w:hAnsi="Arial" w:cs="Arial"/>
          <w:sz w:val="24"/>
          <w:szCs w:val="24"/>
        </w:rPr>
      </w:pPr>
      <w:r w:rsidRPr="00A966B6">
        <w:rPr>
          <w:rFonts w:ascii="Arial" w:eastAsia="MyriadPro-Light" w:hAnsi="Arial" w:cs="Arial"/>
          <w:sz w:val="24"/>
          <w:szCs w:val="24"/>
          <w:shd w:val="clear" w:color="auto" w:fill="FFFFFF"/>
        </w:rPr>
        <w:t xml:space="preserve">Práce s informacemi je jedním ze základních pilířů činnosti BS. Bezpečnost státu je dominantní </w:t>
      </w:r>
      <w:r w:rsidRPr="00A966B6">
        <w:rPr>
          <w:rFonts w:ascii="Arial" w:eastAsia="MyriadPro-Light" w:hAnsi="Arial" w:cs="Arial"/>
          <w:sz w:val="24"/>
          <w:szCs w:val="24"/>
        </w:rPr>
        <w:t>oblastí, na kterou mají úniky informací nejzávažnější dopad a způsobené škody jsou nenahraditelné.</w:t>
      </w:r>
    </w:p>
    <w:p w14:paraId="17FF524E" w14:textId="39052D5D" w:rsidR="002038EB" w:rsidRPr="00A966B6" w:rsidRDefault="002038EB" w:rsidP="00B840BB">
      <w:pPr>
        <w:pStyle w:val="Prosttext"/>
        <w:shd w:val="clear" w:color="auto" w:fill="FFFFFF"/>
        <w:spacing w:after="251" w:line="300" w:lineRule="exact"/>
        <w:jc w:val="both"/>
        <w:rPr>
          <w:rFonts w:ascii="Arial" w:eastAsia="MyriadPro-Light" w:hAnsi="Arial" w:cs="Arial"/>
          <w:sz w:val="24"/>
          <w:szCs w:val="24"/>
        </w:rPr>
      </w:pPr>
      <w:r w:rsidRPr="00650688">
        <w:rPr>
          <w:rFonts w:ascii="Arial" w:eastAsia="MyriadPro-Light" w:hAnsi="Arial" w:cs="Arial"/>
          <w:sz w:val="24"/>
          <w:szCs w:val="24"/>
        </w:rPr>
        <w:t>Únikem informací</w:t>
      </w:r>
      <w:r>
        <w:rPr>
          <w:rFonts w:ascii="Arial" w:eastAsia="MyriadPro-Light" w:hAnsi="Arial" w:cs="Arial"/>
          <w:sz w:val="24"/>
          <w:szCs w:val="24"/>
        </w:rPr>
        <w:t xml:space="preserve"> přitom</w:t>
      </w:r>
      <w:r w:rsidRPr="00650688">
        <w:rPr>
          <w:rFonts w:ascii="Arial" w:eastAsia="MyriadPro-Light" w:hAnsi="Arial" w:cs="Arial"/>
          <w:sz w:val="24"/>
          <w:szCs w:val="24"/>
        </w:rPr>
        <w:t xml:space="preserve"> může b</w:t>
      </w:r>
      <w:r w:rsidRPr="00D20D9C">
        <w:rPr>
          <w:rFonts w:ascii="Arial" w:eastAsia="MyriadPro-Light" w:hAnsi="Arial" w:cs="Arial"/>
          <w:sz w:val="24"/>
          <w:szCs w:val="24"/>
        </w:rPr>
        <w:t xml:space="preserve">ýt </w:t>
      </w:r>
      <w:r>
        <w:rPr>
          <w:rFonts w:ascii="Arial" w:eastAsia="MyriadPro-Light" w:hAnsi="Arial" w:cs="Arial"/>
          <w:sz w:val="24"/>
          <w:szCs w:val="24"/>
        </w:rPr>
        <w:t xml:space="preserve">celá škála nakládání s informací v rozporu s povinnou mlčenlivostí příslušníků nebo zaměstnanců BS. Zahrnuje to v konkrétní rovině </w:t>
      </w:r>
      <w:r w:rsidRPr="00D20D9C">
        <w:rPr>
          <w:rFonts w:ascii="Arial" w:eastAsia="MyriadPro-Light" w:hAnsi="Arial" w:cs="Arial"/>
          <w:sz w:val="24"/>
          <w:szCs w:val="24"/>
        </w:rPr>
        <w:t>vše od zjištění informace v</w:t>
      </w:r>
      <w:r>
        <w:rPr>
          <w:rFonts w:ascii="Arial" w:eastAsia="MyriadPro-Light" w:hAnsi="Arial" w:cs="Arial"/>
          <w:sz w:val="24"/>
          <w:szCs w:val="24"/>
        </w:rPr>
        <w:t> informačním systému</w:t>
      </w:r>
      <w:r w:rsidRPr="00650688">
        <w:rPr>
          <w:rFonts w:ascii="Arial" w:eastAsia="MyriadPro-Light" w:hAnsi="Arial" w:cs="Arial"/>
          <w:sz w:val="24"/>
          <w:szCs w:val="24"/>
        </w:rPr>
        <w:t xml:space="preserve"> a</w:t>
      </w:r>
      <w:r>
        <w:rPr>
          <w:rFonts w:ascii="Arial" w:eastAsia="MyriadPro-Light" w:hAnsi="Arial" w:cs="Arial"/>
          <w:sz w:val="24"/>
          <w:szCs w:val="24"/>
        </w:rPr>
        <w:t xml:space="preserve"> její</w:t>
      </w:r>
      <w:r w:rsidRPr="00650688">
        <w:rPr>
          <w:rFonts w:ascii="Arial" w:eastAsia="MyriadPro-Light" w:hAnsi="Arial" w:cs="Arial"/>
          <w:sz w:val="24"/>
          <w:szCs w:val="24"/>
        </w:rPr>
        <w:t xml:space="preserve"> předání nepovolané osobě, přes zjištění </w:t>
      </w:r>
      <w:r>
        <w:rPr>
          <w:rFonts w:ascii="Arial" w:eastAsia="MyriadPro-Light" w:hAnsi="Arial" w:cs="Arial"/>
          <w:sz w:val="24"/>
          <w:szCs w:val="24"/>
        </w:rPr>
        <w:t>konkrétního obsahu části</w:t>
      </w:r>
      <w:r w:rsidRPr="00650688">
        <w:rPr>
          <w:rFonts w:ascii="Arial" w:eastAsia="MyriadPro-Light" w:hAnsi="Arial" w:cs="Arial"/>
          <w:sz w:val="24"/>
          <w:szCs w:val="24"/>
        </w:rPr>
        <w:t xml:space="preserve"> </w:t>
      </w:r>
      <w:r>
        <w:rPr>
          <w:rFonts w:ascii="Arial" w:eastAsia="MyriadPro-Light" w:hAnsi="Arial" w:cs="Arial"/>
          <w:sz w:val="24"/>
          <w:szCs w:val="24"/>
        </w:rPr>
        <w:t>vedeného spisového materiálu</w:t>
      </w:r>
      <w:r w:rsidRPr="00650688">
        <w:rPr>
          <w:rFonts w:ascii="Arial" w:eastAsia="MyriadPro-Light" w:hAnsi="Arial" w:cs="Arial"/>
          <w:sz w:val="24"/>
          <w:szCs w:val="24"/>
        </w:rPr>
        <w:t xml:space="preserve"> a sdělení neoprávněné osobě</w:t>
      </w:r>
      <w:r>
        <w:rPr>
          <w:rFonts w:ascii="Arial" w:eastAsia="MyriadPro-Light" w:hAnsi="Arial" w:cs="Arial"/>
          <w:sz w:val="24"/>
          <w:szCs w:val="24"/>
        </w:rPr>
        <w:t>,</w:t>
      </w:r>
      <w:r w:rsidRPr="00650688">
        <w:rPr>
          <w:rFonts w:ascii="Arial" w:eastAsia="MyriadPro-Light" w:hAnsi="Arial" w:cs="Arial"/>
          <w:sz w:val="24"/>
          <w:szCs w:val="24"/>
        </w:rPr>
        <w:t xml:space="preserve"> až po cílené krytí osoby</w:t>
      </w:r>
      <w:r>
        <w:rPr>
          <w:rFonts w:ascii="Arial" w:eastAsia="MyriadPro-Light" w:hAnsi="Arial" w:cs="Arial"/>
          <w:sz w:val="24"/>
          <w:szCs w:val="24"/>
        </w:rPr>
        <w:t xml:space="preserve"> pachatele</w:t>
      </w:r>
      <w:r w:rsidRPr="00650688">
        <w:rPr>
          <w:rFonts w:ascii="Arial" w:eastAsia="MyriadPro-Light" w:hAnsi="Arial" w:cs="Arial"/>
          <w:sz w:val="24"/>
          <w:szCs w:val="24"/>
        </w:rPr>
        <w:t xml:space="preserve"> a cílené sdělování veškerého dění kolem ní.</w:t>
      </w:r>
    </w:p>
    <w:p w14:paraId="61505412" w14:textId="77777777" w:rsidR="00B840BB" w:rsidRPr="00A966B6" w:rsidRDefault="00B840BB" w:rsidP="00B840BB">
      <w:pPr>
        <w:pStyle w:val="Prosttext"/>
        <w:shd w:val="clear" w:color="auto" w:fill="FFFFFF"/>
        <w:spacing w:after="251" w:line="300" w:lineRule="exact"/>
        <w:jc w:val="both"/>
        <w:rPr>
          <w:rFonts w:ascii="Arial" w:eastAsia="MyriadPro-Light" w:hAnsi="Arial" w:cs="Arial"/>
          <w:sz w:val="24"/>
          <w:szCs w:val="24"/>
          <w:shd w:val="clear" w:color="auto" w:fill="FFFFFF"/>
        </w:rPr>
      </w:pPr>
      <w:r w:rsidRPr="00A966B6">
        <w:rPr>
          <w:rFonts w:ascii="Arial" w:eastAsia="MyriadPro-Light" w:hAnsi="Arial" w:cs="Arial"/>
          <w:sz w:val="24"/>
          <w:szCs w:val="24"/>
          <w:shd w:val="clear" w:color="auto" w:fill="FFFFFF"/>
        </w:rPr>
        <w:lastRenderedPageBreak/>
        <w:t>P ČR, VS ČR, CS ČR a GIBS jsou složkami, které na základě zákonných oprávnění výrazným způsobem zasahují do</w:t>
      </w:r>
      <w:r w:rsidR="00356502" w:rsidRPr="00A966B6">
        <w:rPr>
          <w:rFonts w:ascii="Arial" w:eastAsia="MyriadPro-Light" w:hAnsi="Arial" w:cs="Arial"/>
          <w:sz w:val="24"/>
          <w:szCs w:val="24"/>
          <w:shd w:val="clear" w:color="auto" w:fill="FFFFFF"/>
        </w:rPr>
        <w:t xml:space="preserve"> základních lidských</w:t>
      </w:r>
      <w:r w:rsidRPr="00A966B6">
        <w:rPr>
          <w:rFonts w:ascii="Arial" w:eastAsia="MyriadPro-Light" w:hAnsi="Arial" w:cs="Arial"/>
          <w:sz w:val="24"/>
          <w:szCs w:val="24"/>
          <w:shd w:val="clear" w:color="auto" w:fill="FFFFFF"/>
        </w:rPr>
        <w:t xml:space="preserve"> práv a svobod</w:t>
      </w:r>
      <w:r w:rsidR="00356502" w:rsidRPr="00A966B6">
        <w:rPr>
          <w:rFonts w:ascii="Arial" w:eastAsia="MyriadPro-Light" w:hAnsi="Arial" w:cs="Arial"/>
          <w:sz w:val="24"/>
          <w:szCs w:val="24"/>
          <w:shd w:val="clear" w:color="auto" w:fill="FFFFFF"/>
        </w:rPr>
        <w:t>.</w:t>
      </w:r>
      <w:r w:rsidR="00905AE0" w:rsidRPr="00A966B6">
        <w:rPr>
          <w:rFonts w:ascii="Arial" w:eastAsia="MyriadPro-Light" w:hAnsi="Arial" w:cs="Arial"/>
          <w:sz w:val="24"/>
          <w:szCs w:val="24"/>
          <w:shd w:val="clear" w:color="auto" w:fill="FFFFFF"/>
        </w:rPr>
        <w:t xml:space="preserve"> </w:t>
      </w:r>
      <w:r w:rsidRPr="00A966B6">
        <w:rPr>
          <w:rFonts w:ascii="Arial" w:eastAsia="MyriadPro-Light" w:hAnsi="Arial" w:cs="Arial"/>
          <w:sz w:val="24"/>
          <w:szCs w:val="24"/>
          <w:shd w:val="clear" w:color="auto" w:fill="FFFFFF"/>
        </w:rPr>
        <w:t>Z toho</w:t>
      </w:r>
      <w:r w:rsidR="00356502" w:rsidRPr="00A966B6">
        <w:rPr>
          <w:rFonts w:ascii="Arial" w:eastAsia="MyriadPro-Light" w:hAnsi="Arial" w:cs="Arial"/>
          <w:sz w:val="24"/>
          <w:szCs w:val="24"/>
          <w:shd w:val="clear" w:color="auto" w:fill="FFFFFF"/>
        </w:rPr>
        <w:t>to</w:t>
      </w:r>
      <w:r w:rsidRPr="00A966B6">
        <w:rPr>
          <w:rFonts w:ascii="Arial" w:eastAsia="MyriadPro-Light" w:hAnsi="Arial" w:cs="Arial"/>
          <w:sz w:val="24"/>
          <w:szCs w:val="24"/>
          <w:shd w:val="clear" w:color="auto" w:fill="FFFFFF"/>
        </w:rPr>
        <w:t xml:space="preserve"> důvodu shromažďují a zpracovávají velké množství</w:t>
      </w:r>
      <w:r w:rsidR="00356502" w:rsidRPr="00A966B6">
        <w:rPr>
          <w:rFonts w:ascii="Arial" w:eastAsia="MyriadPro-Light" w:hAnsi="Arial" w:cs="Arial"/>
          <w:sz w:val="24"/>
          <w:szCs w:val="24"/>
          <w:shd w:val="clear" w:color="auto" w:fill="FFFFFF"/>
        </w:rPr>
        <w:t xml:space="preserve"> údajů o osobách,</w:t>
      </w:r>
      <w:r w:rsidRPr="00A966B6">
        <w:rPr>
          <w:rFonts w:ascii="Arial" w:eastAsia="MyriadPro-Light" w:hAnsi="Arial" w:cs="Arial"/>
          <w:sz w:val="24"/>
          <w:szCs w:val="24"/>
          <w:shd w:val="clear" w:color="auto" w:fill="FFFFFF"/>
        </w:rPr>
        <w:t xml:space="preserve"> </w:t>
      </w:r>
      <w:r w:rsidR="00356502" w:rsidRPr="00A966B6">
        <w:rPr>
          <w:rFonts w:ascii="Arial" w:eastAsia="MyriadPro-Light" w:hAnsi="Arial" w:cs="Arial"/>
          <w:sz w:val="24"/>
          <w:szCs w:val="24"/>
          <w:shd w:val="clear" w:color="auto" w:fill="FFFFFF"/>
        </w:rPr>
        <w:t xml:space="preserve">věcech a událostech, včetně tzv. osobních </w:t>
      </w:r>
      <w:r w:rsidRPr="00A966B6">
        <w:rPr>
          <w:rFonts w:ascii="Arial" w:eastAsia="MyriadPro-Light" w:hAnsi="Arial" w:cs="Arial"/>
          <w:sz w:val="24"/>
          <w:szCs w:val="24"/>
          <w:shd w:val="clear" w:color="auto" w:fill="FFFFFF"/>
        </w:rPr>
        <w:t>citlivých údajů,</w:t>
      </w:r>
      <w:r w:rsidR="00356502" w:rsidRPr="00A966B6">
        <w:rPr>
          <w:rFonts w:ascii="Arial" w:eastAsia="MyriadPro-Light" w:hAnsi="Arial" w:cs="Arial"/>
          <w:sz w:val="24"/>
          <w:szCs w:val="24"/>
          <w:shd w:val="clear" w:color="auto" w:fill="FFFFFF"/>
        </w:rPr>
        <w:t xml:space="preserve"> které nezbytně potřebují pro plnění zákonných úkolů</w:t>
      </w:r>
      <w:r w:rsidRPr="00A966B6">
        <w:rPr>
          <w:rFonts w:ascii="Arial" w:eastAsia="MyriadPro-Light" w:hAnsi="Arial" w:cs="Arial"/>
          <w:sz w:val="24"/>
          <w:szCs w:val="24"/>
          <w:shd w:val="clear" w:color="auto" w:fill="FFFFFF"/>
        </w:rPr>
        <w:t>. Úniky takových informací mohou zmařit řízení vedené těmito orgány, řádné plnění služebních úkolů, nebo vážně ohrozit bezpečnost státu a</w:t>
      </w:r>
      <w:r w:rsidR="00356502" w:rsidRPr="00A966B6">
        <w:rPr>
          <w:rFonts w:ascii="Arial" w:eastAsia="MyriadPro-Light" w:hAnsi="Arial" w:cs="Arial"/>
          <w:sz w:val="24"/>
          <w:szCs w:val="24"/>
          <w:shd w:val="clear" w:color="auto" w:fill="FFFFFF"/>
        </w:rPr>
        <w:t xml:space="preserve"> osobní integritu dotčených osob</w:t>
      </w:r>
      <w:r w:rsidRPr="00A966B6">
        <w:rPr>
          <w:rFonts w:ascii="Arial" w:eastAsia="MyriadPro-Light" w:hAnsi="Arial" w:cs="Arial"/>
          <w:sz w:val="24"/>
          <w:szCs w:val="24"/>
          <w:shd w:val="clear" w:color="auto" w:fill="FFFFFF"/>
        </w:rPr>
        <w:t xml:space="preserve">. Mimo to také snižují důvěru veřejnosti v celý bezpečnostní systém. </w:t>
      </w:r>
    </w:p>
    <w:p w14:paraId="61B62B6D" w14:textId="77777777" w:rsidR="00B840BB" w:rsidRPr="00A966B6" w:rsidRDefault="00B840BB" w:rsidP="00B840BB">
      <w:pPr>
        <w:pStyle w:val="Prosttext"/>
        <w:shd w:val="clear" w:color="auto" w:fill="FFFFFF"/>
        <w:spacing w:after="251" w:line="300" w:lineRule="exact"/>
        <w:jc w:val="both"/>
        <w:rPr>
          <w:rFonts w:ascii="Arial" w:eastAsia="MyriadPro-Light" w:hAnsi="Arial" w:cs="Arial"/>
          <w:sz w:val="24"/>
          <w:szCs w:val="24"/>
        </w:rPr>
      </w:pPr>
      <w:r w:rsidRPr="00A966B6">
        <w:rPr>
          <w:rFonts w:ascii="Arial" w:eastAsia="MyriadPro-Light" w:hAnsi="Arial" w:cs="Arial"/>
          <w:sz w:val="24"/>
          <w:szCs w:val="24"/>
        </w:rPr>
        <w:t>K únikům informací dochází nejčastěji následujícími způsoby:</w:t>
      </w:r>
    </w:p>
    <w:p w14:paraId="24ACDC3A" w14:textId="4E3BA0A0" w:rsidR="00B840BB" w:rsidRPr="00A966B6" w:rsidRDefault="00B840BB" w:rsidP="00B840BB">
      <w:pPr>
        <w:pStyle w:val="Styl8"/>
        <w:numPr>
          <w:ilvl w:val="0"/>
          <w:numId w:val="39"/>
        </w:numPr>
        <w:spacing w:line="300" w:lineRule="exact"/>
        <w:ind w:left="357" w:hanging="357"/>
        <w:jc w:val="both"/>
        <w:rPr>
          <w:rFonts w:eastAsia="MyriadPro-Light"/>
        </w:rPr>
      </w:pPr>
      <w:r w:rsidRPr="00A966B6">
        <w:rPr>
          <w:rFonts w:ascii="Arial" w:eastAsia="MyriadPro-Light" w:hAnsi="Arial" w:cs="Arial"/>
        </w:rPr>
        <w:t>úmyslné poskytnutí informace za účelem získání neoprávněného prospěchu</w:t>
      </w:r>
      <w:r w:rsidR="004340E8">
        <w:rPr>
          <w:rFonts w:ascii="Arial" w:eastAsia="MyriadPro-Light" w:hAnsi="Arial" w:cs="Arial"/>
        </w:rPr>
        <w:t>,</w:t>
      </w:r>
    </w:p>
    <w:p w14:paraId="16895891" w14:textId="608E0ABE" w:rsidR="00B840BB" w:rsidRPr="00A966B6" w:rsidRDefault="00B840BB" w:rsidP="00B840BB">
      <w:pPr>
        <w:pStyle w:val="Styl8"/>
        <w:numPr>
          <w:ilvl w:val="0"/>
          <w:numId w:val="39"/>
        </w:numPr>
        <w:spacing w:line="300" w:lineRule="exact"/>
        <w:ind w:left="357" w:hanging="357"/>
        <w:jc w:val="both"/>
        <w:rPr>
          <w:rFonts w:eastAsia="MyriadPro-Light"/>
        </w:rPr>
      </w:pPr>
      <w:r w:rsidRPr="00A966B6">
        <w:rPr>
          <w:rFonts w:ascii="Arial" w:eastAsia="MyriadPro-Light" w:hAnsi="Arial" w:cs="Arial"/>
        </w:rPr>
        <w:t>poskytnutí informace s cílem někoho poškodit</w:t>
      </w:r>
      <w:r w:rsidR="004340E8">
        <w:rPr>
          <w:rFonts w:ascii="Arial" w:eastAsia="MyriadPro-Light" w:hAnsi="Arial" w:cs="Arial"/>
        </w:rPr>
        <w:t>,</w:t>
      </w:r>
    </w:p>
    <w:p w14:paraId="53FE6919" w14:textId="59EAC0ED" w:rsidR="00B840BB" w:rsidRPr="00A966B6" w:rsidRDefault="00B840BB" w:rsidP="00B840BB">
      <w:pPr>
        <w:pStyle w:val="Styl8"/>
        <w:numPr>
          <w:ilvl w:val="0"/>
          <w:numId w:val="39"/>
        </w:numPr>
        <w:spacing w:line="300" w:lineRule="exact"/>
        <w:ind w:left="357" w:hanging="357"/>
        <w:jc w:val="both"/>
        <w:rPr>
          <w:rFonts w:eastAsia="MyriadPro-Light"/>
        </w:rPr>
      </w:pPr>
      <w:r w:rsidRPr="00A966B6">
        <w:rPr>
          <w:rFonts w:ascii="Arial" w:eastAsia="MyriadPro-Light" w:hAnsi="Arial" w:cs="Arial"/>
        </w:rPr>
        <w:t>snaha někomu v dobré víře pomoci s řešením nějaké události</w:t>
      </w:r>
      <w:r w:rsidR="004340E8">
        <w:rPr>
          <w:rFonts w:eastAsia="MyriadPro-Light"/>
        </w:rPr>
        <w:t>,</w:t>
      </w:r>
    </w:p>
    <w:p w14:paraId="313CA4C4" w14:textId="7FB750E1" w:rsidR="00F24168" w:rsidRDefault="00B840BB" w:rsidP="00F24168">
      <w:pPr>
        <w:pStyle w:val="Odstavecseseznamem"/>
        <w:numPr>
          <w:ilvl w:val="0"/>
          <w:numId w:val="39"/>
        </w:numPr>
        <w:rPr>
          <w:rFonts w:eastAsia="MyriadPro-Light" w:cs="Arial"/>
        </w:rPr>
      </w:pPr>
      <w:r w:rsidRPr="00F24168">
        <w:rPr>
          <w:rFonts w:eastAsia="MyriadPro-Light" w:cs="Arial"/>
        </w:rPr>
        <w:t>informace p</w:t>
      </w:r>
      <w:r w:rsidR="00EB54EB">
        <w:rPr>
          <w:rFonts w:eastAsia="MyriadPro-Light" w:cs="Arial"/>
        </w:rPr>
        <w:t>oskytnuté nad rámec oficiálních</w:t>
      </w:r>
      <w:r w:rsidR="009132A3" w:rsidRPr="00F24168">
        <w:rPr>
          <w:rFonts w:eastAsia="MyriadPro-Light" w:cs="Arial"/>
        </w:rPr>
        <w:t xml:space="preserve"> prohlášení</w:t>
      </w:r>
      <w:r w:rsidR="004340E8" w:rsidRPr="00F24168">
        <w:rPr>
          <w:rFonts w:eastAsia="MyriadPro-Light" w:cs="Arial"/>
        </w:rPr>
        <w:t>.</w:t>
      </w:r>
      <w:r w:rsidRPr="00F24168">
        <w:rPr>
          <w:rFonts w:eastAsia="MyriadPro-Light" w:cs="Arial"/>
        </w:rPr>
        <w:t xml:space="preserve"> </w:t>
      </w:r>
    </w:p>
    <w:p w14:paraId="1F884D9B" w14:textId="77777777" w:rsidR="00B840BB" w:rsidRPr="00A966B6" w:rsidRDefault="00B840BB" w:rsidP="00F24168">
      <w:pPr>
        <w:jc w:val="both"/>
        <w:rPr>
          <w:szCs w:val="24"/>
        </w:rPr>
      </w:pPr>
      <w:r w:rsidRPr="00A966B6">
        <w:rPr>
          <w:szCs w:val="24"/>
          <w:lang w:eastAsia="en-US"/>
        </w:rPr>
        <w:t xml:space="preserve">V oblasti úniků informací z BS </w:t>
      </w:r>
      <w:r w:rsidRPr="00A966B6">
        <w:rPr>
          <w:szCs w:val="24"/>
        </w:rPr>
        <w:t>v roce 201</w:t>
      </w:r>
      <w:r w:rsidR="00D91E1F" w:rsidRPr="00A966B6">
        <w:rPr>
          <w:szCs w:val="24"/>
        </w:rPr>
        <w:t>8</w:t>
      </w:r>
      <w:r w:rsidRPr="00A966B6">
        <w:rPr>
          <w:szCs w:val="24"/>
        </w:rPr>
        <w:t xml:space="preserve"> zdokumentovala GIBS celkem </w:t>
      </w:r>
      <w:r w:rsidR="00CD1A8D" w:rsidRPr="00A966B6">
        <w:rPr>
          <w:szCs w:val="24"/>
        </w:rPr>
        <w:t>35</w:t>
      </w:r>
      <w:r w:rsidRPr="00A966B6">
        <w:rPr>
          <w:szCs w:val="24"/>
        </w:rPr>
        <w:t xml:space="preserve"> (</w:t>
      </w:r>
      <w:r w:rsidR="00CD1A8D" w:rsidRPr="00A966B6">
        <w:rPr>
          <w:szCs w:val="24"/>
        </w:rPr>
        <w:t>-46</w:t>
      </w:r>
      <w:r w:rsidRPr="00A966B6">
        <w:rPr>
          <w:szCs w:val="24"/>
        </w:rPr>
        <w:t xml:space="preserve">) TČ. Trestní stíhání bylo zahájeno vůči </w:t>
      </w:r>
      <w:r w:rsidR="00D91E1F" w:rsidRPr="00A966B6">
        <w:rPr>
          <w:szCs w:val="24"/>
        </w:rPr>
        <w:t>14</w:t>
      </w:r>
      <w:r w:rsidRPr="00A966B6">
        <w:rPr>
          <w:szCs w:val="24"/>
        </w:rPr>
        <w:t xml:space="preserve"> (</w:t>
      </w:r>
      <w:r w:rsidR="00D91E1F" w:rsidRPr="00A966B6">
        <w:rPr>
          <w:szCs w:val="24"/>
        </w:rPr>
        <w:t>-26</w:t>
      </w:r>
      <w:r w:rsidRPr="00A966B6">
        <w:rPr>
          <w:szCs w:val="24"/>
        </w:rPr>
        <w:t xml:space="preserve">) osobám, z toho se jednalo o </w:t>
      </w:r>
      <w:r w:rsidR="00D91E1F" w:rsidRPr="00A966B6">
        <w:rPr>
          <w:szCs w:val="24"/>
        </w:rPr>
        <w:t>10</w:t>
      </w:r>
      <w:r w:rsidRPr="00A966B6">
        <w:rPr>
          <w:szCs w:val="24"/>
        </w:rPr>
        <w:t xml:space="preserve"> (</w:t>
      </w:r>
      <w:r w:rsidR="00D91E1F" w:rsidRPr="00A966B6">
        <w:rPr>
          <w:szCs w:val="24"/>
        </w:rPr>
        <w:t>-16</w:t>
      </w:r>
      <w:r w:rsidRPr="00A966B6">
        <w:rPr>
          <w:szCs w:val="24"/>
        </w:rPr>
        <w:t xml:space="preserve">) příslušníků P ČR a </w:t>
      </w:r>
      <w:r w:rsidR="00D91E1F" w:rsidRPr="00A966B6">
        <w:rPr>
          <w:szCs w:val="24"/>
        </w:rPr>
        <w:t>4</w:t>
      </w:r>
      <w:r w:rsidRPr="00A966B6">
        <w:rPr>
          <w:szCs w:val="24"/>
        </w:rPr>
        <w:t xml:space="preserve"> (</w:t>
      </w:r>
      <w:r w:rsidR="00D91E1F" w:rsidRPr="00A966B6">
        <w:rPr>
          <w:szCs w:val="24"/>
        </w:rPr>
        <w:t>-7</w:t>
      </w:r>
      <w:r w:rsidRPr="00A966B6">
        <w:rPr>
          <w:szCs w:val="24"/>
        </w:rPr>
        <w:t>) civilní osob</w:t>
      </w:r>
      <w:r w:rsidR="00D91E1F" w:rsidRPr="00A966B6">
        <w:rPr>
          <w:szCs w:val="24"/>
        </w:rPr>
        <w:t>y</w:t>
      </w:r>
      <w:r w:rsidRPr="00A966B6">
        <w:rPr>
          <w:szCs w:val="24"/>
        </w:rPr>
        <w:t xml:space="preserve">. </w:t>
      </w:r>
    </w:p>
    <w:p w14:paraId="4B15F672" w14:textId="3AF412F5" w:rsidR="00B840BB" w:rsidRPr="00A966B6" w:rsidRDefault="00B840BB" w:rsidP="00B840BB">
      <w:pPr>
        <w:spacing w:after="251" w:line="300" w:lineRule="exact"/>
        <w:jc w:val="both"/>
        <w:rPr>
          <w:rFonts w:cs="Arial"/>
          <w:szCs w:val="24"/>
        </w:rPr>
      </w:pPr>
      <w:r w:rsidRPr="00A966B6">
        <w:rPr>
          <w:rFonts w:cs="Arial"/>
          <w:szCs w:val="24"/>
        </w:rPr>
        <w:t>Nejfrekventovanějším případem je neoprávněná lustrace v policejních nebo jiných evidencích.</w:t>
      </w:r>
      <w:r w:rsidR="00AC2A21">
        <w:rPr>
          <w:rFonts w:cs="Arial"/>
          <w:szCs w:val="24"/>
        </w:rPr>
        <w:t xml:space="preserve"> V oblasti šetření možných úniku informací z trestního řízení hraje nezaměnitelnou roli především dozorový státní zástupce předmětného trestního řízení, který kvalifikovaně posoudí, zejména </w:t>
      </w:r>
      <w:r w:rsidR="002038EB">
        <w:t xml:space="preserve">škodlivost daného jednání s ohledem na zásadu subsidiarity trestní represe, tedy s ohledem na ustanovení § 12 odst. 2 </w:t>
      </w:r>
      <w:proofErr w:type="spellStart"/>
      <w:r w:rsidR="002038EB">
        <w:t>tr</w:t>
      </w:r>
      <w:proofErr w:type="spellEnd"/>
      <w:r w:rsidR="002038EB">
        <w:t>.</w:t>
      </w:r>
      <w:r w:rsidR="00954823">
        <w:t xml:space="preserve"> </w:t>
      </w:r>
      <w:r w:rsidR="002038EB">
        <w:t>z. Tato zásada de facto znamená, že v případech méně</w:t>
      </w:r>
      <w:r w:rsidR="00F24168">
        <w:t xml:space="preserve"> společensky</w:t>
      </w:r>
      <w:r w:rsidR="002038EB">
        <w:t xml:space="preserve"> škodlivých postačí kázeňský postih provinilce namísto postihu soudního.</w:t>
      </w:r>
    </w:p>
    <w:p w14:paraId="249C5AAB" w14:textId="40881706" w:rsidR="009623D5" w:rsidRPr="00A966B6" w:rsidRDefault="009623D5" w:rsidP="009623D5">
      <w:pPr>
        <w:pStyle w:val="Prosttext"/>
        <w:shd w:val="clear" w:color="auto" w:fill="FFFFFF"/>
        <w:spacing w:after="251" w:line="300" w:lineRule="exact"/>
        <w:jc w:val="both"/>
        <w:rPr>
          <w:rFonts w:ascii="Arial" w:hAnsi="Arial" w:cs="Arial"/>
          <w:sz w:val="24"/>
          <w:szCs w:val="24"/>
          <w:lang w:eastAsia="en-US"/>
        </w:rPr>
      </w:pPr>
      <w:r w:rsidRPr="00A966B6">
        <w:rPr>
          <w:rFonts w:ascii="Arial" w:hAnsi="Arial" w:cs="Arial"/>
          <w:sz w:val="24"/>
          <w:szCs w:val="24"/>
          <w:lang w:eastAsia="en-US"/>
        </w:rPr>
        <w:t>Oblasti úniku informací z BS věnuje GIBS opět značnou pozornost a ve spolupráci s vedením BS jsou k eliminaci těchto úniků navrhována preventivní opatření.</w:t>
      </w:r>
    </w:p>
    <w:p w14:paraId="1D4F1123" w14:textId="77777777" w:rsidR="009623D5" w:rsidRPr="00A966B6" w:rsidRDefault="009623D5" w:rsidP="00B840BB">
      <w:pPr>
        <w:spacing w:after="251" w:line="300" w:lineRule="exact"/>
        <w:jc w:val="both"/>
        <w:rPr>
          <w:rFonts w:cs="Arial"/>
          <w:szCs w:val="24"/>
        </w:rPr>
      </w:pPr>
      <w:r w:rsidRPr="00A966B6">
        <w:rPr>
          <w:rFonts w:cs="Arial"/>
          <w:szCs w:val="24"/>
        </w:rPr>
        <w:t>S problematikou úniků informací je velmi úzce propojena počítačová kriminalita, někdy též nazývaná jako „</w:t>
      </w:r>
      <w:proofErr w:type="spellStart"/>
      <w:r w:rsidRPr="00A966B6">
        <w:rPr>
          <w:rFonts w:cs="Arial"/>
          <w:szCs w:val="24"/>
        </w:rPr>
        <w:t>kyberkriminalita</w:t>
      </w:r>
      <w:proofErr w:type="spellEnd"/>
      <w:r w:rsidR="008B76C0" w:rsidRPr="00A966B6">
        <w:rPr>
          <w:rFonts w:cs="Arial"/>
          <w:szCs w:val="24"/>
        </w:rPr>
        <w:t>“</w:t>
      </w:r>
      <w:r w:rsidRPr="00A966B6">
        <w:rPr>
          <w:rFonts w:cs="Arial"/>
          <w:szCs w:val="24"/>
        </w:rPr>
        <w:t xml:space="preserve">. </w:t>
      </w:r>
    </w:p>
    <w:p w14:paraId="30849A2B" w14:textId="67D1CD08" w:rsidR="00167346" w:rsidRPr="00A966B6" w:rsidRDefault="00167346" w:rsidP="00167346">
      <w:pPr>
        <w:spacing w:after="251" w:line="300" w:lineRule="exact"/>
        <w:jc w:val="both"/>
        <w:rPr>
          <w:rFonts w:cs="Arial"/>
          <w:szCs w:val="24"/>
        </w:rPr>
      </w:pPr>
      <w:r w:rsidRPr="00A966B6">
        <w:rPr>
          <w:rFonts w:cs="Arial"/>
          <w:szCs w:val="24"/>
        </w:rPr>
        <w:t xml:space="preserve">Dle statistického výstupu GIBS o počtech </w:t>
      </w:r>
      <w:r w:rsidR="00A52C41" w:rsidRPr="00A966B6">
        <w:rPr>
          <w:rFonts w:cs="Arial"/>
          <w:szCs w:val="24"/>
        </w:rPr>
        <w:t>TČ</w:t>
      </w:r>
      <w:r w:rsidRPr="00A966B6">
        <w:rPr>
          <w:rFonts w:cs="Arial"/>
          <w:szCs w:val="24"/>
        </w:rPr>
        <w:t xml:space="preserve"> spáchaných příslušníky </w:t>
      </w:r>
      <w:r w:rsidRPr="00A966B6">
        <w:rPr>
          <w:rFonts w:cs="Arial"/>
          <w:szCs w:val="24"/>
        </w:rPr>
        <w:br/>
        <w:t xml:space="preserve">a zaměstnanci </w:t>
      </w:r>
      <w:r w:rsidR="00A52C41" w:rsidRPr="00A966B6">
        <w:rPr>
          <w:rFonts w:cs="Arial"/>
          <w:szCs w:val="24"/>
        </w:rPr>
        <w:t>BS</w:t>
      </w:r>
      <w:r w:rsidRPr="00A966B6">
        <w:rPr>
          <w:rFonts w:cs="Arial"/>
          <w:szCs w:val="24"/>
        </w:rPr>
        <w:t xml:space="preserve"> včetně civilních osob v roce 201</w:t>
      </w:r>
      <w:r w:rsidR="00CD1A8D" w:rsidRPr="00A966B6">
        <w:rPr>
          <w:rFonts w:cs="Arial"/>
          <w:szCs w:val="24"/>
        </w:rPr>
        <w:t>8</w:t>
      </w:r>
      <w:r w:rsidRPr="00A966B6">
        <w:rPr>
          <w:rFonts w:cs="Arial"/>
          <w:szCs w:val="24"/>
        </w:rPr>
        <w:t xml:space="preserve"> bylo zadokumentováno celkem </w:t>
      </w:r>
      <w:r w:rsidR="00CD1A8D" w:rsidRPr="00A966B6">
        <w:rPr>
          <w:rFonts w:cs="Arial"/>
          <w:szCs w:val="24"/>
        </w:rPr>
        <w:t>23</w:t>
      </w:r>
      <w:r w:rsidRPr="00A966B6">
        <w:rPr>
          <w:rFonts w:cs="Arial"/>
          <w:szCs w:val="24"/>
        </w:rPr>
        <w:t xml:space="preserve"> skutků neoprávněného přístupu k počítačovému systému a nosiči informací dle ust</w:t>
      </w:r>
      <w:r w:rsidR="00D608B4" w:rsidRPr="00A966B6">
        <w:rPr>
          <w:rFonts w:cs="Arial"/>
          <w:szCs w:val="24"/>
        </w:rPr>
        <w:t xml:space="preserve">anovení </w:t>
      </w:r>
      <w:r w:rsidRPr="00A966B6">
        <w:rPr>
          <w:rFonts w:cs="Arial"/>
          <w:szCs w:val="24"/>
        </w:rPr>
        <w:t>§ 230 tr</w:t>
      </w:r>
      <w:r w:rsidR="00D608B4" w:rsidRPr="00A966B6">
        <w:rPr>
          <w:rFonts w:cs="Arial"/>
          <w:szCs w:val="24"/>
        </w:rPr>
        <w:t xml:space="preserve">estního </w:t>
      </w:r>
      <w:r w:rsidRPr="00A966B6">
        <w:rPr>
          <w:rFonts w:cs="Arial"/>
          <w:szCs w:val="24"/>
        </w:rPr>
        <w:t>zákoníku.</w:t>
      </w:r>
    </w:p>
    <w:p w14:paraId="6A1B1EE3" w14:textId="77777777" w:rsidR="00167346" w:rsidRPr="00A966B6" w:rsidRDefault="00167346" w:rsidP="00167346">
      <w:pPr>
        <w:spacing w:after="251" w:line="300" w:lineRule="exact"/>
        <w:jc w:val="both"/>
        <w:rPr>
          <w:rFonts w:cs="Arial"/>
          <w:szCs w:val="24"/>
        </w:rPr>
      </w:pPr>
      <w:r w:rsidRPr="00A966B6">
        <w:rPr>
          <w:rFonts w:cs="Arial"/>
          <w:szCs w:val="24"/>
        </w:rPr>
        <w:t xml:space="preserve">Největší počet případů (§ 230 </w:t>
      </w:r>
      <w:r w:rsidR="00D608B4" w:rsidRPr="00A966B6">
        <w:rPr>
          <w:rFonts w:cs="Arial"/>
          <w:szCs w:val="24"/>
        </w:rPr>
        <w:t>trestního</w:t>
      </w:r>
      <w:r w:rsidRPr="00A966B6">
        <w:rPr>
          <w:rFonts w:cs="Arial"/>
          <w:szCs w:val="24"/>
        </w:rPr>
        <w:t xml:space="preserve"> zákoníku) se týká neoprávněných lustrací v evidenčních a informačních systémech </w:t>
      </w:r>
      <w:r w:rsidR="00A52C41" w:rsidRPr="00A966B6">
        <w:rPr>
          <w:rFonts w:cs="Arial"/>
          <w:szCs w:val="24"/>
        </w:rPr>
        <w:t>BS</w:t>
      </w:r>
      <w:r w:rsidRPr="00A966B6">
        <w:rPr>
          <w:rFonts w:cs="Arial"/>
          <w:szCs w:val="24"/>
        </w:rPr>
        <w:t>, ke kterým je přístup možný pouze prostřednictvím počítačů připojených k vnitřní síti daného sboru</w:t>
      </w:r>
      <w:r w:rsidR="00A52C41" w:rsidRPr="00A966B6">
        <w:rPr>
          <w:rFonts w:cs="Arial"/>
          <w:szCs w:val="24"/>
        </w:rPr>
        <w:t xml:space="preserve"> </w:t>
      </w:r>
      <w:r w:rsidRPr="00A966B6">
        <w:rPr>
          <w:rFonts w:cs="Arial"/>
          <w:szCs w:val="24"/>
        </w:rPr>
        <w:t>a přihlášením konkrétního uživatele (příslušníka nebo zaměstnance) pod přiděleným</w:t>
      </w:r>
      <w:r w:rsidR="00A52C41" w:rsidRPr="00A966B6">
        <w:rPr>
          <w:rFonts w:cs="Arial"/>
          <w:szCs w:val="24"/>
        </w:rPr>
        <w:t xml:space="preserve"> </w:t>
      </w:r>
      <w:r w:rsidRPr="00A966B6">
        <w:rPr>
          <w:rFonts w:cs="Arial"/>
          <w:szCs w:val="24"/>
        </w:rPr>
        <w:t>vstupním jménem a heslem.</w:t>
      </w:r>
    </w:p>
    <w:p w14:paraId="2D7CDE4E" w14:textId="77777777" w:rsidR="00B840BB" w:rsidRPr="00A966B6" w:rsidRDefault="00CD1A8D" w:rsidP="00167346">
      <w:pPr>
        <w:spacing w:after="251" w:line="300" w:lineRule="exact"/>
        <w:jc w:val="both"/>
        <w:rPr>
          <w:rFonts w:cs="Arial"/>
          <w:b/>
          <w:szCs w:val="24"/>
          <w:lang w:eastAsia="en-US"/>
        </w:rPr>
      </w:pPr>
      <w:r w:rsidRPr="00A966B6">
        <w:rPr>
          <w:rFonts w:cs="Arial"/>
          <w:szCs w:val="24"/>
        </w:rPr>
        <w:t xml:space="preserve">Z pohledu GIBS došlo </w:t>
      </w:r>
      <w:r w:rsidR="00EC5897">
        <w:rPr>
          <w:rFonts w:cs="Arial"/>
          <w:szCs w:val="24"/>
        </w:rPr>
        <w:t>oproti loňskému roku</w:t>
      </w:r>
      <w:r w:rsidRPr="00A966B6">
        <w:rPr>
          <w:rFonts w:cs="Arial"/>
          <w:szCs w:val="24"/>
        </w:rPr>
        <w:t xml:space="preserve"> v roce 2018</w:t>
      </w:r>
      <w:r w:rsidR="00167346" w:rsidRPr="00A966B6">
        <w:rPr>
          <w:rFonts w:cs="Arial"/>
          <w:szCs w:val="24"/>
        </w:rPr>
        <w:t xml:space="preserve"> k</w:t>
      </w:r>
      <w:r w:rsidRPr="00A966B6">
        <w:rPr>
          <w:rFonts w:cs="Arial"/>
          <w:szCs w:val="24"/>
        </w:rPr>
        <w:t>e snížení</w:t>
      </w:r>
      <w:r w:rsidR="00167346" w:rsidRPr="00A966B6">
        <w:rPr>
          <w:rFonts w:cs="Arial"/>
          <w:szCs w:val="24"/>
        </w:rPr>
        <w:t xml:space="preserve"> trestné činnosti v</w:t>
      </w:r>
      <w:r w:rsidRPr="00A966B6">
        <w:rPr>
          <w:rFonts w:cs="Arial"/>
          <w:szCs w:val="24"/>
        </w:rPr>
        <w:t> oblasti úniku informací z BS.</w:t>
      </w:r>
    </w:p>
    <w:p w14:paraId="2A692922" w14:textId="77777777" w:rsidR="00B840BB" w:rsidRPr="00A966B6" w:rsidRDefault="00B840BB" w:rsidP="00B840BB">
      <w:pPr>
        <w:pStyle w:val="Prosttext"/>
        <w:shd w:val="clear" w:color="auto" w:fill="FFFFFF"/>
        <w:spacing w:after="251" w:line="300" w:lineRule="exact"/>
        <w:jc w:val="both"/>
        <w:rPr>
          <w:rFonts w:ascii="Arial" w:hAnsi="Arial" w:cs="Arial"/>
          <w:b/>
          <w:sz w:val="24"/>
          <w:szCs w:val="24"/>
          <w:lang w:eastAsia="en-US"/>
        </w:rPr>
      </w:pPr>
      <w:r w:rsidRPr="00A966B6">
        <w:rPr>
          <w:rFonts w:ascii="Arial" w:hAnsi="Arial" w:cs="Arial"/>
          <w:b/>
          <w:sz w:val="24"/>
          <w:szCs w:val="24"/>
          <w:lang w:eastAsia="en-US"/>
        </w:rPr>
        <w:lastRenderedPageBreak/>
        <w:t xml:space="preserve">Trestná činnost s podezřením na nepřiměřené násilí, brutalitu, mučení </w:t>
      </w:r>
      <w:r w:rsidRPr="00A966B6">
        <w:rPr>
          <w:rFonts w:ascii="Arial" w:hAnsi="Arial" w:cs="Arial"/>
          <w:b/>
          <w:sz w:val="24"/>
          <w:szCs w:val="24"/>
          <w:lang w:eastAsia="en-US"/>
        </w:rPr>
        <w:br/>
        <w:t>a nelidské a jiné kruté zacházení při výkonu pravomoci příslušníků BS</w:t>
      </w:r>
    </w:p>
    <w:p w14:paraId="1F5BCC2E" w14:textId="3BC272EC" w:rsidR="00B840BB" w:rsidRPr="00A966B6" w:rsidRDefault="00B840BB" w:rsidP="00B840BB">
      <w:pPr>
        <w:pStyle w:val="Textkomente"/>
        <w:shd w:val="clear" w:color="auto" w:fill="FFFFFF"/>
        <w:spacing w:after="251" w:line="300" w:lineRule="exact"/>
        <w:jc w:val="both"/>
        <w:rPr>
          <w:rFonts w:cs="Arial"/>
          <w:sz w:val="24"/>
          <w:szCs w:val="24"/>
        </w:rPr>
      </w:pPr>
      <w:r w:rsidRPr="00A966B6">
        <w:rPr>
          <w:rFonts w:cs="Arial"/>
          <w:sz w:val="24"/>
          <w:szCs w:val="24"/>
        </w:rPr>
        <w:t xml:space="preserve">Činnost GIBS v této oblasti spočívá zejména ve sledování a vyhodnocování informací o násilném jednání vůči osobám omezeným na osobní svobodě, nebo osobám, proti kterým směřují zákroky příslušníků BS. Především se jedná o prověřování podnětů poškozených osob, informací předávaných BS, ale </w:t>
      </w:r>
      <w:r w:rsidRPr="002038EB">
        <w:rPr>
          <w:rFonts w:cs="Arial"/>
          <w:sz w:val="24"/>
          <w:szCs w:val="24"/>
        </w:rPr>
        <w:t>i z vlastní činnosti GIBS</w:t>
      </w:r>
      <w:r w:rsidRPr="00A966B6">
        <w:rPr>
          <w:rFonts w:cs="Arial"/>
          <w:sz w:val="24"/>
          <w:szCs w:val="24"/>
        </w:rPr>
        <w:t>.</w:t>
      </w:r>
    </w:p>
    <w:p w14:paraId="30E152EF" w14:textId="17083655" w:rsidR="00B4028F" w:rsidRDefault="00B840BB" w:rsidP="00B840BB">
      <w:pPr>
        <w:spacing w:after="251" w:line="300" w:lineRule="exact"/>
        <w:jc w:val="both"/>
        <w:rPr>
          <w:rFonts w:cs="Arial"/>
          <w:szCs w:val="24"/>
        </w:rPr>
      </w:pPr>
      <w:r w:rsidRPr="00A966B6">
        <w:rPr>
          <w:rFonts w:cs="Arial"/>
          <w:szCs w:val="24"/>
          <w:lang w:eastAsia="en-US"/>
        </w:rPr>
        <w:t>V oblasti nepřiměřen</w:t>
      </w:r>
      <w:r w:rsidR="004738AC">
        <w:rPr>
          <w:rFonts w:cs="Arial"/>
          <w:szCs w:val="24"/>
          <w:lang w:eastAsia="en-US"/>
        </w:rPr>
        <w:t xml:space="preserve">ého násilí při výkonu pravomoci příslušníků </w:t>
      </w:r>
      <w:r w:rsidRPr="00A966B6">
        <w:rPr>
          <w:rFonts w:cs="Arial"/>
          <w:szCs w:val="24"/>
          <w:lang w:eastAsia="en-US"/>
        </w:rPr>
        <w:t xml:space="preserve">BS </w:t>
      </w:r>
      <w:r w:rsidRPr="00A966B6">
        <w:rPr>
          <w:rFonts w:cs="Arial"/>
          <w:szCs w:val="24"/>
        </w:rPr>
        <w:t>v roce 201</w:t>
      </w:r>
      <w:r w:rsidR="006D4CA6" w:rsidRPr="00A966B6">
        <w:rPr>
          <w:rFonts w:cs="Arial"/>
          <w:szCs w:val="24"/>
        </w:rPr>
        <w:t>8</w:t>
      </w:r>
      <w:r w:rsidRPr="00A966B6">
        <w:rPr>
          <w:rFonts w:cs="Arial"/>
          <w:szCs w:val="24"/>
        </w:rPr>
        <w:t xml:space="preserve"> GIBS zdokumentovala celkem </w:t>
      </w:r>
      <w:r w:rsidR="006D4CA6" w:rsidRPr="00A966B6">
        <w:rPr>
          <w:rFonts w:cs="Arial"/>
          <w:szCs w:val="24"/>
        </w:rPr>
        <w:t>66</w:t>
      </w:r>
      <w:r w:rsidRPr="00A966B6">
        <w:rPr>
          <w:rFonts w:cs="Arial"/>
          <w:szCs w:val="24"/>
        </w:rPr>
        <w:t xml:space="preserve"> (</w:t>
      </w:r>
      <w:r w:rsidR="006D4CA6" w:rsidRPr="00A966B6">
        <w:rPr>
          <w:rFonts w:cs="Arial"/>
          <w:szCs w:val="24"/>
        </w:rPr>
        <w:t>+38</w:t>
      </w:r>
      <w:r w:rsidRPr="00A966B6">
        <w:rPr>
          <w:rFonts w:cs="Arial"/>
          <w:szCs w:val="24"/>
        </w:rPr>
        <w:t xml:space="preserve">) TČ. Trestní stíhání bylo zahájeno vůči </w:t>
      </w:r>
      <w:r w:rsidR="006D4CA6" w:rsidRPr="00A966B6">
        <w:rPr>
          <w:rFonts w:cs="Arial"/>
          <w:szCs w:val="24"/>
        </w:rPr>
        <w:t>13</w:t>
      </w:r>
      <w:r w:rsidRPr="00A966B6">
        <w:rPr>
          <w:rFonts w:cs="Arial"/>
          <w:szCs w:val="24"/>
        </w:rPr>
        <w:t xml:space="preserve"> (</w:t>
      </w:r>
      <w:r w:rsidR="006D4CA6" w:rsidRPr="00A966B6">
        <w:rPr>
          <w:rFonts w:cs="Arial"/>
          <w:szCs w:val="24"/>
        </w:rPr>
        <w:t>-8</w:t>
      </w:r>
      <w:r w:rsidRPr="00A966B6">
        <w:rPr>
          <w:rFonts w:cs="Arial"/>
          <w:szCs w:val="24"/>
        </w:rPr>
        <w:t xml:space="preserve">) osobám, z toho se jednalo o </w:t>
      </w:r>
      <w:r w:rsidR="006D4CA6" w:rsidRPr="00A966B6">
        <w:rPr>
          <w:rFonts w:cs="Arial"/>
          <w:szCs w:val="24"/>
        </w:rPr>
        <w:t>9</w:t>
      </w:r>
      <w:r w:rsidRPr="00A966B6">
        <w:rPr>
          <w:rFonts w:cs="Arial"/>
          <w:szCs w:val="24"/>
        </w:rPr>
        <w:t xml:space="preserve"> (-</w:t>
      </w:r>
      <w:r w:rsidR="006D4CA6" w:rsidRPr="00A966B6">
        <w:rPr>
          <w:rFonts w:cs="Arial"/>
          <w:szCs w:val="24"/>
        </w:rPr>
        <w:t>5</w:t>
      </w:r>
      <w:r w:rsidRPr="00A966B6">
        <w:rPr>
          <w:rFonts w:cs="Arial"/>
          <w:szCs w:val="24"/>
        </w:rPr>
        <w:t>) příslušníků P ČR, 4 (</w:t>
      </w:r>
      <w:r w:rsidR="006D4CA6" w:rsidRPr="00A966B6">
        <w:rPr>
          <w:rFonts w:cs="Arial"/>
          <w:szCs w:val="24"/>
        </w:rPr>
        <w:t>0</w:t>
      </w:r>
      <w:r w:rsidRPr="00A966B6">
        <w:rPr>
          <w:rFonts w:cs="Arial"/>
          <w:szCs w:val="24"/>
        </w:rPr>
        <w:t>) příslušníky VS ČR.</w:t>
      </w:r>
    </w:p>
    <w:p w14:paraId="76280988" w14:textId="37C878B4" w:rsidR="00B840BB" w:rsidRPr="00A966B6" w:rsidRDefault="00B840BB" w:rsidP="00B4028F">
      <w:pPr>
        <w:pStyle w:val="Nadpis2"/>
      </w:pPr>
      <w:bookmarkStart w:id="110" w:name="_Toc2085165"/>
      <w:bookmarkStart w:id="111" w:name="_Toc2682547"/>
      <w:r w:rsidRPr="00A966B6">
        <w:t>Kriminalita v jednotlivých BS</w:t>
      </w:r>
      <w:bookmarkEnd w:id="110"/>
      <w:bookmarkEnd w:id="111"/>
      <w:r w:rsidR="00D815F5" w:rsidRPr="00A966B6">
        <w:t xml:space="preserve"> </w:t>
      </w:r>
    </w:p>
    <w:p w14:paraId="79029E10" w14:textId="77777777" w:rsidR="00B840BB" w:rsidRPr="00A966B6" w:rsidRDefault="00B840BB" w:rsidP="00B840BB">
      <w:pPr>
        <w:spacing w:after="251" w:line="300" w:lineRule="exact"/>
        <w:jc w:val="both"/>
        <w:rPr>
          <w:rFonts w:cs="Arial"/>
          <w:b/>
          <w:szCs w:val="24"/>
        </w:rPr>
      </w:pPr>
      <w:r w:rsidRPr="00A966B6">
        <w:rPr>
          <w:rFonts w:cs="Arial"/>
          <w:b/>
          <w:szCs w:val="24"/>
        </w:rPr>
        <w:t>Policie Č</w:t>
      </w:r>
      <w:r w:rsidR="00CC145C" w:rsidRPr="00A966B6">
        <w:rPr>
          <w:rFonts w:cs="Arial"/>
          <w:b/>
          <w:szCs w:val="24"/>
        </w:rPr>
        <w:t>R</w:t>
      </w:r>
    </w:p>
    <w:p w14:paraId="7476CF29" w14:textId="311916BF" w:rsidR="00B840BB" w:rsidRPr="00A966B6" w:rsidRDefault="00B840BB" w:rsidP="00B840BB">
      <w:pPr>
        <w:spacing w:after="251" w:line="300" w:lineRule="exact"/>
        <w:jc w:val="both"/>
        <w:rPr>
          <w:rFonts w:cs="Arial"/>
          <w:szCs w:val="24"/>
        </w:rPr>
      </w:pPr>
      <w:r w:rsidRPr="00A966B6">
        <w:rPr>
          <w:rFonts w:cs="Arial"/>
          <w:szCs w:val="24"/>
        </w:rPr>
        <w:t>Příslušníci P ČR byli v roce 201</w:t>
      </w:r>
      <w:r w:rsidR="00B31CDC" w:rsidRPr="00A966B6">
        <w:rPr>
          <w:rFonts w:cs="Arial"/>
          <w:szCs w:val="24"/>
        </w:rPr>
        <w:t>8</w:t>
      </w:r>
      <w:r w:rsidRPr="00A966B6">
        <w:rPr>
          <w:rFonts w:cs="Arial"/>
          <w:szCs w:val="24"/>
        </w:rPr>
        <w:t xml:space="preserve"> trestně stíháni pro </w:t>
      </w:r>
      <w:r w:rsidR="007B1FD3" w:rsidRPr="00A966B6">
        <w:rPr>
          <w:rFonts w:cs="Arial"/>
          <w:szCs w:val="24"/>
        </w:rPr>
        <w:t>167</w:t>
      </w:r>
      <w:r w:rsidRPr="00A966B6">
        <w:rPr>
          <w:rFonts w:cs="Arial"/>
          <w:szCs w:val="24"/>
        </w:rPr>
        <w:t xml:space="preserve"> (</w:t>
      </w:r>
      <w:r w:rsidR="007B1FD3" w:rsidRPr="00A966B6">
        <w:rPr>
          <w:rFonts w:cs="Arial"/>
          <w:szCs w:val="24"/>
        </w:rPr>
        <w:t>-36</w:t>
      </w:r>
      <w:r w:rsidRPr="00A966B6">
        <w:rPr>
          <w:rFonts w:cs="Arial"/>
          <w:szCs w:val="24"/>
        </w:rPr>
        <w:t xml:space="preserve">) TČ. Nejčastěji se jednalo o TČ zneužití pravomoci úřední osoby, </w:t>
      </w:r>
      <w:r w:rsidR="00511345" w:rsidRPr="00A966B6">
        <w:rPr>
          <w:rFonts w:cs="Arial"/>
          <w:szCs w:val="24"/>
        </w:rPr>
        <w:t>3</w:t>
      </w:r>
      <w:r w:rsidRPr="00A966B6">
        <w:rPr>
          <w:rFonts w:cs="Arial"/>
          <w:szCs w:val="24"/>
        </w:rPr>
        <w:t>8 (-</w:t>
      </w:r>
      <w:r w:rsidR="00511345" w:rsidRPr="00A966B6">
        <w:rPr>
          <w:rFonts w:cs="Arial"/>
          <w:szCs w:val="24"/>
        </w:rPr>
        <w:t>10</w:t>
      </w:r>
      <w:r w:rsidRPr="00A966B6">
        <w:rPr>
          <w:rFonts w:cs="Arial"/>
          <w:szCs w:val="24"/>
        </w:rPr>
        <w:t xml:space="preserve">) případů, dále </w:t>
      </w:r>
      <w:r w:rsidR="00D038D4" w:rsidRPr="00A966B6">
        <w:rPr>
          <w:rFonts w:cs="Arial"/>
          <w:szCs w:val="24"/>
        </w:rPr>
        <w:t>podvod, pojistný podvod a úvěrový podvod, celkem 30 případů</w:t>
      </w:r>
      <w:r w:rsidRPr="00A966B6">
        <w:rPr>
          <w:rFonts w:cs="Arial"/>
          <w:szCs w:val="24"/>
        </w:rPr>
        <w:t xml:space="preserve"> </w:t>
      </w:r>
      <w:r w:rsidR="00D038D4" w:rsidRPr="00A966B6">
        <w:rPr>
          <w:rFonts w:cs="Arial"/>
          <w:szCs w:val="24"/>
        </w:rPr>
        <w:t>(v roce 2017</w:t>
      </w:r>
      <w:r w:rsidRPr="00A966B6">
        <w:rPr>
          <w:rFonts w:cs="Arial"/>
          <w:szCs w:val="24"/>
        </w:rPr>
        <w:t xml:space="preserve"> to </w:t>
      </w:r>
      <w:r w:rsidR="00D038D4" w:rsidRPr="00A966B6">
        <w:rPr>
          <w:rFonts w:cs="Arial"/>
          <w:szCs w:val="24"/>
        </w:rPr>
        <w:t xml:space="preserve">byl </w:t>
      </w:r>
      <w:r w:rsidR="004738AC">
        <w:rPr>
          <w:rFonts w:cs="Arial"/>
          <w:szCs w:val="24"/>
        </w:rPr>
        <w:t xml:space="preserve">nejčastěji </w:t>
      </w:r>
      <w:r w:rsidR="00D038D4" w:rsidRPr="00A966B6">
        <w:rPr>
          <w:rFonts w:cs="Arial"/>
          <w:szCs w:val="24"/>
        </w:rPr>
        <w:t>neoprávněný přístup k počítačovému systému a nosiči informací, 20 případů</w:t>
      </w:r>
      <w:r w:rsidRPr="00A966B6">
        <w:rPr>
          <w:rFonts w:cs="Arial"/>
          <w:szCs w:val="24"/>
        </w:rPr>
        <w:t>).</w:t>
      </w:r>
      <w:r w:rsidR="00220852" w:rsidRPr="00A966B6">
        <w:rPr>
          <w:rFonts w:cs="Arial"/>
          <w:szCs w:val="24"/>
        </w:rPr>
        <w:t xml:space="preserve"> Třetím nejčastějším TČ bylo ublížení na zdraví, 24 (-1) případů.</w:t>
      </w:r>
    </w:p>
    <w:p w14:paraId="0CF641C6" w14:textId="77777777" w:rsidR="00B840BB" w:rsidRPr="00A966B6" w:rsidRDefault="00B840BB" w:rsidP="00B840BB">
      <w:pPr>
        <w:spacing w:after="251" w:line="300" w:lineRule="exact"/>
        <w:jc w:val="both"/>
        <w:rPr>
          <w:rFonts w:cs="Arial"/>
          <w:szCs w:val="24"/>
        </w:rPr>
      </w:pPr>
      <w:r w:rsidRPr="00A966B6">
        <w:rPr>
          <w:rFonts w:cs="Arial"/>
          <w:szCs w:val="24"/>
        </w:rPr>
        <w:t>Zaměstnanci P ČR byli v roce 201</w:t>
      </w:r>
      <w:r w:rsidR="00C1271A" w:rsidRPr="00A966B6">
        <w:rPr>
          <w:rFonts w:cs="Arial"/>
          <w:szCs w:val="24"/>
        </w:rPr>
        <w:t>8</w:t>
      </w:r>
      <w:r w:rsidRPr="00A966B6">
        <w:rPr>
          <w:rFonts w:cs="Arial"/>
          <w:szCs w:val="24"/>
        </w:rPr>
        <w:t xml:space="preserve"> trestně stíháni pro </w:t>
      </w:r>
      <w:r w:rsidR="00C1271A" w:rsidRPr="00A966B6">
        <w:rPr>
          <w:rFonts w:cs="Arial"/>
          <w:szCs w:val="24"/>
        </w:rPr>
        <w:t>10</w:t>
      </w:r>
      <w:r w:rsidRPr="00A966B6">
        <w:rPr>
          <w:rFonts w:cs="Arial"/>
          <w:szCs w:val="24"/>
        </w:rPr>
        <w:t xml:space="preserve"> (</w:t>
      </w:r>
      <w:r w:rsidR="00C1271A" w:rsidRPr="00A966B6">
        <w:rPr>
          <w:rFonts w:cs="Arial"/>
          <w:szCs w:val="24"/>
        </w:rPr>
        <w:t>-9</w:t>
      </w:r>
      <w:r w:rsidRPr="00A966B6">
        <w:rPr>
          <w:rFonts w:cs="Arial"/>
          <w:szCs w:val="24"/>
        </w:rPr>
        <w:t xml:space="preserve">) TČ. </w:t>
      </w:r>
    </w:p>
    <w:p w14:paraId="5E45EF5E" w14:textId="77777777" w:rsidR="00B840BB" w:rsidRPr="00A966B6" w:rsidRDefault="00B840BB" w:rsidP="00B840BB">
      <w:pPr>
        <w:spacing w:after="251" w:line="300" w:lineRule="exact"/>
        <w:jc w:val="both"/>
        <w:rPr>
          <w:rFonts w:cs="Arial"/>
          <w:b/>
          <w:szCs w:val="24"/>
        </w:rPr>
      </w:pPr>
      <w:r w:rsidRPr="00A966B6">
        <w:rPr>
          <w:rFonts w:cs="Arial"/>
          <w:b/>
          <w:szCs w:val="24"/>
        </w:rPr>
        <w:t>Vězeňská služba Č</w:t>
      </w:r>
      <w:r w:rsidR="00CC145C" w:rsidRPr="00A966B6">
        <w:rPr>
          <w:rFonts w:cs="Arial"/>
          <w:b/>
          <w:szCs w:val="24"/>
        </w:rPr>
        <w:t>R</w:t>
      </w:r>
    </w:p>
    <w:p w14:paraId="3BFCC9F5" w14:textId="2A8A7C3F" w:rsidR="00B840BB" w:rsidRPr="00A966B6" w:rsidRDefault="00B840BB" w:rsidP="00B840BB">
      <w:pPr>
        <w:spacing w:after="251" w:line="300" w:lineRule="exact"/>
        <w:jc w:val="both"/>
        <w:rPr>
          <w:rFonts w:cs="Arial"/>
          <w:szCs w:val="24"/>
        </w:rPr>
      </w:pPr>
      <w:r w:rsidRPr="00A966B6">
        <w:rPr>
          <w:rFonts w:cs="Arial"/>
          <w:szCs w:val="24"/>
        </w:rPr>
        <w:t>Příslušníci VS ČR byli v roce 201</w:t>
      </w:r>
      <w:r w:rsidR="00203355" w:rsidRPr="00A966B6">
        <w:rPr>
          <w:rFonts w:cs="Arial"/>
          <w:szCs w:val="24"/>
        </w:rPr>
        <w:t>8</w:t>
      </w:r>
      <w:r w:rsidRPr="00A966B6">
        <w:rPr>
          <w:rFonts w:cs="Arial"/>
          <w:szCs w:val="24"/>
        </w:rPr>
        <w:t xml:space="preserve"> trestně stíháni pro </w:t>
      </w:r>
      <w:r w:rsidR="00203355" w:rsidRPr="00A966B6">
        <w:rPr>
          <w:rFonts w:cs="Arial"/>
          <w:szCs w:val="24"/>
        </w:rPr>
        <w:t>22</w:t>
      </w:r>
      <w:r w:rsidRPr="00A966B6">
        <w:rPr>
          <w:rFonts w:cs="Arial"/>
          <w:szCs w:val="24"/>
        </w:rPr>
        <w:t xml:space="preserve"> (-</w:t>
      </w:r>
      <w:r w:rsidR="00203355" w:rsidRPr="00A966B6">
        <w:rPr>
          <w:rFonts w:cs="Arial"/>
          <w:szCs w:val="24"/>
        </w:rPr>
        <w:t>16</w:t>
      </w:r>
      <w:r w:rsidRPr="00A966B6">
        <w:rPr>
          <w:rFonts w:cs="Arial"/>
          <w:szCs w:val="24"/>
        </w:rPr>
        <w:t xml:space="preserve">) TČ. Nejčastěji se jednalo o TČ zneužití pravomoci úřední osoby, </w:t>
      </w:r>
      <w:r w:rsidR="00203355" w:rsidRPr="00A966B6">
        <w:rPr>
          <w:rFonts w:cs="Arial"/>
          <w:szCs w:val="24"/>
        </w:rPr>
        <w:t>4</w:t>
      </w:r>
      <w:r w:rsidRPr="00A966B6">
        <w:rPr>
          <w:rFonts w:cs="Arial"/>
          <w:szCs w:val="24"/>
        </w:rPr>
        <w:t xml:space="preserve"> (-</w:t>
      </w:r>
      <w:r w:rsidR="00203355" w:rsidRPr="00A966B6">
        <w:rPr>
          <w:rFonts w:cs="Arial"/>
          <w:szCs w:val="24"/>
        </w:rPr>
        <w:t>3</w:t>
      </w:r>
      <w:r w:rsidRPr="00A966B6">
        <w:rPr>
          <w:rFonts w:cs="Arial"/>
          <w:szCs w:val="24"/>
        </w:rPr>
        <w:t>) případ</w:t>
      </w:r>
      <w:r w:rsidR="00D4500E" w:rsidRPr="00A966B6">
        <w:rPr>
          <w:rFonts w:cs="Arial"/>
          <w:szCs w:val="24"/>
        </w:rPr>
        <w:t>y</w:t>
      </w:r>
      <w:r w:rsidRPr="00A966B6">
        <w:rPr>
          <w:rFonts w:cs="Arial"/>
          <w:szCs w:val="24"/>
        </w:rPr>
        <w:t xml:space="preserve">, </w:t>
      </w:r>
      <w:r w:rsidR="00203355" w:rsidRPr="00A966B6">
        <w:rPr>
          <w:rFonts w:cs="Arial"/>
          <w:szCs w:val="24"/>
        </w:rPr>
        <w:t xml:space="preserve">úvěrový podvod, 3 případy a podvod, 2 případy (v roce 2017 to byl </w:t>
      </w:r>
      <w:r w:rsidR="004738AC">
        <w:rPr>
          <w:rFonts w:cs="Arial"/>
          <w:szCs w:val="24"/>
        </w:rPr>
        <w:t xml:space="preserve">nejčastěji </w:t>
      </w:r>
      <w:r w:rsidR="00203355" w:rsidRPr="00A966B6">
        <w:rPr>
          <w:rFonts w:cs="Arial"/>
          <w:szCs w:val="24"/>
        </w:rPr>
        <w:t xml:space="preserve">TČ </w:t>
      </w:r>
      <w:r w:rsidRPr="00A966B6">
        <w:rPr>
          <w:rFonts w:cs="Arial"/>
          <w:szCs w:val="24"/>
        </w:rPr>
        <w:t xml:space="preserve">ohrožení pod vlivem návykové látky, 6 </w:t>
      </w:r>
      <w:r w:rsidR="00203355" w:rsidRPr="00A966B6">
        <w:rPr>
          <w:rFonts w:cs="Arial"/>
          <w:szCs w:val="24"/>
        </w:rPr>
        <w:t>případů</w:t>
      </w:r>
      <w:r w:rsidRPr="00A966B6">
        <w:rPr>
          <w:rFonts w:cs="Arial"/>
          <w:szCs w:val="24"/>
        </w:rPr>
        <w:t xml:space="preserve"> a porušení povinnosti dozorčí n</w:t>
      </w:r>
      <w:r w:rsidR="00203355" w:rsidRPr="00A966B6">
        <w:rPr>
          <w:rFonts w:cs="Arial"/>
          <w:szCs w:val="24"/>
        </w:rPr>
        <w:t>ebo jiné služby, 4 případy).</w:t>
      </w:r>
    </w:p>
    <w:p w14:paraId="6BDC898D" w14:textId="77777777" w:rsidR="00B840BB" w:rsidRPr="00A966B6" w:rsidRDefault="00B840BB" w:rsidP="00B840BB">
      <w:pPr>
        <w:spacing w:after="251" w:line="300" w:lineRule="exact"/>
        <w:jc w:val="both"/>
        <w:rPr>
          <w:rFonts w:cs="Arial"/>
          <w:szCs w:val="24"/>
        </w:rPr>
      </w:pPr>
      <w:r w:rsidRPr="00A966B6">
        <w:rPr>
          <w:rFonts w:cs="Arial"/>
          <w:szCs w:val="24"/>
        </w:rPr>
        <w:t>Zaměstnanci VS ČR byli v roce 201</w:t>
      </w:r>
      <w:r w:rsidR="001E5A32" w:rsidRPr="00A966B6">
        <w:rPr>
          <w:rFonts w:cs="Arial"/>
          <w:szCs w:val="24"/>
        </w:rPr>
        <w:t>8</w:t>
      </w:r>
      <w:r w:rsidRPr="00A966B6">
        <w:rPr>
          <w:rFonts w:cs="Arial"/>
          <w:szCs w:val="24"/>
        </w:rPr>
        <w:t xml:space="preserve"> trestně stíháni pro </w:t>
      </w:r>
      <w:r w:rsidR="001E5A32" w:rsidRPr="00A966B6">
        <w:rPr>
          <w:rFonts w:cs="Arial"/>
          <w:szCs w:val="24"/>
        </w:rPr>
        <w:t>12</w:t>
      </w:r>
      <w:r w:rsidRPr="00A966B6">
        <w:rPr>
          <w:rFonts w:cs="Arial"/>
          <w:szCs w:val="24"/>
        </w:rPr>
        <w:t xml:space="preserve"> (</w:t>
      </w:r>
      <w:r w:rsidR="001E5A32" w:rsidRPr="00A966B6">
        <w:rPr>
          <w:rFonts w:cs="Arial"/>
          <w:szCs w:val="24"/>
        </w:rPr>
        <w:t>+5</w:t>
      </w:r>
      <w:r w:rsidRPr="00A966B6">
        <w:rPr>
          <w:rFonts w:cs="Arial"/>
          <w:szCs w:val="24"/>
        </w:rPr>
        <w:t xml:space="preserve">) TČ. </w:t>
      </w:r>
    </w:p>
    <w:p w14:paraId="0695E65B" w14:textId="77777777" w:rsidR="00B840BB" w:rsidRPr="00A966B6" w:rsidRDefault="00B840BB" w:rsidP="00B840BB">
      <w:pPr>
        <w:spacing w:after="251" w:line="300" w:lineRule="exact"/>
        <w:jc w:val="both"/>
        <w:rPr>
          <w:rFonts w:cs="Arial"/>
          <w:b/>
          <w:szCs w:val="24"/>
        </w:rPr>
      </w:pPr>
      <w:r w:rsidRPr="00A966B6">
        <w:rPr>
          <w:rFonts w:cs="Arial"/>
          <w:b/>
          <w:szCs w:val="24"/>
        </w:rPr>
        <w:t>Celní správa Č</w:t>
      </w:r>
      <w:r w:rsidR="00CC145C" w:rsidRPr="00A966B6">
        <w:rPr>
          <w:rFonts w:cs="Arial"/>
          <w:b/>
          <w:szCs w:val="24"/>
        </w:rPr>
        <w:t>R</w:t>
      </w:r>
    </w:p>
    <w:p w14:paraId="3FB2D58D" w14:textId="1DCD5514" w:rsidR="00B840BB" w:rsidRPr="00A966B6" w:rsidRDefault="00B840BB" w:rsidP="00B840BB">
      <w:pPr>
        <w:spacing w:after="251" w:line="300" w:lineRule="exact"/>
        <w:jc w:val="both"/>
        <w:rPr>
          <w:rFonts w:cs="Arial"/>
          <w:b/>
          <w:szCs w:val="24"/>
        </w:rPr>
      </w:pPr>
      <w:r w:rsidRPr="00A966B6">
        <w:rPr>
          <w:rFonts w:cs="Arial"/>
          <w:szCs w:val="24"/>
        </w:rPr>
        <w:t>Příslušníci CS ČR byli v roce 201</w:t>
      </w:r>
      <w:r w:rsidR="00290104" w:rsidRPr="00A966B6">
        <w:rPr>
          <w:rFonts w:cs="Arial"/>
          <w:szCs w:val="24"/>
        </w:rPr>
        <w:t>8</w:t>
      </w:r>
      <w:r w:rsidRPr="00A966B6">
        <w:rPr>
          <w:rFonts w:cs="Arial"/>
          <w:szCs w:val="24"/>
        </w:rPr>
        <w:t xml:space="preserve"> trestně stíháni pro </w:t>
      </w:r>
      <w:r w:rsidR="00290104" w:rsidRPr="00A966B6">
        <w:rPr>
          <w:rFonts w:cs="Arial"/>
          <w:szCs w:val="24"/>
        </w:rPr>
        <w:t>6</w:t>
      </w:r>
      <w:r w:rsidRPr="00A966B6">
        <w:rPr>
          <w:rFonts w:cs="Arial"/>
          <w:szCs w:val="24"/>
        </w:rPr>
        <w:t xml:space="preserve"> (</w:t>
      </w:r>
      <w:r w:rsidR="00290104" w:rsidRPr="00A966B6">
        <w:rPr>
          <w:rFonts w:cs="Arial"/>
          <w:szCs w:val="24"/>
        </w:rPr>
        <w:t>-28</w:t>
      </w:r>
      <w:r w:rsidRPr="00A966B6">
        <w:rPr>
          <w:rFonts w:cs="Arial"/>
          <w:szCs w:val="24"/>
        </w:rPr>
        <w:t xml:space="preserve">) TČ. Nejčastěji se jednalo o </w:t>
      </w:r>
      <w:r w:rsidR="00290104" w:rsidRPr="00A966B6">
        <w:rPr>
          <w:rFonts w:cs="Arial"/>
          <w:szCs w:val="24"/>
        </w:rPr>
        <w:t>TČ zneužití pravomoci</w:t>
      </w:r>
      <w:r w:rsidR="009342B0" w:rsidRPr="00A966B6">
        <w:rPr>
          <w:rFonts w:cs="Arial"/>
          <w:szCs w:val="24"/>
        </w:rPr>
        <w:t xml:space="preserve"> úřední osoby, 2 (-6) případy (v</w:t>
      </w:r>
      <w:r w:rsidR="00290104" w:rsidRPr="00A966B6">
        <w:rPr>
          <w:rFonts w:cs="Arial"/>
          <w:szCs w:val="24"/>
        </w:rPr>
        <w:t xml:space="preserve"> roce 2017 to byl</w:t>
      </w:r>
      <w:r w:rsidR="00D4500E" w:rsidRPr="00A966B6">
        <w:rPr>
          <w:rFonts w:cs="Arial"/>
          <w:szCs w:val="24"/>
        </w:rPr>
        <w:t>o</w:t>
      </w:r>
      <w:r w:rsidR="00290104" w:rsidRPr="00A966B6">
        <w:rPr>
          <w:rFonts w:cs="Arial"/>
          <w:szCs w:val="24"/>
        </w:rPr>
        <w:t xml:space="preserve"> </w:t>
      </w:r>
      <w:r w:rsidR="004738AC">
        <w:rPr>
          <w:rFonts w:cs="Arial"/>
          <w:szCs w:val="24"/>
        </w:rPr>
        <w:t xml:space="preserve">nejčastěji </w:t>
      </w:r>
      <w:r w:rsidRPr="00A966B6">
        <w:rPr>
          <w:rFonts w:cs="Arial"/>
          <w:szCs w:val="24"/>
        </w:rPr>
        <w:t xml:space="preserve">TČ maření úkolu úřední osoby z nedbalosti, 10 </w:t>
      </w:r>
      <w:r w:rsidR="00290104" w:rsidRPr="00A966B6">
        <w:rPr>
          <w:rFonts w:cs="Arial"/>
          <w:szCs w:val="24"/>
        </w:rPr>
        <w:t xml:space="preserve">případů a </w:t>
      </w:r>
      <w:r w:rsidRPr="00A966B6">
        <w:rPr>
          <w:rFonts w:cs="Arial"/>
          <w:szCs w:val="24"/>
        </w:rPr>
        <w:t>přijetí úplatku, 8 případů</w:t>
      </w:r>
      <w:r w:rsidR="00290104" w:rsidRPr="00A966B6">
        <w:rPr>
          <w:rFonts w:cs="Arial"/>
          <w:szCs w:val="24"/>
        </w:rPr>
        <w:t>)</w:t>
      </w:r>
      <w:r w:rsidR="009342B0" w:rsidRPr="00A966B6">
        <w:rPr>
          <w:rFonts w:cs="Arial"/>
          <w:szCs w:val="24"/>
        </w:rPr>
        <w:t>.</w:t>
      </w:r>
    </w:p>
    <w:p w14:paraId="52E97E53" w14:textId="6E04D46B" w:rsidR="00B4028F" w:rsidRPr="00B4028F" w:rsidRDefault="00B840BB" w:rsidP="00B4028F">
      <w:r w:rsidRPr="00A966B6">
        <w:rPr>
          <w:rFonts w:cs="Arial"/>
          <w:szCs w:val="24"/>
        </w:rPr>
        <w:t>Zaměstnanci CS ČR byli v roce 201</w:t>
      </w:r>
      <w:r w:rsidR="00290104" w:rsidRPr="00A966B6">
        <w:rPr>
          <w:rFonts w:cs="Arial"/>
          <w:szCs w:val="24"/>
        </w:rPr>
        <w:t>8</w:t>
      </w:r>
      <w:r w:rsidRPr="00A966B6">
        <w:rPr>
          <w:rFonts w:cs="Arial"/>
          <w:szCs w:val="24"/>
        </w:rPr>
        <w:t xml:space="preserve"> trestně stíháni </w:t>
      </w:r>
      <w:r w:rsidR="00290104" w:rsidRPr="00A966B6">
        <w:rPr>
          <w:rFonts w:cs="Arial"/>
          <w:szCs w:val="24"/>
        </w:rPr>
        <w:t xml:space="preserve">pro 2 </w:t>
      </w:r>
      <w:r w:rsidRPr="00A966B6">
        <w:rPr>
          <w:rFonts w:cs="Arial"/>
          <w:szCs w:val="24"/>
        </w:rPr>
        <w:t>(</w:t>
      </w:r>
      <w:r w:rsidR="00290104" w:rsidRPr="00A966B6">
        <w:rPr>
          <w:rFonts w:cs="Arial"/>
          <w:szCs w:val="24"/>
        </w:rPr>
        <w:t>+2</w:t>
      </w:r>
      <w:r w:rsidRPr="00A966B6">
        <w:rPr>
          <w:rFonts w:cs="Arial"/>
          <w:szCs w:val="24"/>
        </w:rPr>
        <w:t>)</w:t>
      </w:r>
      <w:r w:rsidR="00290104" w:rsidRPr="00A966B6">
        <w:rPr>
          <w:rFonts w:cs="Arial"/>
          <w:szCs w:val="24"/>
        </w:rPr>
        <w:t xml:space="preserve"> TČ</w:t>
      </w:r>
      <w:r w:rsidRPr="00A966B6">
        <w:rPr>
          <w:rFonts w:cs="Arial"/>
          <w:szCs w:val="24"/>
        </w:rPr>
        <w:t>.</w:t>
      </w:r>
    </w:p>
    <w:p w14:paraId="706D8F04" w14:textId="7F405C5B" w:rsidR="00B840BB" w:rsidRPr="00A966B6" w:rsidRDefault="00B840BB">
      <w:pPr>
        <w:pStyle w:val="Nadpis2"/>
      </w:pPr>
      <w:bookmarkStart w:id="112" w:name="_Toc2085166"/>
      <w:bookmarkStart w:id="113" w:name="_Toc2682548"/>
      <w:r w:rsidRPr="00A966B6">
        <w:t>Zkouška spolehlivosti</w:t>
      </w:r>
      <w:bookmarkEnd w:id="112"/>
      <w:bookmarkEnd w:id="113"/>
      <w:r w:rsidR="00D815F5" w:rsidRPr="00A966B6">
        <w:t xml:space="preserve"> </w:t>
      </w:r>
    </w:p>
    <w:p w14:paraId="3614847D" w14:textId="77777777" w:rsidR="008C0D62" w:rsidRPr="00A966B6" w:rsidRDefault="008C0D62" w:rsidP="008C0D62">
      <w:pPr>
        <w:autoSpaceDE w:val="0"/>
        <w:autoSpaceDN w:val="0"/>
        <w:adjustRightInd w:val="0"/>
        <w:spacing w:after="251" w:line="300" w:lineRule="exact"/>
        <w:jc w:val="both"/>
        <w:rPr>
          <w:rFonts w:cs="Arial"/>
          <w:bCs/>
          <w:szCs w:val="24"/>
        </w:rPr>
      </w:pPr>
      <w:r w:rsidRPr="00A966B6">
        <w:rPr>
          <w:rFonts w:cs="Arial"/>
          <w:bCs/>
          <w:szCs w:val="24"/>
        </w:rPr>
        <w:t xml:space="preserve">Zkoušku spolehlivosti (dále jen „ZS“) provádějí příslušníci specializovaného pracoviště GIBS (dále jen „inspektoři“) u příslušníků a zaměstnanců P ČR, VS ČR, CS ČR </w:t>
      </w:r>
      <w:r w:rsidRPr="00A966B6">
        <w:rPr>
          <w:rFonts w:cs="Arial"/>
          <w:bCs/>
          <w:szCs w:val="24"/>
        </w:rPr>
        <w:br/>
        <w:t>a GIBS.</w:t>
      </w:r>
    </w:p>
    <w:p w14:paraId="4C2B88F3" w14:textId="77777777" w:rsidR="008C0D62" w:rsidRPr="00A966B6" w:rsidRDefault="008C0D62" w:rsidP="008C0D62">
      <w:pPr>
        <w:pStyle w:val="Normlnweb"/>
        <w:spacing w:before="0" w:beforeAutospacing="0" w:after="251" w:afterAutospacing="0" w:line="300" w:lineRule="exact"/>
        <w:jc w:val="both"/>
        <w:rPr>
          <w:rFonts w:ascii="Arial" w:hAnsi="Arial" w:cs="Arial"/>
          <w:vertAlign w:val="superscript"/>
        </w:rPr>
      </w:pPr>
      <w:r w:rsidRPr="00A966B6">
        <w:rPr>
          <w:rFonts w:ascii="Arial" w:hAnsi="Arial" w:cs="Arial"/>
        </w:rPr>
        <w:lastRenderedPageBreak/>
        <w:t xml:space="preserve">Jedná se o navození situace, kterou je zkoušená osoba povinna řešit v rámci výkonu služby nebo zaměstnání. Účelem této zkoušky je předcházení, zamezování </w:t>
      </w:r>
      <w:r w:rsidRPr="00A966B6">
        <w:rPr>
          <w:rFonts w:ascii="Arial" w:hAnsi="Arial" w:cs="Arial"/>
        </w:rPr>
        <w:br/>
        <w:t>a odhalování protiprávního jednání příslušníků a zaměstnanců BS. Ustanovení o ZS výslovně zakazuje ZS bezprostředně ohrozit nebo poškodit život nebo zdraví osob, jejich majetku anebo omezit svobody osob. Zároveň musí být zachována lidská důstojnost.</w:t>
      </w:r>
      <w:r w:rsidRPr="00A966B6">
        <w:rPr>
          <w:rStyle w:val="Znakapoznpodarou"/>
          <w:rFonts w:ascii="Arial" w:hAnsi="Arial" w:cs="Arial"/>
        </w:rPr>
        <w:footnoteReference w:id="2"/>
      </w:r>
      <w:r w:rsidRPr="00A966B6">
        <w:rPr>
          <w:rFonts w:ascii="Arial" w:hAnsi="Arial" w:cs="Arial"/>
          <w:vertAlign w:val="superscript"/>
        </w:rPr>
        <w:t>)</w:t>
      </w:r>
    </w:p>
    <w:p w14:paraId="3D31AE71" w14:textId="77777777" w:rsidR="008C0D62" w:rsidRPr="00A966B6" w:rsidRDefault="008C0D62" w:rsidP="008C0D62">
      <w:pPr>
        <w:pStyle w:val="Normlnweb"/>
        <w:spacing w:before="0" w:beforeAutospacing="0" w:after="251" w:afterAutospacing="0" w:line="300" w:lineRule="exact"/>
        <w:jc w:val="both"/>
        <w:rPr>
          <w:rFonts w:ascii="Arial" w:hAnsi="Arial" w:cs="Arial"/>
        </w:rPr>
      </w:pPr>
      <w:r w:rsidRPr="00A966B6">
        <w:rPr>
          <w:rFonts w:ascii="Arial" w:hAnsi="Arial" w:cs="Arial"/>
        </w:rPr>
        <w:t>ZS je významným preventivním prvkem pro předcházení protiprávního jednání příslušníků a zaměstnanců určených BS a je orientována zejména ve vztahu k boji s korupcí.</w:t>
      </w:r>
    </w:p>
    <w:p w14:paraId="35FDE890" w14:textId="77777777" w:rsidR="008C0D62" w:rsidRPr="00A966B6" w:rsidRDefault="008C0D62" w:rsidP="008C0D62">
      <w:pPr>
        <w:pStyle w:val="Normlnweb"/>
        <w:spacing w:before="0" w:beforeAutospacing="0" w:after="251" w:afterAutospacing="0" w:line="300" w:lineRule="exact"/>
        <w:jc w:val="both"/>
        <w:rPr>
          <w:rFonts w:ascii="Arial" w:hAnsi="Arial" w:cs="Arial"/>
        </w:rPr>
      </w:pPr>
      <w:r w:rsidRPr="00A966B6">
        <w:rPr>
          <w:rFonts w:ascii="Arial" w:hAnsi="Arial" w:cs="Arial"/>
        </w:rPr>
        <w:t xml:space="preserve">V roce 2018 byly inspektory zahájeny přípravné práce na 56 ZS, přičemž dokončeno a zadokumentováno bylo 40 ZS. V 5 případech bylo zjištěno protiprávní jednání. </w:t>
      </w:r>
    </w:p>
    <w:p w14:paraId="68CFA909" w14:textId="77777777" w:rsidR="008C0D62" w:rsidRPr="00A966B6" w:rsidRDefault="008C0D62" w:rsidP="008C0D62">
      <w:pPr>
        <w:pStyle w:val="Normlnweb"/>
        <w:spacing w:before="0" w:beforeAutospacing="0" w:after="251" w:afterAutospacing="0" w:line="300" w:lineRule="exact"/>
        <w:jc w:val="both"/>
        <w:rPr>
          <w:rFonts w:ascii="Arial" w:hAnsi="Arial" w:cs="Arial"/>
        </w:rPr>
      </w:pPr>
      <w:r w:rsidRPr="00A966B6">
        <w:rPr>
          <w:rFonts w:ascii="Arial" w:hAnsi="Arial" w:cs="Arial"/>
        </w:rPr>
        <w:t>Zásadním problémem, který letitá praxe provádění ZS přinesla, je rozmáhající se laxní přístup k výkonu služby, kdy velmi často zkoušené osoby nereagují na navozenou situaci ze strany GIBS a ZS tak nemůže být v praxi provedena, ačkoli je připravena. Jedná se o případy, kdy příslušník má konat na základě vlastního rozhodnutí - např. kontrola vozidel, osob nebo věcí, a to v rámci běžné služby. Příslušníci inspekce nemají zákonnou možnost, jak přinutit příslušníky k aktivitě, protože tzv. "policejní provokace" je nepřípustná.</w:t>
      </w:r>
    </w:p>
    <w:p w14:paraId="0194BE7A" w14:textId="77777777" w:rsidR="008C0D62" w:rsidRPr="00A966B6" w:rsidRDefault="008C0D62" w:rsidP="008C0D62">
      <w:pPr>
        <w:pStyle w:val="Normlnweb"/>
        <w:spacing w:before="0" w:beforeAutospacing="0" w:after="251" w:afterAutospacing="0" w:line="300" w:lineRule="exact"/>
        <w:jc w:val="both"/>
        <w:rPr>
          <w:rFonts w:ascii="Arial" w:hAnsi="Arial" w:cs="Arial"/>
        </w:rPr>
      </w:pPr>
      <w:r w:rsidRPr="00A966B6">
        <w:rPr>
          <w:rFonts w:ascii="Arial" w:hAnsi="Arial" w:cs="Arial"/>
        </w:rPr>
        <w:t>GIBS má, dle ustanovení § 41 odst. 9 zákona o GIBS, stanoven</w:t>
      </w:r>
      <w:r w:rsidR="00776BC3">
        <w:rPr>
          <w:rFonts w:ascii="Arial" w:hAnsi="Arial" w:cs="Arial"/>
        </w:rPr>
        <w:t>o</w:t>
      </w:r>
      <w:r w:rsidRPr="00A966B6">
        <w:rPr>
          <w:rFonts w:ascii="Arial" w:hAnsi="Arial" w:cs="Arial"/>
        </w:rPr>
        <w:t>u povinnost předat jednou za půl roku příslušnému BS jména osob, vůči kterým byla zkouška provedena, a které se při ní protiprávního jednání nedopustily. Jmenný seznam těchto osob za rok 2018 byl dotčeným BS předán, čímž byla tato zákonná povinnost splněna.</w:t>
      </w:r>
    </w:p>
    <w:p w14:paraId="5D846EE1" w14:textId="7B8E024F" w:rsidR="008C0D62" w:rsidRDefault="008C0D62" w:rsidP="008C0D62">
      <w:pPr>
        <w:jc w:val="both"/>
        <w:rPr>
          <w:rFonts w:cs="Arial"/>
          <w:szCs w:val="24"/>
        </w:rPr>
      </w:pPr>
      <w:r w:rsidRPr="00A966B6">
        <w:rPr>
          <w:rFonts w:cs="Arial"/>
          <w:szCs w:val="24"/>
        </w:rPr>
        <w:t>V roce 2018 se podařila navázat v oblasti zkoušek spolehlivosti mezinárodní spolupráce s republikami Moldavsko a Srbsko</w:t>
      </w:r>
      <w:r w:rsidR="001B3AD8">
        <w:rPr>
          <w:rFonts w:cs="Arial"/>
          <w:szCs w:val="24"/>
        </w:rPr>
        <w:t xml:space="preserve">, kdy byla dohodnuta vzájemná spolupráce, především na úseku výměny zkušeností. </w:t>
      </w:r>
      <w:r w:rsidRPr="00A966B6">
        <w:rPr>
          <w:rFonts w:cs="Arial"/>
          <w:szCs w:val="24"/>
        </w:rPr>
        <w:t xml:space="preserve"> </w:t>
      </w:r>
    </w:p>
    <w:p w14:paraId="3C9E876E" w14:textId="11FB879D" w:rsidR="00B840BB" w:rsidRPr="00A966B6" w:rsidRDefault="00B840BB" w:rsidP="00CB57EE">
      <w:pPr>
        <w:pStyle w:val="Nadpis2"/>
        <w:spacing w:after="251" w:line="300" w:lineRule="exact"/>
      </w:pPr>
      <w:bookmarkStart w:id="114" w:name="_Toc2085167"/>
      <w:bookmarkStart w:id="115" w:name="_Toc2682549"/>
      <w:r w:rsidRPr="00A966B6">
        <w:t>Preventivní opatření a metodická doporučení</w:t>
      </w:r>
      <w:bookmarkEnd w:id="114"/>
      <w:bookmarkEnd w:id="115"/>
      <w:r w:rsidR="00D815F5" w:rsidRPr="00A966B6">
        <w:t xml:space="preserve"> </w:t>
      </w:r>
    </w:p>
    <w:p w14:paraId="7206291E" w14:textId="3AF8508F" w:rsidR="00CF10FC" w:rsidRPr="00A966B6" w:rsidRDefault="00CF10FC" w:rsidP="00CF10FC">
      <w:pPr>
        <w:ind w:right="62"/>
        <w:jc w:val="both"/>
      </w:pPr>
      <w:r w:rsidRPr="00A966B6">
        <w:t xml:space="preserve">Jedním z významných preventivních nástrojů, kterými GIBS účinně působí na jednotlivé BS a jejich příslušníky, je přednášková činnost, která je zařazena do vzdělávacích aktivit těchto sborů. </w:t>
      </w:r>
    </w:p>
    <w:p w14:paraId="71644A19" w14:textId="3382CF4E" w:rsidR="00CF10FC" w:rsidRPr="00A966B6" w:rsidRDefault="00CF10FC" w:rsidP="00CF10FC">
      <w:pPr>
        <w:spacing w:after="226"/>
        <w:ind w:right="62"/>
        <w:jc w:val="both"/>
      </w:pPr>
      <w:r>
        <w:t xml:space="preserve">GIBS podle ustanovení § 2 odst. 5 zákona č. 341/2011 Sb., o GIBS, vydává metodická doporučení pro činnost jednotlivých bezpečnostních sborů, která jsou projednávána v poradním orgánu ředitele GIBS </w:t>
      </w:r>
      <w:r w:rsidRPr="00A966B6">
        <w:t>Metodick</w:t>
      </w:r>
      <w:r>
        <w:t>é</w:t>
      </w:r>
      <w:r w:rsidRPr="00A966B6">
        <w:t xml:space="preserve"> rad</w:t>
      </w:r>
      <w:r>
        <w:t>ě</w:t>
      </w:r>
      <w:r w:rsidRPr="00A966B6">
        <w:t xml:space="preserve"> pro bezpečnostní sbory</w:t>
      </w:r>
      <w:r>
        <w:t xml:space="preserve"> V roce 2018 bylo vydáno jedno metodické doporučení pro činnost bezpečnostních sborů a dále byla projednávána další témata dotýkající se metodické činnosti.</w:t>
      </w:r>
    </w:p>
    <w:p w14:paraId="4F310564" w14:textId="436FB8C6" w:rsidR="00364A0F" w:rsidRPr="00A966B6" w:rsidRDefault="00CD7558" w:rsidP="006D3315">
      <w:pPr>
        <w:pStyle w:val="Nadpis1"/>
        <w:spacing w:before="0" w:after="251" w:line="300" w:lineRule="exact"/>
      </w:pPr>
      <w:bookmarkStart w:id="116" w:name="_Toc490037967"/>
      <w:bookmarkStart w:id="117" w:name="_Toc490038247"/>
      <w:bookmarkStart w:id="118" w:name="_Toc490039072"/>
      <w:bookmarkStart w:id="119" w:name="_Toc490039205"/>
      <w:bookmarkStart w:id="120" w:name="_Toc490039752"/>
      <w:bookmarkStart w:id="121" w:name="_Toc490049114"/>
      <w:bookmarkStart w:id="122" w:name="_Toc490037968"/>
      <w:bookmarkStart w:id="123" w:name="_Toc490038248"/>
      <w:bookmarkStart w:id="124" w:name="_Toc490039073"/>
      <w:bookmarkStart w:id="125" w:name="_Toc490039206"/>
      <w:bookmarkStart w:id="126" w:name="_Toc490039753"/>
      <w:bookmarkStart w:id="127" w:name="_Toc490049115"/>
      <w:bookmarkStart w:id="128" w:name="_Toc490037969"/>
      <w:bookmarkStart w:id="129" w:name="_Toc490038249"/>
      <w:bookmarkStart w:id="130" w:name="_Toc490039074"/>
      <w:bookmarkStart w:id="131" w:name="_Toc490039207"/>
      <w:bookmarkStart w:id="132" w:name="_Toc490039754"/>
      <w:bookmarkStart w:id="133" w:name="_Toc490049116"/>
      <w:bookmarkStart w:id="134" w:name="_Toc490037970"/>
      <w:bookmarkStart w:id="135" w:name="_Toc490038250"/>
      <w:bookmarkStart w:id="136" w:name="_Toc490039075"/>
      <w:bookmarkStart w:id="137" w:name="_Toc490039208"/>
      <w:bookmarkStart w:id="138" w:name="_Toc490039755"/>
      <w:bookmarkStart w:id="139" w:name="_Toc490049117"/>
      <w:bookmarkStart w:id="140" w:name="_Toc490037971"/>
      <w:bookmarkStart w:id="141" w:name="_Toc490038251"/>
      <w:bookmarkStart w:id="142" w:name="_Toc490039076"/>
      <w:bookmarkStart w:id="143" w:name="_Toc490039209"/>
      <w:bookmarkStart w:id="144" w:name="_Toc490039756"/>
      <w:bookmarkStart w:id="145" w:name="_Toc490049118"/>
      <w:bookmarkStart w:id="146" w:name="_Toc490037972"/>
      <w:bookmarkStart w:id="147" w:name="_Toc490038252"/>
      <w:bookmarkStart w:id="148" w:name="_Toc490039077"/>
      <w:bookmarkStart w:id="149" w:name="_Toc490039210"/>
      <w:bookmarkStart w:id="150" w:name="_Toc490039757"/>
      <w:bookmarkStart w:id="151" w:name="_Toc490049119"/>
      <w:bookmarkStart w:id="152" w:name="_Toc490037973"/>
      <w:bookmarkStart w:id="153" w:name="_Toc490038253"/>
      <w:bookmarkStart w:id="154" w:name="_Toc490039078"/>
      <w:bookmarkStart w:id="155" w:name="_Toc490039211"/>
      <w:bookmarkStart w:id="156" w:name="_Toc490039758"/>
      <w:bookmarkStart w:id="157" w:name="_Toc490049120"/>
      <w:bookmarkStart w:id="158" w:name="_Toc490037974"/>
      <w:bookmarkStart w:id="159" w:name="_Toc490038254"/>
      <w:bookmarkStart w:id="160" w:name="_Toc490039079"/>
      <w:bookmarkStart w:id="161" w:name="_Toc490039212"/>
      <w:bookmarkStart w:id="162" w:name="_Toc490039759"/>
      <w:bookmarkStart w:id="163" w:name="_Toc490049121"/>
      <w:bookmarkStart w:id="164" w:name="_Toc490039760"/>
      <w:bookmarkStart w:id="165" w:name="_Toc490049122"/>
      <w:bookmarkStart w:id="166" w:name="_Toc490039761"/>
      <w:bookmarkStart w:id="167" w:name="_Toc490049123"/>
      <w:bookmarkStart w:id="168" w:name="_Toc490039762"/>
      <w:bookmarkStart w:id="169" w:name="_Toc490049124"/>
      <w:bookmarkStart w:id="170" w:name="_Toc490039764"/>
      <w:bookmarkStart w:id="171" w:name="_Toc490049126"/>
      <w:bookmarkStart w:id="172" w:name="_Toc490039766"/>
      <w:bookmarkStart w:id="173" w:name="_Toc490049128"/>
      <w:bookmarkStart w:id="174" w:name="_Toc490039772"/>
      <w:bookmarkStart w:id="175" w:name="_Toc490049134"/>
      <w:bookmarkStart w:id="176" w:name="_Toc488929355"/>
      <w:bookmarkStart w:id="177" w:name="_Toc488929628"/>
      <w:bookmarkStart w:id="178" w:name="_Toc488929800"/>
      <w:bookmarkStart w:id="179" w:name="_Toc488929853"/>
      <w:bookmarkStart w:id="180" w:name="_Toc488929892"/>
      <w:bookmarkStart w:id="181" w:name="_Toc488930993"/>
      <w:bookmarkStart w:id="182" w:name="_Toc488993771"/>
      <w:bookmarkStart w:id="183" w:name="_Toc488994482"/>
      <w:bookmarkStart w:id="184" w:name="_Toc488994796"/>
      <w:bookmarkStart w:id="185" w:name="_Toc488929356"/>
      <w:bookmarkStart w:id="186" w:name="_Toc488929629"/>
      <w:bookmarkStart w:id="187" w:name="_Toc488929801"/>
      <w:bookmarkStart w:id="188" w:name="_Toc488929854"/>
      <w:bookmarkStart w:id="189" w:name="_Toc488929893"/>
      <w:bookmarkStart w:id="190" w:name="_Toc488930994"/>
      <w:bookmarkStart w:id="191" w:name="_Toc488993772"/>
      <w:bookmarkStart w:id="192" w:name="_Toc488994483"/>
      <w:bookmarkStart w:id="193" w:name="_Toc488994797"/>
      <w:bookmarkStart w:id="194" w:name="_Toc2085168"/>
      <w:bookmarkStart w:id="195" w:name="_Toc2682550"/>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A966B6">
        <w:lastRenderedPageBreak/>
        <w:t>OCHRANA UTAJOVANÝCH INFORMACÍ</w:t>
      </w:r>
      <w:bookmarkEnd w:id="194"/>
      <w:bookmarkEnd w:id="195"/>
    </w:p>
    <w:p w14:paraId="2DDD1CE8" w14:textId="2288F77F" w:rsidR="008C0D62" w:rsidRPr="00A966B6" w:rsidRDefault="008C0D62" w:rsidP="008C0D62">
      <w:pPr>
        <w:pStyle w:val="Odstavecseseznamem"/>
        <w:spacing w:after="251" w:line="300" w:lineRule="exact"/>
        <w:ind w:left="0"/>
        <w:jc w:val="both"/>
        <w:rPr>
          <w:rFonts w:cs="Arial"/>
          <w:szCs w:val="24"/>
        </w:rPr>
      </w:pPr>
      <w:r w:rsidRPr="00A966B6">
        <w:rPr>
          <w:rFonts w:cs="Arial"/>
          <w:szCs w:val="24"/>
        </w:rPr>
        <w:t>V průběhu celého roku 2018 byla věnována hlavní pozornost v oblasti ochrany utajovaných informací (dále též jen „OUI“) preventivní a metodické činnosti se zaměřením na dodržování zásad ve všech oblastech činnosti GIBS. Průběžně byla prováděna vlastní kontrolní činnost v oblasti administrativní a fyzické bezpečnosti formou tematických kontrol. Cílem bylo prověřit dodržování zásad OUI dle aktuálně platné právní úpravy, včetně</w:t>
      </w:r>
      <w:r w:rsidRPr="00A966B6">
        <w:t xml:space="preserve"> d</w:t>
      </w:r>
      <w:r w:rsidRPr="00A966B6">
        <w:rPr>
          <w:rFonts w:eastAsia="MyriadPro-Light" w:cs="Arial"/>
          <w:szCs w:val="24"/>
        </w:rPr>
        <w:t xml:space="preserve">održování zásady </w:t>
      </w:r>
      <w:r w:rsidR="001C603A">
        <w:rPr>
          <w:rFonts w:eastAsia="MyriadPro-Light" w:cs="Arial"/>
          <w:szCs w:val="24"/>
        </w:rPr>
        <w:t>„</w:t>
      </w:r>
      <w:proofErr w:type="spellStart"/>
      <w:r w:rsidRPr="00A966B6">
        <w:rPr>
          <w:rFonts w:cs="Arial"/>
          <w:szCs w:val="24"/>
          <w:shd w:val="clear" w:color="auto" w:fill="FFFFFF"/>
          <w:lang w:eastAsia="en-US"/>
        </w:rPr>
        <w:t>need</w:t>
      </w:r>
      <w:proofErr w:type="spellEnd"/>
      <w:r w:rsidRPr="00A966B6">
        <w:rPr>
          <w:rFonts w:cs="Arial"/>
          <w:szCs w:val="24"/>
          <w:shd w:val="clear" w:color="auto" w:fill="FFFFFF"/>
          <w:lang w:eastAsia="en-US"/>
        </w:rPr>
        <w:t xml:space="preserve"> to </w:t>
      </w:r>
      <w:proofErr w:type="spellStart"/>
      <w:r w:rsidRPr="00A966B6">
        <w:rPr>
          <w:rFonts w:cs="Arial"/>
          <w:szCs w:val="24"/>
          <w:shd w:val="clear" w:color="auto" w:fill="FFFFFF"/>
          <w:lang w:eastAsia="en-US"/>
        </w:rPr>
        <w:t>know</w:t>
      </w:r>
      <w:proofErr w:type="spellEnd"/>
      <w:r w:rsidR="001C603A">
        <w:rPr>
          <w:rFonts w:cs="Arial"/>
          <w:szCs w:val="24"/>
          <w:shd w:val="clear" w:color="auto" w:fill="FFFFFF"/>
          <w:lang w:eastAsia="en-US"/>
        </w:rPr>
        <w:t>“</w:t>
      </w:r>
      <w:r w:rsidRPr="00A966B6">
        <w:rPr>
          <w:rFonts w:cs="Arial"/>
          <w:szCs w:val="24"/>
          <w:shd w:val="clear" w:color="auto" w:fill="FFFFFF"/>
          <w:lang w:eastAsia="en-US"/>
        </w:rPr>
        <w:t xml:space="preserve"> (potřeba vědět), tedy co nejužší vymezení okruhu osob, které konkrétní utajované informace ke své činnosti skutečně potřebují. S účinností od 1. 1. 2018 má GIBS svůj samostatný seznam utajovaných informací v oblasti své působnosti v rozsahu stupně utajení Vyhrazené až Tajné. Také v uplynulém roce se GIBS podílela na činnosti mezirezortní pracovní skupiny „Dopady elektronizace veřejné správy na činnost bezpečnostních složek České republiky“ v gesci bezpečnostního odboru Ministerstva vnitra. Spolupráce s tímto odborem je bezpečnostním ředitelem GIBS hodnocena jako vysoce profesionální a přínosná pro ochranu klíčových aktiv GIBS.</w:t>
      </w:r>
    </w:p>
    <w:p w14:paraId="16AACEFE" w14:textId="77777777" w:rsidR="00347E2F" w:rsidRPr="00A966B6" w:rsidRDefault="00347E2F" w:rsidP="00CB57EE">
      <w:pPr>
        <w:pStyle w:val="Nadpis2"/>
        <w:spacing w:after="251" w:line="300" w:lineRule="exact"/>
      </w:pPr>
      <w:bookmarkStart w:id="196" w:name="_Toc2085169"/>
      <w:bookmarkStart w:id="197" w:name="_Toc2682551"/>
      <w:r w:rsidRPr="00A966B6">
        <w:t>Personální a administrativní bezpečnost</w:t>
      </w:r>
      <w:bookmarkEnd w:id="196"/>
      <w:bookmarkEnd w:id="197"/>
    </w:p>
    <w:p w14:paraId="31D3B087" w14:textId="77777777" w:rsidR="008C0D62" w:rsidRPr="00A966B6" w:rsidRDefault="008C0D62" w:rsidP="008C0D62">
      <w:pPr>
        <w:spacing w:after="251" w:line="300" w:lineRule="exact"/>
        <w:jc w:val="both"/>
        <w:rPr>
          <w:rFonts w:cs="Arial"/>
          <w:szCs w:val="24"/>
        </w:rPr>
      </w:pPr>
      <w:r w:rsidRPr="00A966B6">
        <w:rPr>
          <w:rFonts w:cs="Arial"/>
          <w:szCs w:val="24"/>
        </w:rPr>
        <w:t xml:space="preserve">OUI byla u GIBS při jejich tvorbě, manipulaci a evidenci prováděna v souladu se zákonem č. 412/2005 Sb., o ochraně utajovaných informací a o bezpečnostní způsobilosti, ve znění pozdějších předpisů (dále jen „zákon o OUI“), vyhláškou </w:t>
      </w:r>
      <w:r w:rsidRPr="00A966B6">
        <w:rPr>
          <w:rFonts w:cs="Arial"/>
          <w:szCs w:val="24"/>
        </w:rPr>
        <w:br/>
        <w:t>č. 529/2005 Sb., o administrativní bezpečnosti a o registrech utajovaných informací, ve znění pozdějších předpisů, a souvisejícími interními akty řízení.</w:t>
      </w:r>
    </w:p>
    <w:p w14:paraId="2128051C" w14:textId="77777777" w:rsidR="008C0D62" w:rsidRPr="00A966B6" w:rsidRDefault="008C0D62" w:rsidP="008C0D62">
      <w:pPr>
        <w:spacing w:after="251" w:line="300" w:lineRule="exact"/>
        <w:jc w:val="both"/>
        <w:rPr>
          <w:rFonts w:cs="Arial"/>
          <w:szCs w:val="24"/>
        </w:rPr>
      </w:pPr>
      <w:r w:rsidRPr="00A966B6">
        <w:rPr>
          <w:rFonts w:cs="Arial"/>
          <w:szCs w:val="24"/>
        </w:rPr>
        <w:t>K 31. prosinci 2018 bylo u GIBS systemizováno 14 tabulkových míst pro stupeň utajení Tajné, 230 tabulkových míst pro stupeň utajení Důvěrné a 91</w:t>
      </w:r>
      <w:r w:rsidRPr="00A966B6">
        <w:rPr>
          <w:rFonts w:cs="Arial"/>
          <w:b/>
          <w:szCs w:val="24"/>
        </w:rPr>
        <w:t xml:space="preserve"> </w:t>
      </w:r>
      <w:r w:rsidRPr="00A966B6">
        <w:rPr>
          <w:rFonts w:cs="Arial"/>
          <w:szCs w:val="24"/>
        </w:rPr>
        <w:t>tabulkových míst pro stupeň utajení Vyhrazené. Celkový počet systemizovaných tabulkových míst u GIBS je 335.</w:t>
      </w:r>
    </w:p>
    <w:p w14:paraId="1758C363" w14:textId="77777777" w:rsidR="008C0D62" w:rsidRPr="00A966B6" w:rsidRDefault="008C0D62" w:rsidP="008C0D62">
      <w:pPr>
        <w:spacing w:after="251" w:line="300" w:lineRule="exact"/>
        <w:jc w:val="both"/>
        <w:rPr>
          <w:rFonts w:cs="Arial"/>
          <w:szCs w:val="24"/>
        </w:rPr>
      </w:pPr>
      <w:r w:rsidRPr="00A966B6">
        <w:rPr>
          <w:rFonts w:cs="Arial"/>
          <w:szCs w:val="24"/>
        </w:rPr>
        <w:t>V platnosti je celkem 83 oznámení pro stupeň utajení Vyhrazené a 224 osvědčení, z toho 210 pro stupeň utajení Důvěrné a 12 pro stupeň utajení Tajné.</w:t>
      </w:r>
    </w:p>
    <w:p w14:paraId="434C79FE" w14:textId="77777777" w:rsidR="008C0D62" w:rsidRPr="00A966B6" w:rsidRDefault="008C0D62" w:rsidP="008C0D62">
      <w:pPr>
        <w:spacing w:after="251" w:line="300" w:lineRule="exact"/>
        <w:jc w:val="both"/>
        <w:rPr>
          <w:rFonts w:cs="Arial"/>
          <w:szCs w:val="24"/>
        </w:rPr>
      </w:pPr>
      <w:r w:rsidRPr="00A966B6">
        <w:rPr>
          <w:rFonts w:cs="Arial"/>
          <w:szCs w:val="24"/>
        </w:rPr>
        <w:t>K 31. prosinci 2018 bylo u GIBS v platnosti celkem 15 osvědčení pro cizí moc pro přístup k utajovaným informacím NATO.</w:t>
      </w:r>
    </w:p>
    <w:p w14:paraId="67F0D49F" w14:textId="77777777" w:rsidR="008C0D62" w:rsidRPr="00A966B6" w:rsidRDefault="008C0D62" w:rsidP="008C0D62">
      <w:pPr>
        <w:spacing w:after="251" w:line="300" w:lineRule="exact"/>
        <w:jc w:val="both"/>
        <w:rPr>
          <w:rFonts w:cs="Arial"/>
          <w:szCs w:val="24"/>
        </w:rPr>
      </w:pPr>
      <w:r w:rsidRPr="00A966B6">
        <w:rPr>
          <w:rFonts w:cs="Arial"/>
          <w:szCs w:val="24"/>
        </w:rPr>
        <w:t>V roce 2018 bylo v rámci zvláštního přístupu v trestním řízení provedeno poučení celkem 14 osob podle § 58 odst. 5 zákona o OUI.</w:t>
      </w:r>
    </w:p>
    <w:p w14:paraId="1D19BF51" w14:textId="77777777" w:rsidR="008C0D62" w:rsidRPr="00A966B6" w:rsidRDefault="008C0D62" w:rsidP="008C0D62">
      <w:pPr>
        <w:jc w:val="both"/>
        <w:rPr>
          <w:bCs/>
        </w:rPr>
      </w:pPr>
      <w:r w:rsidRPr="00A966B6">
        <w:t>V roce 2018 byly provedeny 4 kontroly po linii ochrany utajovaných informací – administrativní bezpečnost. V rámci těchto kontrol byly zjištěny pouze nedostatky drobného formálního charakteru, které vznikly nepozorností konkrétních fyzických osob</w:t>
      </w:r>
      <w:r w:rsidRPr="00A966B6">
        <w:rPr>
          <w:b/>
          <w:bCs/>
        </w:rPr>
        <w:t xml:space="preserve">. </w:t>
      </w:r>
      <w:r w:rsidRPr="00A966B6">
        <w:rPr>
          <w:bCs/>
        </w:rPr>
        <w:t>Všechny zjištěné nedostatky byly odstraněny ihned v rámci dané kontroly.</w:t>
      </w:r>
    </w:p>
    <w:p w14:paraId="7FCD3AF2" w14:textId="77777777" w:rsidR="008C0D62" w:rsidRPr="00A966B6" w:rsidRDefault="008C0D62" w:rsidP="008C0D62">
      <w:pPr>
        <w:jc w:val="both"/>
      </w:pPr>
    </w:p>
    <w:p w14:paraId="7F5B62C7" w14:textId="77777777" w:rsidR="008C0D62" w:rsidRPr="00A966B6" w:rsidRDefault="008C0D62" w:rsidP="008C0D62">
      <w:pPr>
        <w:jc w:val="both"/>
      </w:pPr>
    </w:p>
    <w:p w14:paraId="6FE958B6" w14:textId="77777777" w:rsidR="008C0D62" w:rsidRPr="00A966B6" w:rsidRDefault="008C0D62" w:rsidP="008C0D62">
      <w:pPr>
        <w:jc w:val="both"/>
      </w:pPr>
      <w:r w:rsidRPr="00A966B6">
        <w:lastRenderedPageBreak/>
        <w:t xml:space="preserve">K zajištění praktické realizace administrativní bezpečnosti je používána nová Metodická pomůcka bezpečnostního ředitele GIBS k ochraně utajovaných informací v oblasti administrativní bezpečnosti. </w:t>
      </w:r>
    </w:p>
    <w:p w14:paraId="65FD3806" w14:textId="118C7F1D" w:rsidR="008C0D62" w:rsidRPr="00A966B6" w:rsidRDefault="008C0D62" w:rsidP="008C0D62">
      <w:pPr>
        <w:spacing w:after="251" w:line="300" w:lineRule="exact"/>
        <w:jc w:val="both"/>
        <w:rPr>
          <w:rFonts w:cs="Arial"/>
          <w:szCs w:val="24"/>
        </w:rPr>
      </w:pPr>
      <w:r w:rsidRPr="00A966B6">
        <w:t>V roce 2018 bylo u inspekce celkem 25 evidenčních míst pro evidenci utajovaných dokumentů. V hodnoceném období bylo u inspekce zaevidováno v jednacích protokolech a sběrných arších celkem 20</w:t>
      </w:r>
      <w:r w:rsidR="00A55876">
        <w:t>19</w:t>
      </w:r>
      <w:r w:rsidRPr="00A966B6">
        <w:t xml:space="preserve"> utajovaných dokumentů.</w:t>
      </w:r>
    </w:p>
    <w:p w14:paraId="3E5B2C66" w14:textId="77777777" w:rsidR="008C0D62" w:rsidRPr="00A966B6" w:rsidRDefault="008C0D62" w:rsidP="008C0D62">
      <w:pPr>
        <w:spacing w:after="251" w:line="300" w:lineRule="exact"/>
        <w:jc w:val="both"/>
        <w:rPr>
          <w:rFonts w:cs="Arial"/>
          <w:szCs w:val="24"/>
        </w:rPr>
      </w:pPr>
      <w:r w:rsidRPr="00A966B6">
        <w:rPr>
          <w:rFonts w:cs="Arial"/>
          <w:szCs w:val="24"/>
        </w:rPr>
        <w:t>V oblasti administrativní bezpečnosti jsou základní pravidla u GIBS stanovená příslušnými předpisy respektována a plněna.</w:t>
      </w:r>
    </w:p>
    <w:p w14:paraId="4AC32650" w14:textId="77777777" w:rsidR="008C0D62" w:rsidRPr="00A966B6" w:rsidRDefault="008C0D62" w:rsidP="008C0D62">
      <w:pPr>
        <w:pStyle w:val="Nadpis2"/>
      </w:pPr>
      <w:bookmarkStart w:id="198" w:name="_Toc2085170"/>
      <w:bookmarkStart w:id="199" w:name="_Toc2682552"/>
      <w:r w:rsidRPr="00A966B6">
        <w:t>Fyzická bezpečnost</w:t>
      </w:r>
      <w:bookmarkEnd w:id="198"/>
      <w:bookmarkEnd w:id="199"/>
    </w:p>
    <w:p w14:paraId="3BA19C10" w14:textId="77777777" w:rsidR="008C0D62" w:rsidRPr="00A966B6" w:rsidRDefault="008C0D62" w:rsidP="008C0D62">
      <w:pPr>
        <w:jc w:val="both"/>
        <w:rPr>
          <w:rFonts w:cs="Arial"/>
        </w:rPr>
      </w:pPr>
      <w:r w:rsidRPr="00A966B6">
        <w:rPr>
          <w:rFonts w:cs="Arial"/>
          <w:szCs w:val="24"/>
        </w:rPr>
        <w:t xml:space="preserve">V oblasti fyzické bezpečnosti GIBS přijala a realizovala opatření, která byla zaměřena na zkvalitnění systémů režimových postupů a technické ochrany objektů GIBS za účelem zajištění OUI v souladu s požadavky zákona o OUI a vyhlášky </w:t>
      </w:r>
      <w:r w:rsidRPr="00A966B6">
        <w:rPr>
          <w:rFonts w:cs="Arial"/>
          <w:szCs w:val="24"/>
        </w:rPr>
        <w:br/>
        <w:t xml:space="preserve">č. 528/2005 Sb., o fyzické bezpečnosti a certifikaci technických prostředků, ve znění pozdějších předpisů. </w:t>
      </w:r>
      <w:r w:rsidRPr="00A966B6">
        <w:rPr>
          <w:rFonts w:cs="Arial"/>
        </w:rPr>
        <w:t>Pro zabezpečení OUI byla v roce 2018 v objektu kategorie Tajné v Praze zřízena a následně zprovozněna jednací oblast. Jednací oblast odpovídá požadavkům fyzické bezpečnosti k projednávání utajovaných informací až do stupně utajení Tajné.</w:t>
      </w:r>
    </w:p>
    <w:p w14:paraId="41ECD2DA" w14:textId="77777777" w:rsidR="008C0D62" w:rsidRPr="00A966B6" w:rsidRDefault="008C0D62" w:rsidP="008C0D62">
      <w:pPr>
        <w:spacing w:after="251" w:line="300" w:lineRule="exact"/>
        <w:contextualSpacing/>
        <w:jc w:val="both"/>
        <w:rPr>
          <w:rFonts w:cs="Arial"/>
          <w:szCs w:val="24"/>
        </w:rPr>
      </w:pPr>
      <w:r w:rsidRPr="00A966B6">
        <w:rPr>
          <w:rFonts w:cs="Arial"/>
          <w:szCs w:val="24"/>
        </w:rPr>
        <w:t>Lze konstatovat, že GIBS v oblasti zajištění fyzické bezpečnosti OUI splňuje požadavky uvedených právních předpisů. V závislosti na získání finančního krytí je plánováno vybudování nového bezpečnějšího vstupu do centrály GIBS.</w:t>
      </w:r>
    </w:p>
    <w:p w14:paraId="3561C226" w14:textId="77777777" w:rsidR="008C0D62" w:rsidRPr="00A966B6" w:rsidRDefault="008C0D62" w:rsidP="008C0D62">
      <w:pPr>
        <w:spacing w:after="251" w:line="300" w:lineRule="exact"/>
        <w:contextualSpacing/>
        <w:jc w:val="both"/>
        <w:rPr>
          <w:rFonts w:cs="Arial"/>
          <w:szCs w:val="24"/>
        </w:rPr>
      </w:pPr>
    </w:p>
    <w:p w14:paraId="02E19AC0" w14:textId="1872B6A3" w:rsidR="008C0D62" w:rsidRPr="00A966B6" w:rsidRDefault="008C0D62" w:rsidP="007C20C9">
      <w:pPr>
        <w:spacing w:after="251" w:line="300" w:lineRule="exact"/>
        <w:contextualSpacing/>
        <w:jc w:val="both"/>
      </w:pPr>
      <w:r w:rsidRPr="00A966B6">
        <w:rPr>
          <w:rFonts w:cs="Arial"/>
          <w:szCs w:val="24"/>
        </w:rPr>
        <w:t>K 31. prosinci 2018 bylo u GIBS stanoveno celkem 19 objektů,</w:t>
      </w:r>
      <w:r w:rsidRPr="00A966B6">
        <w:rPr>
          <w:rFonts w:cs="Arial"/>
          <w:b/>
          <w:szCs w:val="24"/>
        </w:rPr>
        <w:t xml:space="preserve"> </w:t>
      </w:r>
      <w:r w:rsidRPr="00A966B6">
        <w:rPr>
          <w:rFonts w:cs="Arial"/>
          <w:szCs w:val="24"/>
        </w:rPr>
        <w:t>z toho 15 objektů bylo zařazeno do kategorie Vyhrazené, 3</w:t>
      </w:r>
      <w:r w:rsidRPr="00A966B6">
        <w:rPr>
          <w:rFonts w:cs="Arial"/>
          <w:b/>
          <w:szCs w:val="24"/>
        </w:rPr>
        <w:t xml:space="preserve"> </w:t>
      </w:r>
      <w:r w:rsidRPr="00A966B6">
        <w:rPr>
          <w:rFonts w:cs="Arial"/>
          <w:szCs w:val="24"/>
        </w:rPr>
        <w:t>objekty do kategorie Důvěrné a 1 objekt do kategorie Tajné. V objektech je zřízeno celkem 44 zabezpečených oblastí, všechny ve třídě II.</w:t>
      </w:r>
    </w:p>
    <w:p w14:paraId="23FA6BE8" w14:textId="77777777" w:rsidR="00347E2F" w:rsidRPr="00A966B6" w:rsidRDefault="00347E2F" w:rsidP="00CB57EE">
      <w:pPr>
        <w:pStyle w:val="Nadpis2"/>
        <w:spacing w:after="251" w:line="300" w:lineRule="exact"/>
      </w:pPr>
      <w:bookmarkStart w:id="200" w:name="_Toc2085171"/>
      <w:bookmarkStart w:id="201" w:name="_Toc2682553"/>
      <w:r w:rsidRPr="00A966B6">
        <w:t>Bezpečnost informačních a komunikačních systémů</w:t>
      </w:r>
      <w:bookmarkEnd w:id="200"/>
      <w:bookmarkEnd w:id="201"/>
    </w:p>
    <w:p w14:paraId="590A5793" w14:textId="77777777" w:rsidR="008C0D62" w:rsidRPr="00A966B6" w:rsidRDefault="008C0D62" w:rsidP="008C0D62">
      <w:pPr>
        <w:spacing w:after="251" w:line="300" w:lineRule="exact"/>
        <w:jc w:val="both"/>
        <w:rPr>
          <w:rFonts w:cs="Arial"/>
          <w:szCs w:val="24"/>
        </w:rPr>
      </w:pPr>
      <w:r w:rsidRPr="00A966B6">
        <w:rPr>
          <w:rFonts w:cs="Arial"/>
          <w:szCs w:val="24"/>
        </w:rPr>
        <w:t xml:space="preserve">Bezpečnost informačních a komunikačních systémů a dalších elektronických zařízení nakládajících s utajovanými informacemi vychází ze zákona o OUI a vyhlášky č. 523/2005 Sb., o bezpečnosti informačních a komunikačních systémů a dalších elektronických zařízení nakládajících s utajovanými informacemi a o certifikaci stínících komor, ve znění pozdějších předpisů. </w:t>
      </w:r>
    </w:p>
    <w:p w14:paraId="7CCE92B7" w14:textId="77777777" w:rsidR="008C0D62" w:rsidRPr="00A966B6" w:rsidRDefault="008C0D62" w:rsidP="008C0D62">
      <w:pPr>
        <w:spacing w:after="251" w:line="300" w:lineRule="exact"/>
        <w:jc w:val="both"/>
        <w:rPr>
          <w:rFonts w:cs="Arial"/>
          <w:szCs w:val="24"/>
        </w:rPr>
      </w:pPr>
      <w:r w:rsidRPr="00A966B6">
        <w:rPr>
          <w:rFonts w:cs="Arial"/>
          <w:szCs w:val="24"/>
        </w:rPr>
        <w:t xml:space="preserve">Ve sledovaném období byly u GIBS provozovány ke zpracování utajovaných informací vlastní informační systémy VYZA a DUHOVKA, certifikované NBÚ, resp. NÚKIB, jejichž bezpečnostní správa je zajišťována pověřenými bezpečnostními správci. </w:t>
      </w:r>
    </w:p>
    <w:p w14:paraId="1BDF8166" w14:textId="77777777" w:rsidR="008C0D62" w:rsidRPr="00A966B6" w:rsidRDefault="008C0D62" w:rsidP="008C0D62">
      <w:pPr>
        <w:spacing w:after="251" w:line="300" w:lineRule="exact"/>
        <w:jc w:val="both"/>
        <w:rPr>
          <w:rFonts w:cs="Arial"/>
          <w:szCs w:val="24"/>
        </w:rPr>
      </w:pPr>
      <w:r w:rsidRPr="00A966B6">
        <w:rPr>
          <w:rFonts w:cs="Arial"/>
          <w:szCs w:val="24"/>
        </w:rPr>
        <w:t xml:space="preserve">Hlasovou komunikaci, zpracování informace v elektronické podobě a její zaslání vybranému adresátovi prostřednictvím elektronické pošty umožňuje vládní utajené </w:t>
      </w:r>
      <w:r w:rsidRPr="00A966B6">
        <w:rPr>
          <w:rFonts w:cs="Arial"/>
          <w:szCs w:val="24"/>
        </w:rPr>
        <w:lastRenderedPageBreak/>
        <w:t>spojení – informační systém Vega-D a VegaT-2G, jehož provoz zajišťuje Bezpečnostní odbor Ministerstva vnitra.</w:t>
      </w:r>
    </w:p>
    <w:p w14:paraId="6873F6E6" w14:textId="77777777" w:rsidR="008C0D62" w:rsidRPr="00A966B6" w:rsidRDefault="008C0D62" w:rsidP="008C0D62">
      <w:pPr>
        <w:spacing w:after="251" w:line="300" w:lineRule="exact"/>
        <w:jc w:val="both"/>
        <w:rPr>
          <w:rFonts w:cs="Arial"/>
          <w:szCs w:val="24"/>
        </w:rPr>
      </w:pPr>
      <w:r w:rsidRPr="00A966B6">
        <w:rPr>
          <w:rFonts w:cs="Arial"/>
          <w:szCs w:val="24"/>
        </w:rPr>
        <w:t>OUI v kopírovacím zařízení, zobrazovacím zařízení nebo psacím stroji s pamětí, které nejsou součástí informačního nebo komunikačního systému, je zajišťována na základě interního předpisu.</w:t>
      </w:r>
    </w:p>
    <w:p w14:paraId="43D3D562" w14:textId="77777777" w:rsidR="008C0D62" w:rsidRPr="00A966B6" w:rsidRDefault="008C0D62" w:rsidP="008C0D62">
      <w:pPr>
        <w:pStyle w:val="Odstavecseseznamem"/>
        <w:spacing w:after="251" w:line="300" w:lineRule="exact"/>
        <w:ind w:left="0"/>
        <w:jc w:val="both"/>
        <w:rPr>
          <w:rFonts w:cs="Arial"/>
          <w:szCs w:val="24"/>
        </w:rPr>
      </w:pPr>
      <w:r w:rsidRPr="00A966B6">
        <w:rPr>
          <w:rFonts w:cs="Arial"/>
          <w:szCs w:val="24"/>
        </w:rPr>
        <w:t>Kryptografickou OUI při zpracování nebo přenosu utajovaných informací v informačních a komunikačních systémech u GIBS zajišťuje Bezpečnostní odbor Ministerstva vnitra.</w:t>
      </w:r>
    </w:p>
    <w:p w14:paraId="30ADE5CC" w14:textId="77777777" w:rsidR="008C0D62" w:rsidRPr="00A966B6" w:rsidRDefault="008C0D62" w:rsidP="008C0D62">
      <w:pPr>
        <w:pStyle w:val="Odstavecseseznamem"/>
        <w:spacing w:after="251" w:line="300" w:lineRule="exact"/>
        <w:ind w:left="0"/>
        <w:jc w:val="both"/>
        <w:rPr>
          <w:rFonts w:cs="Arial"/>
          <w:szCs w:val="24"/>
        </w:rPr>
      </w:pPr>
      <w:r w:rsidRPr="00A966B6">
        <w:rPr>
          <w:rFonts w:cs="Arial"/>
          <w:szCs w:val="24"/>
        </w:rPr>
        <w:t>V roce 2018 nedošlo k žádnému bezpečnostnímu incidentu při provozování informačního systému VYZA, DUHOVKA, Vega-D a VegaT-2G.</w:t>
      </w:r>
    </w:p>
    <w:p w14:paraId="1A558ABE" w14:textId="77777777" w:rsidR="008C0D62" w:rsidRPr="00A966B6" w:rsidRDefault="008C0D62" w:rsidP="008C0D62">
      <w:pPr>
        <w:jc w:val="both"/>
        <w:rPr>
          <w:rFonts w:cs="Arial"/>
        </w:rPr>
      </w:pPr>
      <w:r w:rsidRPr="00A966B6">
        <w:rPr>
          <w:rFonts w:cs="Arial"/>
        </w:rPr>
        <w:t>Během roku 2018 nebylo hlášeno ani zaznamenáno jednání fyzické osoby s přístupem k utajované informaci, které by mělo znaky přestupku dle § 149 odst. 1 písm. i) zákona o OUI, tj. zpracovávání utajované informace v rozporu s vydanou bezpečnostní provozní směrnicí elektronického zařízení, které není součástí informačního nebo komunikačního systému.</w:t>
      </w:r>
    </w:p>
    <w:p w14:paraId="5EB86760" w14:textId="77777777" w:rsidR="00347E2F" w:rsidRPr="00A966B6" w:rsidRDefault="008C0D62" w:rsidP="00CB57EE">
      <w:pPr>
        <w:pStyle w:val="Nadpis2"/>
        <w:spacing w:after="251" w:line="300" w:lineRule="exact"/>
      </w:pPr>
      <w:bookmarkStart w:id="202" w:name="_Toc2085172"/>
      <w:bookmarkStart w:id="203" w:name="_Toc2682554"/>
      <w:r w:rsidRPr="00A966B6">
        <w:t>Vzdělávání a p</w:t>
      </w:r>
      <w:r w:rsidR="00347E2F" w:rsidRPr="00A966B6">
        <w:t>reventivní činnost</w:t>
      </w:r>
      <w:bookmarkEnd w:id="202"/>
      <w:bookmarkEnd w:id="203"/>
      <w:r w:rsidR="00D815F5" w:rsidRPr="00A966B6">
        <w:t xml:space="preserve"> </w:t>
      </w:r>
    </w:p>
    <w:p w14:paraId="6362AB3C" w14:textId="77777777" w:rsidR="008C0D62" w:rsidRPr="00A966B6" w:rsidRDefault="008C0D62" w:rsidP="008C0D62">
      <w:pPr>
        <w:spacing w:after="251" w:line="300" w:lineRule="exact"/>
        <w:jc w:val="both"/>
        <w:rPr>
          <w:rFonts w:cs="Arial"/>
          <w:szCs w:val="24"/>
        </w:rPr>
      </w:pPr>
      <w:r w:rsidRPr="00A966B6">
        <w:rPr>
          <w:rFonts w:cs="Arial"/>
          <w:szCs w:val="24"/>
        </w:rPr>
        <w:t xml:space="preserve">Koncem roku 2018 bylo provedeno pravidelné proškolení 308 příslušníků </w:t>
      </w:r>
      <w:r w:rsidRPr="00A966B6">
        <w:rPr>
          <w:rFonts w:cs="Arial"/>
          <w:szCs w:val="24"/>
        </w:rPr>
        <w:br/>
        <w:t xml:space="preserve">a zaměstnanců v oblasti administrativní, personální a fyzické bezpečnosti, včetně bezpečnosti informačních a komunikačních systémů a kryptografické ochrany. Cílem proškolování bylo osvojení si zásad a principů OUI a tím i maximální snížení rizika porušování povinnosti při OUI uložených zákonem a prováděcími předpisy. </w:t>
      </w:r>
    </w:p>
    <w:p w14:paraId="5B500313" w14:textId="77777777" w:rsidR="008C0D62" w:rsidRPr="00A966B6" w:rsidRDefault="008C0D62" w:rsidP="008C0D62">
      <w:pPr>
        <w:pStyle w:val="Prosttext"/>
        <w:shd w:val="clear" w:color="auto" w:fill="FFFFFF"/>
        <w:spacing w:after="251" w:line="300" w:lineRule="exact"/>
        <w:jc w:val="both"/>
        <w:rPr>
          <w:rFonts w:ascii="Arial" w:hAnsi="Arial" w:cs="Arial"/>
          <w:sz w:val="24"/>
          <w:szCs w:val="24"/>
          <w:lang w:eastAsia="en-US"/>
        </w:rPr>
      </w:pPr>
      <w:r w:rsidRPr="00A966B6">
        <w:rPr>
          <w:rFonts w:ascii="Arial" w:hAnsi="Arial" w:cs="Arial"/>
          <w:sz w:val="24"/>
          <w:szCs w:val="24"/>
          <w:lang w:eastAsia="en-US"/>
        </w:rPr>
        <w:t>Oblasti zamezení úniku utajovaných informací z GIBS byla i v roce 2018 věnována značná pozornost. K eliminaci těchto neúmyslných úniků jsou kontinuálně aplikována důsledná preventivní opatření a školící procesy, mající za cíl posílení odborných znalostí jednotlivých fyzických osob tak, aby se minimalizoval počet individuálních selhání. Efektivitu těchto procesů dokládá skutečnost, že v roce 2018 byl Národním bezpečnostním úřadem řešen pouze 1 případ nedbalostního porušení zákona o OUI bývalým příslušníkem GIBS.</w:t>
      </w:r>
    </w:p>
    <w:p w14:paraId="2792C76C" w14:textId="77777777" w:rsidR="008C0D62" w:rsidRPr="00A966B6" w:rsidRDefault="008C0D62" w:rsidP="008C0D62">
      <w:pPr>
        <w:jc w:val="both"/>
      </w:pPr>
      <w:r w:rsidRPr="00A966B6">
        <w:t xml:space="preserve">V rámci zajištění OUI byla průběžně poskytována metodická, konzultační </w:t>
      </w:r>
      <w:r w:rsidRPr="00A966B6">
        <w:br/>
        <w:t>a poradenská činnost v oblasti bezpečnosti informačních a komunikačních systémů, personální, administrativní a fyzické bezpečnosti.</w:t>
      </w:r>
    </w:p>
    <w:p w14:paraId="44F933B4" w14:textId="77777777" w:rsidR="008C0D62" w:rsidRPr="00A966B6" w:rsidRDefault="008C0D62" w:rsidP="008C0D62">
      <w:pPr>
        <w:spacing w:after="251" w:line="300" w:lineRule="exact"/>
        <w:jc w:val="both"/>
        <w:rPr>
          <w:rFonts w:cs="Arial"/>
          <w:szCs w:val="24"/>
        </w:rPr>
      </w:pPr>
      <w:r w:rsidRPr="00A966B6">
        <w:rPr>
          <w:rFonts w:cs="Arial"/>
          <w:szCs w:val="24"/>
        </w:rPr>
        <w:t xml:space="preserve">Na základě celkového vyhodnocení, které vychází z vlastní praktické, preventivní, metodické a kontrolní činnosti, je možno konstatovat, že OUI v roce 2018 byla </w:t>
      </w:r>
      <w:r w:rsidRPr="00A966B6">
        <w:rPr>
          <w:rFonts w:cs="Arial"/>
          <w:szCs w:val="24"/>
        </w:rPr>
        <w:br/>
        <w:t>u GIBS zajištěna v souladu s požadavky zákona o OUI, prováděcích právních předpisů a interních aktů řízení.</w:t>
      </w:r>
    </w:p>
    <w:p w14:paraId="27416672" w14:textId="77777777" w:rsidR="00AF066B" w:rsidRPr="00BD57B7" w:rsidRDefault="00ED24A8" w:rsidP="00F73806">
      <w:pPr>
        <w:pStyle w:val="Nadpis1"/>
        <w:spacing w:before="0" w:after="251" w:line="300" w:lineRule="exact"/>
        <w:rPr>
          <w:caps w:val="0"/>
        </w:rPr>
      </w:pPr>
      <w:bookmarkStart w:id="204" w:name="_Toc2085173"/>
      <w:bookmarkStart w:id="205" w:name="_Toc2682555"/>
      <w:r w:rsidRPr="00BD57B7">
        <w:rPr>
          <w:caps w:val="0"/>
        </w:rPr>
        <w:lastRenderedPageBreak/>
        <w:t>KONTROL</w:t>
      </w:r>
      <w:r w:rsidR="00037C7D" w:rsidRPr="00BD57B7">
        <w:rPr>
          <w:caps w:val="0"/>
        </w:rPr>
        <w:t>A</w:t>
      </w:r>
      <w:r w:rsidRPr="00BD57B7">
        <w:rPr>
          <w:caps w:val="0"/>
        </w:rPr>
        <w:t xml:space="preserve"> V</w:t>
      </w:r>
      <w:r w:rsidR="00037C7D" w:rsidRPr="00BD57B7">
        <w:rPr>
          <w:caps w:val="0"/>
        </w:rPr>
        <w:t xml:space="preserve"> GENERÁLNÍ </w:t>
      </w:r>
      <w:r w:rsidR="00FC2F63" w:rsidRPr="00BD57B7">
        <w:rPr>
          <w:caps w:val="0"/>
        </w:rPr>
        <w:t>I</w:t>
      </w:r>
      <w:r w:rsidR="00037C7D" w:rsidRPr="00BD57B7">
        <w:rPr>
          <w:caps w:val="0"/>
        </w:rPr>
        <w:t xml:space="preserve">NSPEKCI </w:t>
      </w:r>
      <w:r w:rsidR="00FC2F63" w:rsidRPr="00BD57B7">
        <w:rPr>
          <w:caps w:val="0"/>
        </w:rPr>
        <w:t>B</w:t>
      </w:r>
      <w:r w:rsidR="00037C7D" w:rsidRPr="00BD57B7">
        <w:rPr>
          <w:caps w:val="0"/>
        </w:rPr>
        <w:t>EZPE</w:t>
      </w:r>
      <w:r w:rsidR="001B33EF" w:rsidRPr="00BD57B7">
        <w:rPr>
          <w:caps w:val="0"/>
        </w:rPr>
        <w:t>Č</w:t>
      </w:r>
      <w:r w:rsidR="00037C7D" w:rsidRPr="00BD57B7">
        <w:rPr>
          <w:caps w:val="0"/>
        </w:rPr>
        <w:t>NOSTN</w:t>
      </w:r>
      <w:r w:rsidR="00FC2F63" w:rsidRPr="00BD57B7">
        <w:rPr>
          <w:caps w:val="0"/>
        </w:rPr>
        <w:t>ÍCH</w:t>
      </w:r>
      <w:r w:rsidR="001B33EF" w:rsidRPr="00BD57B7">
        <w:rPr>
          <w:caps w:val="0"/>
        </w:rPr>
        <w:t xml:space="preserve"> SBORŮ</w:t>
      </w:r>
      <w:bookmarkEnd w:id="204"/>
      <w:bookmarkEnd w:id="205"/>
      <w:r w:rsidR="001B33EF" w:rsidRPr="00BD57B7">
        <w:rPr>
          <w:caps w:val="0"/>
        </w:rPr>
        <w:t xml:space="preserve"> </w:t>
      </w:r>
    </w:p>
    <w:p w14:paraId="1303E607" w14:textId="74C6A650" w:rsidR="00D63AFA" w:rsidRPr="00A966B6" w:rsidRDefault="00D63AFA" w:rsidP="00F73806">
      <w:pPr>
        <w:pStyle w:val="Nadpis2"/>
        <w:spacing w:before="0" w:after="251" w:line="300" w:lineRule="exact"/>
      </w:pPr>
      <w:bookmarkStart w:id="206" w:name="_Toc2682556"/>
      <w:bookmarkStart w:id="207" w:name="_Toc2085174"/>
      <w:r w:rsidRPr="00A966B6">
        <w:t>Vnější kontrola</w:t>
      </w:r>
      <w:bookmarkEnd w:id="206"/>
      <w:r w:rsidR="00D815F5" w:rsidRPr="00A966B6">
        <w:t xml:space="preserve"> </w:t>
      </w:r>
      <w:bookmarkEnd w:id="207"/>
    </w:p>
    <w:p w14:paraId="20EF15F2" w14:textId="03863806" w:rsidR="00BD57B7" w:rsidRPr="00D93E88" w:rsidRDefault="00BD57B7" w:rsidP="00BD57B7">
      <w:pPr>
        <w:pStyle w:val="Styl8"/>
        <w:spacing w:after="251" w:line="300" w:lineRule="exact"/>
        <w:jc w:val="both"/>
        <w:rPr>
          <w:rFonts w:ascii="Arial" w:hAnsi="Arial" w:cs="Arial"/>
        </w:rPr>
      </w:pPr>
      <w:r w:rsidRPr="00E956FE">
        <w:rPr>
          <w:rFonts w:ascii="Arial" w:hAnsi="Arial" w:cs="Arial"/>
        </w:rPr>
        <w:t xml:space="preserve">Vnější kontroly jsou v GIBS prováděny orgány a institucemi, které mají podle příslušných zákonů právo provádět kontroly jednotlivých dílčích činností. </w:t>
      </w:r>
      <w:r w:rsidR="00D9228E">
        <w:rPr>
          <w:rFonts w:ascii="Arial" w:hAnsi="Arial" w:cs="Arial"/>
        </w:rPr>
        <w:t>V roce 2018</w:t>
      </w:r>
      <w:r w:rsidRPr="00D93E88">
        <w:rPr>
          <w:rFonts w:ascii="Arial" w:hAnsi="Arial" w:cs="Arial"/>
        </w:rPr>
        <w:t xml:space="preserve"> ne</w:t>
      </w:r>
      <w:r>
        <w:rPr>
          <w:rFonts w:ascii="Arial" w:hAnsi="Arial" w:cs="Arial"/>
        </w:rPr>
        <w:t>proběhla u GIBS žádná kontrola.</w:t>
      </w:r>
    </w:p>
    <w:p w14:paraId="0F299AA4" w14:textId="77777777" w:rsidR="00BD57B7" w:rsidRDefault="00BD57B7" w:rsidP="00BD57B7">
      <w:pPr>
        <w:pStyle w:val="Odstavecseseznamem"/>
        <w:spacing w:after="251" w:line="300" w:lineRule="exact"/>
        <w:ind w:left="360" w:hanging="360"/>
        <w:jc w:val="both"/>
        <w:rPr>
          <w:rFonts w:cs="Arial"/>
          <w:b/>
          <w:color w:val="000000"/>
          <w:szCs w:val="24"/>
        </w:rPr>
      </w:pPr>
      <w:r>
        <w:rPr>
          <w:rFonts w:cs="Arial"/>
          <w:b/>
          <w:color w:val="000000"/>
          <w:szCs w:val="24"/>
        </w:rPr>
        <w:t>Kontrolní orgány Poslanecké sněmovny Parlamentu ČR</w:t>
      </w:r>
    </w:p>
    <w:p w14:paraId="4A1E421F" w14:textId="77777777" w:rsidR="00BD57B7" w:rsidRDefault="00BD57B7" w:rsidP="00BD57B7">
      <w:pPr>
        <w:pStyle w:val="Odstavecseseznamem"/>
        <w:spacing w:after="251" w:line="300" w:lineRule="exact"/>
        <w:ind w:left="360" w:hanging="360"/>
        <w:jc w:val="both"/>
        <w:rPr>
          <w:rFonts w:cs="Arial"/>
          <w:b/>
          <w:color w:val="000000"/>
          <w:szCs w:val="24"/>
        </w:rPr>
      </w:pPr>
    </w:p>
    <w:p w14:paraId="05DB701D" w14:textId="77777777" w:rsidR="00BD57B7" w:rsidRDefault="00BD57B7" w:rsidP="00BD57B7">
      <w:pPr>
        <w:pStyle w:val="Odstavecseseznamem"/>
        <w:spacing w:after="251" w:line="300" w:lineRule="exact"/>
        <w:ind w:left="0"/>
        <w:jc w:val="both"/>
        <w:rPr>
          <w:rFonts w:cs="Arial"/>
          <w:color w:val="000000"/>
          <w:szCs w:val="24"/>
        </w:rPr>
      </w:pPr>
      <w:r>
        <w:rPr>
          <w:rFonts w:cs="Arial"/>
          <w:color w:val="000000"/>
          <w:szCs w:val="24"/>
        </w:rPr>
        <w:t xml:space="preserve">Základní kontrolní orgán Poslanecké sněmovny Parlamentu ČR (dále jen „PSP“) </w:t>
      </w:r>
      <w:r>
        <w:rPr>
          <w:rFonts w:cs="Arial"/>
          <w:color w:val="000000"/>
          <w:szCs w:val="24"/>
        </w:rPr>
        <w:br/>
        <w:t>k činnosti GIBS byl zřízen na základě zákona o GIBS.</w:t>
      </w:r>
      <w:r>
        <w:rPr>
          <w:rStyle w:val="Znakapoznpodarou"/>
          <w:rFonts w:eastAsia="MS Mincho" w:cs="Arial"/>
          <w:color w:val="000000"/>
          <w:szCs w:val="24"/>
        </w:rPr>
        <w:footnoteReference w:id="3"/>
      </w:r>
      <w:r w:rsidRPr="00416ADE">
        <w:rPr>
          <w:rFonts w:cs="Arial"/>
          <w:color w:val="000000"/>
          <w:szCs w:val="24"/>
          <w:vertAlign w:val="superscript"/>
        </w:rPr>
        <w:t>)</w:t>
      </w:r>
      <w:r>
        <w:rPr>
          <w:rFonts w:cs="Arial"/>
          <w:color w:val="000000"/>
          <w:szCs w:val="24"/>
        </w:rPr>
        <w:t xml:space="preserve"> Se Stálou komisí pro kontrolu činnosti GIBS (dále jen „kontrolní komise“) byly nastaveny parametry </w:t>
      </w:r>
      <w:r w:rsidRPr="00E956FE">
        <w:rPr>
          <w:rFonts w:cs="Arial"/>
          <w:color w:val="000000"/>
          <w:szCs w:val="24"/>
        </w:rPr>
        <w:t xml:space="preserve">součinnosti </w:t>
      </w:r>
      <w:r>
        <w:rPr>
          <w:rFonts w:cs="Arial"/>
          <w:color w:val="000000"/>
          <w:szCs w:val="24"/>
        </w:rPr>
        <w:br/>
      </w:r>
      <w:r w:rsidRPr="00E956FE">
        <w:rPr>
          <w:rFonts w:cs="Arial"/>
          <w:color w:val="000000"/>
          <w:szCs w:val="24"/>
        </w:rPr>
        <w:t xml:space="preserve">a vymezeny oblasti kontrolní činnosti již při </w:t>
      </w:r>
      <w:r>
        <w:rPr>
          <w:rFonts w:cs="Arial"/>
          <w:color w:val="000000"/>
          <w:szCs w:val="24"/>
        </w:rPr>
        <w:t xml:space="preserve">prvním </w:t>
      </w:r>
      <w:r w:rsidRPr="00E956FE">
        <w:rPr>
          <w:rFonts w:cs="Arial"/>
          <w:color w:val="000000"/>
          <w:szCs w:val="24"/>
        </w:rPr>
        <w:t>usta</w:t>
      </w:r>
      <w:r>
        <w:rPr>
          <w:rFonts w:cs="Arial"/>
          <w:color w:val="000000"/>
          <w:szCs w:val="24"/>
        </w:rPr>
        <w:t>no</w:t>
      </w:r>
      <w:r w:rsidRPr="00E956FE">
        <w:rPr>
          <w:rFonts w:cs="Arial"/>
          <w:color w:val="000000"/>
          <w:szCs w:val="24"/>
        </w:rPr>
        <w:t xml:space="preserve">vení po volbách do PSP </w:t>
      </w:r>
      <w:r>
        <w:rPr>
          <w:rFonts w:cs="Arial"/>
          <w:color w:val="000000"/>
          <w:szCs w:val="24"/>
        </w:rPr>
        <w:br/>
      </w:r>
      <w:r w:rsidRPr="00E956FE">
        <w:rPr>
          <w:rFonts w:cs="Arial"/>
          <w:color w:val="000000"/>
          <w:szCs w:val="24"/>
        </w:rPr>
        <w:t>v roce 2013</w:t>
      </w:r>
      <w:r>
        <w:rPr>
          <w:rFonts w:cs="Arial"/>
          <w:color w:val="000000"/>
          <w:szCs w:val="24"/>
        </w:rPr>
        <w:t>.</w:t>
      </w:r>
    </w:p>
    <w:p w14:paraId="4E68BBA3" w14:textId="77777777" w:rsidR="00BD57B7" w:rsidRDefault="00BD57B7" w:rsidP="00BD57B7">
      <w:pPr>
        <w:pStyle w:val="Odstavecseseznamem"/>
        <w:spacing w:after="251" w:line="300" w:lineRule="exact"/>
        <w:ind w:left="0"/>
        <w:jc w:val="both"/>
        <w:rPr>
          <w:rFonts w:cs="Arial"/>
          <w:color w:val="000000"/>
          <w:szCs w:val="24"/>
        </w:rPr>
      </w:pPr>
    </w:p>
    <w:p w14:paraId="22F33169" w14:textId="77777777" w:rsidR="00BD57B7" w:rsidRDefault="00BD57B7" w:rsidP="00BD57B7">
      <w:pPr>
        <w:pStyle w:val="Odstavecseseznamem"/>
        <w:spacing w:after="251" w:line="300" w:lineRule="exact"/>
        <w:ind w:left="0"/>
        <w:jc w:val="both"/>
        <w:rPr>
          <w:rFonts w:cs="Arial"/>
          <w:color w:val="000000"/>
          <w:szCs w:val="24"/>
        </w:rPr>
      </w:pPr>
      <w:r>
        <w:rPr>
          <w:rFonts w:cs="Arial"/>
          <w:color w:val="000000"/>
          <w:szCs w:val="24"/>
        </w:rPr>
        <w:t>Ze strany GIBS je poskytována plná spolupráce k naplnění všech zákonných zmocnění této kontrolní komise. Kontrolní komisi byla v průběhu roku 2018, mimo jiné, poskytnuta součinnost formou písemného stanoviska ve 38 případech.</w:t>
      </w:r>
    </w:p>
    <w:p w14:paraId="66BB50C6" w14:textId="77777777" w:rsidR="00BD57B7" w:rsidRPr="00BD57B7" w:rsidRDefault="00BD57B7" w:rsidP="00BD57B7">
      <w:pPr>
        <w:pStyle w:val="Odstavecseseznamem"/>
        <w:spacing w:after="251" w:line="300" w:lineRule="exact"/>
        <w:ind w:left="0"/>
        <w:jc w:val="both"/>
        <w:rPr>
          <w:rFonts w:cs="Arial"/>
          <w:szCs w:val="24"/>
        </w:rPr>
      </w:pPr>
    </w:p>
    <w:p w14:paraId="3B16AEA5" w14:textId="68C23DC6" w:rsidR="00BD57B7" w:rsidRPr="00BD57B7" w:rsidRDefault="00BD57B7" w:rsidP="00BD57B7">
      <w:pPr>
        <w:pStyle w:val="Nadpis2"/>
        <w:numPr>
          <w:ilvl w:val="1"/>
          <w:numId w:val="50"/>
        </w:numPr>
        <w:spacing w:before="0" w:after="251" w:line="300" w:lineRule="exact"/>
      </w:pPr>
      <w:bookmarkStart w:id="208" w:name="_Toc2682557"/>
      <w:bookmarkStart w:id="209" w:name="_Toc534289138"/>
      <w:r w:rsidRPr="00BD57B7">
        <w:t>Vnitřní kontrola</w:t>
      </w:r>
      <w:bookmarkEnd w:id="208"/>
      <w:r w:rsidRPr="00BD57B7">
        <w:t xml:space="preserve"> </w:t>
      </w:r>
      <w:bookmarkEnd w:id="209"/>
    </w:p>
    <w:p w14:paraId="7036CD4D" w14:textId="77777777" w:rsidR="00BD57B7" w:rsidRPr="002E07BA" w:rsidRDefault="00BD57B7" w:rsidP="00BD57B7">
      <w:pPr>
        <w:spacing w:after="251" w:line="300" w:lineRule="exact"/>
        <w:jc w:val="both"/>
        <w:rPr>
          <w:rFonts w:cs="Arial"/>
          <w:color w:val="000000"/>
          <w:szCs w:val="24"/>
        </w:rPr>
      </w:pPr>
      <w:r w:rsidRPr="002E07BA">
        <w:rPr>
          <w:rFonts w:cs="Arial"/>
          <w:color w:val="000000"/>
          <w:szCs w:val="24"/>
        </w:rPr>
        <w:t xml:space="preserve">Vnitřní kontrolní činnosti </w:t>
      </w:r>
      <w:r>
        <w:rPr>
          <w:rFonts w:cs="Arial"/>
          <w:color w:val="000000"/>
          <w:szCs w:val="24"/>
        </w:rPr>
        <w:t>GIBS</w:t>
      </w:r>
      <w:r w:rsidRPr="002E07BA">
        <w:rPr>
          <w:rFonts w:cs="Arial"/>
          <w:color w:val="000000"/>
          <w:szCs w:val="24"/>
        </w:rPr>
        <w:t xml:space="preserve"> jsou zajištěny </w:t>
      </w:r>
      <w:r>
        <w:rPr>
          <w:rFonts w:cs="Arial"/>
          <w:color w:val="000000"/>
          <w:szCs w:val="24"/>
        </w:rPr>
        <w:t>o</w:t>
      </w:r>
      <w:r w:rsidRPr="002E07BA">
        <w:rPr>
          <w:rFonts w:cs="Arial"/>
          <w:color w:val="000000"/>
          <w:szCs w:val="24"/>
        </w:rPr>
        <w:t>ddělením vnitřní kontroly a </w:t>
      </w:r>
      <w:r>
        <w:rPr>
          <w:rFonts w:cs="Arial"/>
          <w:color w:val="000000"/>
          <w:szCs w:val="24"/>
        </w:rPr>
        <w:t>i</w:t>
      </w:r>
      <w:r w:rsidRPr="002E07BA">
        <w:rPr>
          <w:rFonts w:cs="Arial"/>
          <w:color w:val="000000"/>
          <w:szCs w:val="24"/>
        </w:rPr>
        <w:t>nterním auditorem.</w:t>
      </w:r>
    </w:p>
    <w:p w14:paraId="016EE941" w14:textId="77777777" w:rsidR="00BD57B7" w:rsidRPr="00B34B8E" w:rsidRDefault="00BD57B7" w:rsidP="00BD57B7">
      <w:pPr>
        <w:spacing w:after="251" w:line="300" w:lineRule="exact"/>
        <w:jc w:val="both"/>
        <w:rPr>
          <w:rFonts w:cs="Arial"/>
          <w:b/>
          <w:color w:val="000000"/>
          <w:szCs w:val="24"/>
        </w:rPr>
      </w:pPr>
      <w:r w:rsidRPr="00B34B8E">
        <w:rPr>
          <w:rFonts w:cs="Arial"/>
          <w:b/>
          <w:color w:val="000000"/>
          <w:szCs w:val="24"/>
        </w:rPr>
        <w:t xml:space="preserve">Oddělení vnitřní kontroly </w:t>
      </w:r>
    </w:p>
    <w:p w14:paraId="16F713D8" w14:textId="77777777" w:rsidR="00BD57B7" w:rsidRPr="00B34B8E" w:rsidRDefault="00BD57B7" w:rsidP="00BD57B7">
      <w:pPr>
        <w:spacing w:after="251" w:line="300" w:lineRule="exact"/>
        <w:jc w:val="both"/>
        <w:rPr>
          <w:rFonts w:eastAsiaTheme="minorHAnsi" w:cs="Arial"/>
          <w:szCs w:val="24"/>
        </w:rPr>
      </w:pPr>
      <w:r w:rsidRPr="00B34B8E">
        <w:rPr>
          <w:rFonts w:eastAsiaTheme="minorHAnsi" w:cs="Arial"/>
          <w:szCs w:val="24"/>
        </w:rPr>
        <w:t xml:space="preserve">Oddělení vnitřní kontroly (dále jen „OVK“) </w:t>
      </w:r>
      <w:r>
        <w:rPr>
          <w:rFonts w:eastAsiaTheme="minorHAnsi" w:cs="Arial"/>
          <w:szCs w:val="24"/>
        </w:rPr>
        <w:t>bylo</w:t>
      </w:r>
      <w:r w:rsidRPr="00B34B8E">
        <w:rPr>
          <w:rFonts w:eastAsiaTheme="minorHAnsi" w:cs="Arial"/>
          <w:szCs w:val="24"/>
        </w:rPr>
        <w:t xml:space="preserve"> v</w:t>
      </w:r>
      <w:r>
        <w:rPr>
          <w:rFonts w:eastAsiaTheme="minorHAnsi" w:cs="Arial"/>
          <w:szCs w:val="24"/>
        </w:rPr>
        <w:t xml:space="preserve"> roce 2018 v </w:t>
      </w:r>
      <w:r w:rsidRPr="00B34B8E">
        <w:rPr>
          <w:rFonts w:eastAsiaTheme="minorHAnsi" w:cs="Arial"/>
          <w:szCs w:val="24"/>
        </w:rPr>
        <w:t xml:space="preserve">rámci </w:t>
      </w:r>
      <w:r>
        <w:rPr>
          <w:rFonts w:eastAsiaTheme="minorHAnsi" w:cs="Arial"/>
          <w:szCs w:val="24"/>
        </w:rPr>
        <w:t>organizační GIBS</w:t>
      </w:r>
      <w:r w:rsidRPr="00B34B8E">
        <w:rPr>
          <w:rFonts w:eastAsiaTheme="minorHAnsi" w:cs="Arial"/>
          <w:szCs w:val="24"/>
        </w:rPr>
        <w:t xml:space="preserve"> součástí odboru kontroly.</w:t>
      </w:r>
      <w:r>
        <w:rPr>
          <w:rFonts w:eastAsiaTheme="minorHAnsi" w:cs="Arial"/>
          <w:szCs w:val="24"/>
        </w:rPr>
        <w:t xml:space="preserve"> </w:t>
      </w:r>
      <w:r w:rsidRPr="00B34B8E">
        <w:rPr>
          <w:rFonts w:eastAsiaTheme="minorHAnsi" w:cs="Arial"/>
          <w:szCs w:val="24"/>
        </w:rPr>
        <w:t xml:space="preserve">OVK </w:t>
      </w:r>
      <w:r>
        <w:rPr>
          <w:rFonts w:eastAsiaTheme="minorHAnsi" w:cs="Arial"/>
          <w:szCs w:val="24"/>
        </w:rPr>
        <w:t>provádí</w:t>
      </w:r>
      <w:r w:rsidRPr="00B34B8E">
        <w:rPr>
          <w:rFonts w:eastAsiaTheme="minorHAnsi" w:cs="Arial"/>
          <w:szCs w:val="24"/>
        </w:rPr>
        <w:t xml:space="preserve"> vyhledávání, odhalování a prověřování </w:t>
      </w:r>
      <w:r>
        <w:rPr>
          <w:rFonts w:eastAsiaTheme="minorHAnsi" w:cs="Arial"/>
          <w:szCs w:val="24"/>
        </w:rPr>
        <w:t>TČ</w:t>
      </w:r>
      <w:r w:rsidRPr="00B34B8E">
        <w:rPr>
          <w:rFonts w:eastAsiaTheme="minorHAnsi" w:cs="Arial"/>
          <w:szCs w:val="24"/>
        </w:rPr>
        <w:t xml:space="preserve"> příslušníků a zaměstnanců </w:t>
      </w:r>
      <w:r>
        <w:rPr>
          <w:rFonts w:eastAsiaTheme="minorHAnsi" w:cs="Arial"/>
          <w:szCs w:val="24"/>
        </w:rPr>
        <w:t>GIBS</w:t>
      </w:r>
      <w:r w:rsidRPr="00B34B8E">
        <w:rPr>
          <w:rFonts w:eastAsiaTheme="minorHAnsi" w:cs="Arial"/>
          <w:szCs w:val="24"/>
        </w:rPr>
        <w:t>, v rozsahu a postupem podle příslušných právních předpisů. Dále pro</w:t>
      </w:r>
      <w:r>
        <w:rPr>
          <w:rFonts w:eastAsiaTheme="minorHAnsi" w:cs="Arial"/>
          <w:szCs w:val="24"/>
        </w:rPr>
        <w:t>věřuje</w:t>
      </w:r>
      <w:r w:rsidRPr="00B34B8E">
        <w:rPr>
          <w:rFonts w:eastAsiaTheme="minorHAnsi" w:cs="Arial"/>
          <w:szCs w:val="24"/>
        </w:rPr>
        <w:t xml:space="preserve"> stížnosti a podněty na příslušníky a zaměstnance </w:t>
      </w:r>
      <w:r>
        <w:rPr>
          <w:rFonts w:eastAsiaTheme="minorHAnsi" w:cs="Arial"/>
          <w:szCs w:val="24"/>
        </w:rPr>
        <w:t>GIBS</w:t>
      </w:r>
      <w:r w:rsidRPr="00B34B8E">
        <w:rPr>
          <w:rFonts w:eastAsiaTheme="minorHAnsi" w:cs="Arial"/>
          <w:szCs w:val="24"/>
        </w:rPr>
        <w:t xml:space="preserve"> a provádí vnitřní kontrolu.</w:t>
      </w:r>
    </w:p>
    <w:p w14:paraId="1FC105E9" w14:textId="77777777" w:rsidR="00BD57B7" w:rsidRPr="009836B4" w:rsidRDefault="00BD57B7" w:rsidP="00BD57B7">
      <w:pPr>
        <w:spacing w:after="251" w:line="300" w:lineRule="exact"/>
        <w:jc w:val="both"/>
        <w:rPr>
          <w:rFonts w:cs="Arial"/>
          <w:szCs w:val="24"/>
        </w:rPr>
      </w:pPr>
      <w:r>
        <w:rPr>
          <w:rFonts w:cs="Arial"/>
          <w:szCs w:val="24"/>
        </w:rPr>
        <w:t>V roce 2017 pracovníci OVK přijali celkem 52 stížností. Z toho prověřovali 38 stížností na úřední postup a 14 stížností na chování či jednání příslušníků a  zaměstnanců GIBS. Z celkového počtu bylo 10 stížností vyhodnoceno jako důvodné a 42 jako nedůvodné</w:t>
      </w:r>
      <w:r w:rsidRPr="009836B4">
        <w:rPr>
          <w:rFonts w:cs="Arial"/>
          <w:szCs w:val="24"/>
        </w:rPr>
        <w:t>. V případě částečně důvodných a důvodných stížností byl vždy vyrozuměn příslušný služební funkcionář za účelem přijetí adekvátních opatření k zamezení závadného jednání či postupu.</w:t>
      </w:r>
    </w:p>
    <w:p w14:paraId="4B0C82B7" w14:textId="77777777" w:rsidR="00BD57B7" w:rsidRDefault="00BD57B7" w:rsidP="00BD57B7">
      <w:pPr>
        <w:spacing w:after="251" w:line="300" w:lineRule="exact"/>
        <w:jc w:val="both"/>
        <w:rPr>
          <w:rFonts w:cs="Arial"/>
          <w:i/>
          <w:szCs w:val="24"/>
        </w:rPr>
      </w:pPr>
    </w:p>
    <w:p w14:paraId="39FF781E" w14:textId="77777777" w:rsidR="00BD57B7" w:rsidRDefault="00BD57B7" w:rsidP="00BD57B7">
      <w:pPr>
        <w:spacing w:after="251" w:line="300" w:lineRule="exact"/>
        <w:jc w:val="both"/>
        <w:rPr>
          <w:rFonts w:cs="Arial"/>
          <w:i/>
          <w:szCs w:val="24"/>
        </w:rPr>
      </w:pPr>
    </w:p>
    <w:p w14:paraId="18AFD996" w14:textId="77777777" w:rsidR="00BD57B7" w:rsidRPr="009836B4" w:rsidRDefault="00BD57B7" w:rsidP="00BD57B7">
      <w:pPr>
        <w:spacing w:after="251" w:line="300" w:lineRule="exact"/>
        <w:jc w:val="both"/>
        <w:rPr>
          <w:rFonts w:cs="Arial"/>
          <w:b/>
          <w:i/>
          <w:szCs w:val="24"/>
        </w:rPr>
      </w:pPr>
      <w:r w:rsidRPr="009836B4">
        <w:rPr>
          <w:rFonts w:cs="Arial"/>
          <w:i/>
          <w:szCs w:val="24"/>
        </w:rPr>
        <w:lastRenderedPageBreak/>
        <w:t xml:space="preserve">Tabulka č. </w:t>
      </w:r>
      <w:r>
        <w:rPr>
          <w:rFonts w:cs="Arial"/>
          <w:i/>
          <w:szCs w:val="24"/>
        </w:rPr>
        <w:t>4</w:t>
      </w:r>
      <w:r w:rsidRPr="009836B4">
        <w:rPr>
          <w:rFonts w:cs="Arial"/>
          <w:i/>
          <w:szCs w:val="24"/>
        </w:rPr>
        <w:t xml:space="preserve"> – </w:t>
      </w:r>
      <w:r w:rsidRPr="009836B4">
        <w:rPr>
          <w:rFonts w:cs="Arial"/>
          <w:b/>
          <w:i/>
          <w:szCs w:val="24"/>
        </w:rPr>
        <w:t>Struktura stížností na pracovníky GIBS</w:t>
      </w:r>
    </w:p>
    <w:tbl>
      <w:tblPr>
        <w:tblW w:w="9243" w:type="dxa"/>
        <w:jc w:val="center"/>
        <w:tblCellMar>
          <w:left w:w="0" w:type="dxa"/>
          <w:right w:w="0" w:type="dxa"/>
        </w:tblCellMar>
        <w:tblLook w:val="04A0" w:firstRow="1" w:lastRow="0" w:firstColumn="1" w:lastColumn="0" w:noHBand="0" w:noVBand="1"/>
      </w:tblPr>
      <w:tblGrid>
        <w:gridCol w:w="2355"/>
        <w:gridCol w:w="4639"/>
        <w:gridCol w:w="2249"/>
      </w:tblGrid>
      <w:tr w:rsidR="00BD57B7" w:rsidRPr="009836B4" w14:paraId="125AC8A4" w14:textId="77777777" w:rsidTr="00457DC6">
        <w:trPr>
          <w:trHeight w:val="271"/>
          <w:jc w:val="center"/>
        </w:trPr>
        <w:tc>
          <w:tcPr>
            <w:tcW w:w="6994" w:type="dxa"/>
            <w:gridSpan w:val="2"/>
            <w:tcBorders>
              <w:top w:val="single" w:sz="8" w:space="0" w:color="auto"/>
              <w:left w:val="single" w:sz="8" w:space="0" w:color="auto"/>
              <w:bottom w:val="double" w:sz="4" w:space="0" w:color="auto"/>
              <w:right w:val="single" w:sz="8" w:space="0" w:color="000000"/>
            </w:tcBorders>
            <w:noWrap/>
            <w:tcMar>
              <w:top w:w="0" w:type="dxa"/>
              <w:left w:w="70" w:type="dxa"/>
              <w:bottom w:w="0" w:type="dxa"/>
              <w:right w:w="70" w:type="dxa"/>
            </w:tcMar>
            <w:vAlign w:val="center"/>
            <w:hideMark/>
          </w:tcPr>
          <w:p w14:paraId="2D3B1C4C" w14:textId="77777777" w:rsidR="00BD57B7" w:rsidRPr="009836B4" w:rsidRDefault="00BD57B7" w:rsidP="00457DC6">
            <w:pPr>
              <w:spacing w:after="0" w:line="300" w:lineRule="exact"/>
              <w:jc w:val="center"/>
              <w:rPr>
                <w:rFonts w:cs="Arial"/>
                <w:b/>
                <w:bCs/>
                <w:sz w:val="20"/>
              </w:rPr>
            </w:pPr>
            <w:r w:rsidRPr="009836B4">
              <w:rPr>
                <w:rFonts w:cs="Arial"/>
                <w:b/>
                <w:bCs/>
                <w:sz w:val="20"/>
              </w:rPr>
              <w:t xml:space="preserve">Struktura stížností </w:t>
            </w:r>
          </w:p>
        </w:tc>
        <w:tc>
          <w:tcPr>
            <w:tcW w:w="2249" w:type="dxa"/>
            <w:tcBorders>
              <w:top w:val="single" w:sz="8" w:space="0" w:color="auto"/>
              <w:left w:val="nil"/>
              <w:bottom w:val="double" w:sz="4" w:space="0" w:color="auto"/>
              <w:right w:val="single" w:sz="8" w:space="0" w:color="auto"/>
            </w:tcBorders>
            <w:noWrap/>
            <w:tcMar>
              <w:top w:w="0" w:type="dxa"/>
              <w:left w:w="70" w:type="dxa"/>
              <w:bottom w:w="0" w:type="dxa"/>
              <w:right w:w="70" w:type="dxa"/>
            </w:tcMar>
            <w:vAlign w:val="center"/>
            <w:hideMark/>
          </w:tcPr>
          <w:p w14:paraId="4FB94A0E" w14:textId="199773E9" w:rsidR="00BD57B7" w:rsidRPr="009836B4" w:rsidRDefault="00D9228E" w:rsidP="00457DC6">
            <w:pPr>
              <w:spacing w:after="0" w:line="300" w:lineRule="exact"/>
              <w:jc w:val="center"/>
              <w:rPr>
                <w:rFonts w:cs="Arial"/>
                <w:b/>
                <w:bCs/>
                <w:sz w:val="20"/>
              </w:rPr>
            </w:pPr>
            <w:r w:rsidRPr="009836B4">
              <w:rPr>
                <w:rFonts w:cs="Arial"/>
                <w:b/>
                <w:bCs/>
                <w:sz w:val="20"/>
              </w:rPr>
              <w:t>D</w:t>
            </w:r>
            <w:r w:rsidR="00BD57B7" w:rsidRPr="009836B4">
              <w:rPr>
                <w:rFonts w:cs="Arial"/>
                <w:b/>
                <w:bCs/>
                <w:sz w:val="20"/>
              </w:rPr>
              <w:t>ůvodné</w:t>
            </w:r>
          </w:p>
        </w:tc>
      </w:tr>
      <w:tr w:rsidR="00BD57B7" w:rsidRPr="009836B4" w14:paraId="353D86AC" w14:textId="77777777" w:rsidTr="00457DC6">
        <w:trPr>
          <w:trHeight w:val="178"/>
          <w:jc w:val="center"/>
        </w:trPr>
        <w:tc>
          <w:tcPr>
            <w:tcW w:w="2355" w:type="dxa"/>
            <w:vMerge w:val="restart"/>
            <w:tcBorders>
              <w:top w:val="doub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CFEEFB" w14:textId="77777777" w:rsidR="00BD57B7" w:rsidRPr="009836B4" w:rsidRDefault="00BD57B7" w:rsidP="00457DC6">
            <w:pPr>
              <w:spacing w:after="0" w:line="300" w:lineRule="exact"/>
              <w:rPr>
                <w:rFonts w:cs="Arial"/>
                <w:bCs/>
                <w:sz w:val="20"/>
              </w:rPr>
            </w:pPr>
            <w:r>
              <w:rPr>
                <w:rFonts w:cs="Arial"/>
                <w:bCs/>
                <w:sz w:val="20"/>
              </w:rPr>
              <w:t>38</w:t>
            </w:r>
            <w:r w:rsidRPr="009836B4">
              <w:rPr>
                <w:rFonts w:cs="Arial"/>
                <w:bCs/>
                <w:sz w:val="20"/>
              </w:rPr>
              <w:t>x stížnost na úřední postup</w:t>
            </w:r>
          </w:p>
        </w:tc>
        <w:tc>
          <w:tcPr>
            <w:tcW w:w="4639" w:type="dxa"/>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14:paraId="270FDDE4" w14:textId="77777777" w:rsidR="00BD57B7" w:rsidRPr="009836B4" w:rsidRDefault="00BD57B7" w:rsidP="00457DC6">
            <w:pPr>
              <w:spacing w:after="0" w:line="300" w:lineRule="exact"/>
              <w:rPr>
                <w:rFonts w:cs="Arial"/>
                <w:sz w:val="20"/>
              </w:rPr>
            </w:pPr>
            <w:r>
              <w:rPr>
                <w:rFonts w:cs="Arial"/>
                <w:sz w:val="20"/>
              </w:rPr>
              <w:t>2x na průtahy a nečinnost při prošetřování věci</w:t>
            </w:r>
          </w:p>
        </w:tc>
        <w:tc>
          <w:tcPr>
            <w:tcW w:w="2249" w:type="dxa"/>
            <w:tcBorders>
              <w:top w:val="double" w:sz="4" w:space="0" w:color="auto"/>
              <w:left w:val="nil"/>
              <w:bottom w:val="single" w:sz="8" w:space="0" w:color="auto"/>
              <w:right w:val="single" w:sz="8" w:space="0" w:color="auto"/>
            </w:tcBorders>
            <w:noWrap/>
            <w:tcMar>
              <w:top w:w="0" w:type="dxa"/>
              <w:left w:w="70" w:type="dxa"/>
              <w:bottom w:w="0" w:type="dxa"/>
              <w:right w:w="70" w:type="dxa"/>
            </w:tcMar>
            <w:hideMark/>
          </w:tcPr>
          <w:p w14:paraId="26C02AFA" w14:textId="77777777" w:rsidR="00BD57B7" w:rsidRPr="009836B4" w:rsidRDefault="00BD57B7" w:rsidP="00457DC6">
            <w:pPr>
              <w:spacing w:after="0" w:line="300" w:lineRule="exact"/>
              <w:jc w:val="center"/>
              <w:rPr>
                <w:rFonts w:cs="Arial"/>
                <w:sz w:val="20"/>
              </w:rPr>
            </w:pPr>
            <w:r>
              <w:rPr>
                <w:rFonts w:cs="Arial"/>
                <w:sz w:val="20"/>
              </w:rPr>
              <w:t xml:space="preserve">1x </w:t>
            </w:r>
          </w:p>
        </w:tc>
      </w:tr>
      <w:tr w:rsidR="00BD57B7" w:rsidRPr="009836B4" w14:paraId="3AB46EA2" w14:textId="77777777" w:rsidTr="00457DC6">
        <w:trPr>
          <w:trHeight w:val="286"/>
          <w:jc w:val="center"/>
        </w:trPr>
        <w:tc>
          <w:tcPr>
            <w:tcW w:w="2355" w:type="dxa"/>
            <w:vMerge/>
            <w:tcBorders>
              <w:top w:val="double" w:sz="4" w:space="0" w:color="auto"/>
              <w:left w:val="single" w:sz="8" w:space="0" w:color="auto"/>
              <w:bottom w:val="single" w:sz="8" w:space="0" w:color="auto"/>
              <w:right w:val="single" w:sz="8" w:space="0" w:color="auto"/>
            </w:tcBorders>
            <w:vAlign w:val="center"/>
            <w:hideMark/>
          </w:tcPr>
          <w:p w14:paraId="146443C3" w14:textId="77777777" w:rsidR="00BD57B7" w:rsidRPr="009836B4" w:rsidRDefault="00BD57B7" w:rsidP="00457DC6">
            <w:pPr>
              <w:spacing w:after="0"/>
              <w:rPr>
                <w:rFonts w:cs="Arial"/>
                <w:bCs/>
                <w:sz w:val="20"/>
              </w:rPr>
            </w:pPr>
          </w:p>
        </w:tc>
        <w:tc>
          <w:tcPr>
            <w:tcW w:w="46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884A0F" w14:textId="77777777" w:rsidR="00BD57B7" w:rsidRPr="009836B4" w:rsidRDefault="00BD57B7" w:rsidP="00457DC6">
            <w:pPr>
              <w:spacing w:after="0" w:line="300" w:lineRule="exact"/>
              <w:rPr>
                <w:rFonts w:cs="Arial"/>
                <w:sz w:val="20"/>
              </w:rPr>
            </w:pPr>
            <w:r>
              <w:rPr>
                <w:rFonts w:cs="Arial"/>
                <w:sz w:val="20"/>
              </w:rPr>
              <w:t>1x</w:t>
            </w:r>
            <w:r w:rsidRPr="009836B4">
              <w:rPr>
                <w:rFonts w:cs="Arial"/>
                <w:sz w:val="20"/>
              </w:rPr>
              <w:t xml:space="preserve"> na postup při vyrozumívání</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hideMark/>
          </w:tcPr>
          <w:p w14:paraId="388E0076" w14:textId="77777777" w:rsidR="00BD57B7" w:rsidRPr="009836B4" w:rsidRDefault="00BD57B7" w:rsidP="00457DC6">
            <w:pPr>
              <w:spacing w:after="0" w:line="300" w:lineRule="exact"/>
              <w:jc w:val="center"/>
              <w:rPr>
                <w:rFonts w:cs="Arial"/>
                <w:sz w:val="20"/>
              </w:rPr>
            </w:pPr>
            <w:r>
              <w:rPr>
                <w:rFonts w:cs="Arial"/>
                <w:sz w:val="20"/>
              </w:rPr>
              <w:t>1x částečná</w:t>
            </w:r>
          </w:p>
        </w:tc>
      </w:tr>
      <w:tr w:rsidR="00BD57B7" w:rsidRPr="009836B4" w14:paraId="1733F90F" w14:textId="77777777" w:rsidTr="00457DC6">
        <w:trPr>
          <w:trHeight w:val="286"/>
          <w:jc w:val="center"/>
        </w:trPr>
        <w:tc>
          <w:tcPr>
            <w:tcW w:w="2355" w:type="dxa"/>
            <w:vMerge/>
            <w:tcBorders>
              <w:top w:val="double" w:sz="4" w:space="0" w:color="auto"/>
              <w:left w:val="single" w:sz="8" w:space="0" w:color="auto"/>
              <w:bottom w:val="single" w:sz="8" w:space="0" w:color="auto"/>
              <w:right w:val="single" w:sz="8" w:space="0" w:color="auto"/>
            </w:tcBorders>
            <w:vAlign w:val="center"/>
            <w:hideMark/>
          </w:tcPr>
          <w:p w14:paraId="3705066F" w14:textId="77777777" w:rsidR="00BD57B7" w:rsidRPr="009836B4" w:rsidRDefault="00BD57B7" w:rsidP="00457DC6">
            <w:pPr>
              <w:spacing w:after="0"/>
              <w:rPr>
                <w:rFonts w:cs="Arial"/>
                <w:bCs/>
                <w:sz w:val="20"/>
              </w:rPr>
            </w:pPr>
          </w:p>
        </w:tc>
        <w:tc>
          <w:tcPr>
            <w:tcW w:w="46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D49209" w14:textId="77777777" w:rsidR="00BD57B7" w:rsidRPr="009836B4" w:rsidRDefault="00BD57B7" w:rsidP="00457DC6">
            <w:pPr>
              <w:spacing w:after="0" w:line="300" w:lineRule="exact"/>
              <w:rPr>
                <w:rFonts w:cs="Arial"/>
                <w:sz w:val="20"/>
              </w:rPr>
            </w:pPr>
            <w:r>
              <w:rPr>
                <w:rFonts w:cs="Arial"/>
                <w:sz w:val="20"/>
              </w:rPr>
              <w:t>1</w:t>
            </w:r>
            <w:r w:rsidRPr="009836B4">
              <w:rPr>
                <w:rFonts w:cs="Arial"/>
                <w:sz w:val="20"/>
              </w:rPr>
              <w:t>5x</w:t>
            </w:r>
            <w:r>
              <w:rPr>
                <w:rFonts w:cs="Arial"/>
                <w:sz w:val="20"/>
              </w:rPr>
              <w:t xml:space="preserve"> na postup a způsob při vyřízení věci</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hideMark/>
          </w:tcPr>
          <w:p w14:paraId="33F34893" w14:textId="77777777" w:rsidR="00BD57B7" w:rsidRPr="009836B4" w:rsidRDefault="00BD57B7" w:rsidP="00457DC6">
            <w:pPr>
              <w:spacing w:after="0" w:line="300" w:lineRule="exact"/>
              <w:jc w:val="center"/>
              <w:rPr>
                <w:rFonts w:cs="Arial"/>
                <w:sz w:val="20"/>
              </w:rPr>
            </w:pPr>
            <w:r>
              <w:rPr>
                <w:rFonts w:cs="Arial"/>
                <w:sz w:val="20"/>
              </w:rPr>
              <w:t>1x, 2x částečná</w:t>
            </w:r>
          </w:p>
        </w:tc>
      </w:tr>
      <w:tr w:rsidR="00BD57B7" w:rsidRPr="009836B4" w14:paraId="0092149E" w14:textId="77777777" w:rsidTr="00457DC6">
        <w:trPr>
          <w:trHeight w:val="286"/>
          <w:jc w:val="center"/>
        </w:trPr>
        <w:tc>
          <w:tcPr>
            <w:tcW w:w="2355" w:type="dxa"/>
            <w:vMerge/>
            <w:tcBorders>
              <w:top w:val="double" w:sz="4" w:space="0" w:color="auto"/>
              <w:left w:val="single" w:sz="8" w:space="0" w:color="auto"/>
              <w:bottom w:val="single" w:sz="8" w:space="0" w:color="auto"/>
              <w:right w:val="single" w:sz="8" w:space="0" w:color="auto"/>
            </w:tcBorders>
            <w:vAlign w:val="center"/>
            <w:hideMark/>
          </w:tcPr>
          <w:p w14:paraId="3FE67D21" w14:textId="77777777" w:rsidR="00BD57B7" w:rsidRPr="009836B4" w:rsidRDefault="00BD57B7" w:rsidP="00457DC6">
            <w:pPr>
              <w:spacing w:after="0"/>
              <w:rPr>
                <w:rFonts w:cs="Arial"/>
                <w:bCs/>
                <w:sz w:val="20"/>
              </w:rPr>
            </w:pPr>
          </w:p>
        </w:tc>
        <w:tc>
          <w:tcPr>
            <w:tcW w:w="46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5B3C2D" w14:textId="77777777" w:rsidR="00BD57B7" w:rsidRPr="009836B4" w:rsidRDefault="00BD57B7" w:rsidP="00457DC6">
            <w:pPr>
              <w:spacing w:after="0" w:line="300" w:lineRule="exact"/>
              <w:rPr>
                <w:rFonts w:cs="Arial"/>
                <w:sz w:val="20"/>
              </w:rPr>
            </w:pPr>
            <w:r w:rsidRPr="009836B4">
              <w:rPr>
                <w:rFonts w:cs="Arial"/>
                <w:sz w:val="20"/>
              </w:rPr>
              <w:t>2x na postup při příjmu podání</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hideMark/>
          </w:tcPr>
          <w:p w14:paraId="2F202E04" w14:textId="77777777" w:rsidR="00BD57B7" w:rsidRPr="009836B4" w:rsidRDefault="00BD57B7" w:rsidP="00457DC6">
            <w:pPr>
              <w:spacing w:after="0" w:line="300" w:lineRule="exact"/>
              <w:jc w:val="center"/>
              <w:rPr>
                <w:rFonts w:cs="Arial"/>
                <w:sz w:val="20"/>
              </w:rPr>
            </w:pPr>
            <w:r>
              <w:rPr>
                <w:rFonts w:cs="Arial"/>
                <w:sz w:val="20"/>
              </w:rPr>
              <w:t>1x</w:t>
            </w:r>
          </w:p>
        </w:tc>
      </w:tr>
      <w:tr w:rsidR="00BD57B7" w:rsidRPr="009836B4" w14:paraId="197A8C0B" w14:textId="77777777" w:rsidTr="00457DC6">
        <w:trPr>
          <w:trHeight w:val="286"/>
          <w:jc w:val="center"/>
        </w:trPr>
        <w:tc>
          <w:tcPr>
            <w:tcW w:w="2355" w:type="dxa"/>
            <w:vMerge/>
            <w:tcBorders>
              <w:top w:val="double" w:sz="4" w:space="0" w:color="auto"/>
              <w:left w:val="single" w:sz="8" w:space="0" w:color="auto"/>
              <w:bottom w:val="single" w:sz="8" w:space="0" w:color="auto"/>
              <w:right w:val="single" w:sz="8" w:space="0" w:color="auto"/>
            </w:tcBorders>
            <w:vAlign w:val="center"/>
            <w:hideMark/>
          </w:tcPr>
          <w:p w14:paraId="7F2D979C" w14:textId="77777777" w:rsidR="00BD57B7" w:rsidRPr="009836B4" w:rsidRDefault="00BD57B7" w:rsidP="00457DC6">
            <w:pPr>
              <w:spacing w:after="0"/>
              <w:rPr>
                <w:rFonts w:cs="Arial"/>
                <w:bCs/>
                <w:sz w:val="20"/>
              </w:rPr>
            </w:pPr>
          </w:p>
        </w:tc>
        <w:tc>
          <w:tcPr>
            <w:tcW w:w="46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1E2DF1" w14:textId="77777777" w:rsidR="00BD57B7" w:rsidRPr="009836B4" w:rsidRDefault="00BD57B7" w:rsidP="00457DC6">
            <w:pPr>
              <w:spacing w:after="0" w:line="300" w:lineRule="exact"/>
              <w:rPr>
                <w:rFonts w:cs="Arial"/>
                <w:sz w:val="20"/>
              </w:rPr>
            </w:pPr>
            <w:r>
              <w:rPr>
                <w:rFonts w:cs="Arial"/>
                <w:sz w:val="20"/>
              </w:rPr>
              <w:t>2x na způsob vedení domovní prohlídky</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hideMark/>
          </w:tcPr>
          <w:p w14:paraId="07D535B8" w14:textId="77777777" w:rsidR="00BD57B7" w:rsidRPr="009836B4" w:rsidRDefault="00BD57B7" w:rsidP="00457DC6">
            <w:pPr>
              <w:spacing w:after="0" w:line="300" w:lineRule="exact"/>
              <w:jc w:val="center"/>
              <w:rPr>
                <w:rFonts w:cs="Arial"/>
                <w:sz w:val="20"/>
              </w:rPr>
            </w:pPr>
            <w:r w:rsidRPr="009836B4">
              <w:rPr>
                <w:rFonts w:cs="Arial"/>
                <w:sz w:val="20"/>
              </w:rPr>
              <w:t>0</w:t>
            </w:r>
          </w:p>
        </w:tc>
      </w:tr>
      <w:tr w:rsidR="00BD57B7" w:rsidRPr="009836B4" w14:paraId="1EA3C6E5" w14:textId="77777777" w:rsidTr="00457DC6">
        <w:trPr>
          <w:trHeight w:val="286"/>
          <w:jc w:val="center"/>
        </w:trPr>
        <w:tc>
          <w:tcPr>
            <w:tcW w:w="2355" w:type="dxa"/>
            <w:vMerge/>
            <w:tcBorders>
              <w:top w:val="double" w:sz="4" w:space="0" w:color="auto"/>
              <w:left w:val="single" w:sz="8" w:space="0" w:color="auto"/>
              <w:bottom w:val="single" w:sz="8" w:space="0" w:color="auto"/>
              <w:right w:val="single" w:sz="8" w:space="0" w:color="auto"/>
            </w:tcBorders>
            <w:vAlign w:val="center"/>
            <w:hideMark/>
          </w:tcPr>
          <w:p w14:paraId="0D5B3E51" w14:textId="77777777" w:rsidR="00BD57B7" w:rsidRPr="009836B4" w:rsidRDefault="00BD57B7" w:rsidP="00457DC6">
            <w:pPr>
              <w:spacing w:after="0"/>
              <w:rPr>
                <w:rFonts w:cs="Arial"/>
                <w:bCs/>
                <w:sz w:val="20"/>
              </w:rPr>
            </w:pPr>
          </w:p>
        </w:tc>
        <w:tc>
          <w:tcPr>
            <w:tcW w:w="46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72655F" w14:textId="77777777" w:rsidR="00BD57B7" w:rsidRPr="009836B4" w:rsidRDefault="00BD57B7" w:rsidP="00457DC6">
            <w:pPr>
              <w:spacing w:after="0" w:line="300" w:lineRule="exact"/>
              <w:rPr>
                <w:rFonts w:cs="Arial"/>
                <w:sz w:val="20"/>
              </w:rPr>
            </w:pPr>
            <w:r>
              <w:rPr>
                <w:rFonts w:cs="Arial"/>
                <w:sz w:val="20"/>
              </w:rPr>
              <w:t>2x na postup při zadržení osoby podezřelé</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hideMark/>
          </w:tcPr>
          <w:p w14:paraId="3FA7ACFA" w14:textId="77777777" w:rsidR="00BD57B7" w:rsidRPr="009836B4" w:rsidRDefault="00BD57B7" w:rsidP="00457DC6">
            <w:pPr>
              <w:spacing w:after="0" w:line="300" w:lineRule="exact"/>
              <w:jc w:val="center"/>
              <w:rPr>
                <w:rFonts w:cs="Arial"/>
                <w:sz w:val="20"/>
              </w:rPr>
            </w:pPr>
            <w:r>
              <w:rPr>
                <w:rFonts w:cs="Arial"/>
                <w:sz w:val="20"/>
              </w:rPr>
              <w:t>0</w:t>
            </w:r>
          </w:p>
        </w:tc>
      </w:tr>
      <w:tr w:rsidR="00BD57B7" w:rsidRPr="009836B4" w14:paraId="47418B48" w14:textId="77777777" w:rsidTr="00457DC6">
        <w:trPr>
          <w:trHeight w:val="286"/>
          <w:jc w:val="center"/>
        </w:trPr>
        <w:tc>
          <w:tcPr>
            <w:tcW w:w="2355" w:type="dxa"/>
            <w:vMerge/>
            <w:tcBorders>
              <w:top w:val="double" w:sz="4" w:space="0" w:color="auto"/>
              <w:left w:val="single" w:sz="8" w:space="0" w:color="auto"/>
              <w:bottom w:val="single" w:sz="8" w:space="0" w:color="auto"/>
              <w:right w:val="single" w:sz="8" w:space="0" w:color="auto"/>
            </w:tcBorders>
            <w:vAlign w:val="center"/>
            <w:hideMark/>
          </w:tcPr>
          <w:p w14:paraId="0C11F67E" w14:textId="77777777" w:rsidR="00BD57B7" w:rsidRPr="009836B4" w:rsidRDefault="00BD57B7" w:rsidP="00457DC6">
            <w:pPr>
              <w:spacing w:after="0"/>
              <w:rPr>
                <w:rFonts w:cs="Arial"/>
                <w:bCs/>
                <w:sz w:val="20"/>
              </w:rPr>
            </w:pPr>
          </w:p>
        </w:tc>
        <w:tc>
          <w:tcPr>
            <w:tcW w:w="46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29F533" w14:textId="77777777" w:rsidR="00BD57B7" w:rsidRPr="009836B4" w:rsidRDefault="00BD57B7" w:rsidP="00457DC6">
            <w:pPr>
              <w:spacing w:after="0" w:line="300" w:lineRule="exact"/>
              <w:rPr>
                <w:rFonts w:cs="Arial"/>
                <w:sz w:val="20"/>
              </w:rPr>
            </w:pPr>
            <w:r>
              <w:rPr>
                <w:rFonts w:cs="Arial"/>
                <w:sz w:val="20"/>
              </w:rPr>
              <w:t>4x na neumožnění nahlédnutí do spisu</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hideMark/>
          </w:tcPr>
          <w:p w14:paraId="6CB06C8F" w14:textId="77777777" w:rsidR="00BD57B7" w:rsidRPr="009836B4" w:rsidRDefault="00BD57B7" w:rsidP="00457DC6">
            <w:pPr>
              <w:spacing w:after="0" w:line="300" w:lineRule="exact"/>
              <w:jc w:val="center"/>
              <w:rPr>
                <w:rFonts w:cs="Arial"/>
                <w:sz w:val="20"/>
              </w:rPr>
            </w:pPr>
            <w:r>
              <w:rPr>
                <w:rFonts w:cs="Arial"/>
                <w:sz w:val="20"/>
              </w:rPr>
              <w:t>1x částečná</w:t>
            </w:r>
          </w:p>
        </w:tc>
      </w:tr>
      <w:tr w:rsidR="00BD57B7" w:rsidRPr="009836B4" w14:paraId="11379DCB" w14:textId="77777777" w:rsidTr="00457DC6">
        <w:trPr>
          <w:trHeight w:val="286"/>
          <w:jc w:val="center"/>
        </w:trPr>
        <w:tc>
          <w:tcPr>
            <w:tcW w:w="2355" w:type="dxa"/>
            <w:vMerge/>
            <w:tcBorders>
              <w:top w:val="double" w:sz="4" w:space="0" w:color="auto"/>
              <w:left w:val="single" w:sz="8" w:space="0" w:color="auto"/>
              <w:bottom w:val="single" w:sz="8" w:space="0" w:color="auto"/>
              <w:right w:val="single" w:sz="8" w:space="0" w:color="auto"/>
            </w:tcBorders>
            <w:vAlign w:val="center"/>
            <w:hideMark/>
          </w:tcPr>
          <w:p w14:paraId="38892133" w14:textId="77777777" w:rsidR="00BD57B7" w:rsidRPr="009836B4" w:rsidRDefault="00BD57B7" w:rsidP="00457DC6">
            <w:pPr>
              <w:spacing w:after="0"/>
              <w:rPr>
                <w:rFonts w:cs="Arial"/>
                <w:bCs/>
                <w:sz w:val="20"/>
              </w:rPr>
            </w:pPr>
          </w:p>
        </w:tc>
        <w:tc>
          <w:tcPr>
            <w:tcW w:w="46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CB6569" w14:textId="77777777" w:rsidR="00BD57B7" w:rsidRPr="009836B4" w:rsidRDefault="00BD57B7" w:rsidP="00457DC6">
            <w:pPr>
              <w:spacing w:after="0" w:line="300" w:lineRule="exact"/>
              <w:rPr>
                <w:rFonts w:cs="Arial"/>
                <w:sz w:val="20"/>
              </w:rPr>
            </w:pPr>
            <w:r>
              <w:rPr>
                <w:rFonts w:cs="Arial"/>
                <w:sz w:val="20"/>
              </w:rPr>
              <w:t>2</w:t>
            </w:r>
            <w:r w:rsidRPr="009836B4">
              <w:rPr>
                <w:rFonts w:cs="Arial"/>
                <w:sz w:val="20"/>
              </w:rPr>
              <w:t>x na odepření předání úředního záznamu</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hideMark/>
          </w:tcPr>
          <w:p w14:paraId="38FE5CB7" w14:textId="77777777" w:rsidR="00BD57B7" w:rsidRPr="009836B4" w:rsidRDefault="00BD57B7" w:rsidP="00457DC6">
            <w:pPr>
              <w:spacing w:after="0" w:line="300" w:lineRule="exact"/>
              <w:jc w:val="center"/>
              <w:rPr>
                <w:rFonts w:cs="Arial"/>
                <w:sz w:val="20"/>
              </w:rPr>
            </w:pPr>
            <w:r w:rsidRPr="009836B4">
              <w:rPr>
                <w:rFonts w:cs="Arial"/>
                <w:sz w:val="20"/>
              </w:rPr>
              <w:t>0</w:t>
            </w:r>
          </w:p>
        </w:tc>
      </w:tr>
      <w:tr w:rsidR="00BD57B7" w:rsidRPr="009836B4" w14:paraId="22A55E8A" w14:textId="77777777" w:rsidTr="00457DC6">
        <w:trPr>
          <w:trHeight w:val="286"/>
          <w:jc w:val="center"/>
        </w:trPr>
        <w:tc>
          <w:tcPr>
            <w:tcW w:w="2355" w:type="dxa"/>
            <w:vMerge/>
            <w:tcBorders>
              <w:top w:val="double" w:sz="4" w:space="0" w:color="auto"/>
              <w:left w:val="single" w:sz="8" w:space="0" w:color="auto"/>
              <w:bottom w:val="single" w:sz="8" w:space="0" w:color="auto"/>
              <w:right w:val="single" w:sz="8" w:space="0" w:color="auto"/>
            </w:tcBorders>
            <w:vAlign w:val="center"/>
            <w:hideMark/>
          </w:tcPr>
          <w:p w14:paraId="1DAD28E6" w14:textId="77777777" w:rsidR="00BD57B7" w:rsidRPr="009836B4" w:rsidRDefault="00BD57B7" w:rsidP="00457DC6">
            <w:pPr>
              <w:spacing w:after="0"/>
              <w:rPr>
                <w:rFonts w:cs="Arial"/>
                <w:bCs/>
                <w:sz w:val="20"/>
              </w:rPr>
            </w:pPr>
          </w:p>
        </w:tc>
        <w:tc>
          <w:tcPr>
            <w:tcW w:w="46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06C338" w14:textId="77777777" w:rsidR="00BD57B7" w:rsidRPr="009836B4" w:rsidRDefault="00BD57B7" w:rsidP="00457DC6">
            <w:pPr>
              <w:spacing w:after="0" w:line="300" w:lineRule="exact"/>
              <w:rPr>
                <w:rFonts w:cs="Arial"/>
                <w:sz w:val="20"/>
              </w:rPr>
            </w:pPr>
            <w:r>
              <w:rPr>
                <w:rFonts w:cs="Arial"/>
                <w:sz w:val="20"/>
              </w:rPr>
              <w:t xml:space="preserve">8x stížnost opakovaná – vyřízení </w:t>
            </w:r>
            <w:proofErr w:type="spellStart"/>
            <w:r>
              <w:rPr>
                <w:rFonts w:cs="Arial"/>
                <w:sz w:val="20"/>
              </w:rPr>
              <w:t>předch</w:t>
            </w:r>
            <w:proofErr w:type="spellEnd"/>
            <w:r>
              <w:rPr>
                <w:rFonts w:cs="Arial"/>
                <w:sz w:val="20"/>
              </w:rPr>
              <w:t>. stížnosti</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hideMark/>
          </w:tcPr>
          <w:p w14:paraId="797BEFA4" w14:textId="77777777" w:rsidR="00BD57B7" w:rsidRPr="009836B4" w:rsidRDefault="00BD57B7" w:rsidP="00457DC6">
            <w:pPr>
              <w:spacing w:after="0" w:line="300" w:lineRule="exact"/>
              <w:jc w:val="center"/>
              <w:rPr>
                <w:rFonts w:cs="Arial"/>
                <w:sz w:val="20"/>
              </w:rPr>
            </w:pPr>
            <w:r>
              <w:rPr>
                <w:rFonts w:cs="Arial"/>
                <w:sz w:val="20"/>
              </w:rPr>
              <w:t>1x, 1x částečná</w:t>
            </w:r>
          </w:p>
        </w:tc>
      </w:tr>
      <w:tr w:rsidR="00BD57B7" w:rsidRPr="009836B4" w14:paraId="1CE77598" w14:textId="77777777" w:rsidTr="00457DC6">
        <w:trPr>
          <w:trHeight w:val="286"/>
          <w:jc w:val="center"/>
        </w:trPr>
        <w:tc>
          <w:tcPr>
            <w:tcW w:w="2355"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28A6A1" w14:textId="77777777" w:rsidR="00BD57B7" w:rsidRPr="009836B4" w:rsidRDefault="00BD57B7" w:rsidP="00457DC6">
            <w:pPr>
              <w:spacing w:after="0" w:line="300" w:lineRule="exact"/>
              <w:rPr>
                <w:rFonts w:cs="Arial"/>
                <w:bCs/>
                <w:sz w:val="20"/>
              </w:rPr>
            </w:pPr>
            <w:r>
              <w:rPr>
                <w:rFonts w:cs="Arial"/>
                <w:bCs/>
                <w:sz w:val="20"/>
              </w:rPr>
              <w:t>14</w:t>
            </w:r>
            <w:r w:rsidRPr="009836B4">
              <w:rPr>
                <w:rFonts w:cs="Arial"/>
                <w:bCs/>
                <w:sz w:val="20"/>
              </w:rPr>
              <w:t>x stížnost na chování</w:t>
            </w:r>
          </w:p>
        </w:tc>
        <w:tc>
          <w:tcPr>
            <w:tcW w:w="46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8D47CD" w14:textId="77777777" w:rsidR="00BD57B7" w:rsidRPr="009836B4" w:rsidRDefault="00BD57B7" w:rsidP="00457DC6">
            <w:pPr>
              <w:spacing w:after="0" w:line="300" w:lineRule="exact"/>
              <w:rPr>
                <w:rFonts w:cs="Arial"/>
                <w:sz w:val="20"/>
              </w:rPr>
            </w:pPr>
            <w:r>
              <w:rPr>
                <w:rFonts w:cs="Arial"/>
                <w:sz w:val="20"/>
              </w:rPr>
              <w:t xml:space="preserve">1x na nevhodné chování mimo službu </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hideMark/>
          </w:tcPr>
          <w:p w14:paraId="56087117" w14:textId="77777777" w:rsidR="00BD57B7" w:rsidRPr="009836B4" w:rsidRDefault="00BD57B7" w:rsidP="00457DC6">
            <w:pPr>
              <w:spacing w:after="0" w:line="300" w:lineRule="exact"/>
              <w:jc w:val="center"/>
              <w:rPr>
                <w:rFonts w:cs="Arial"/>
                <w:sz w:val="20"/>
              </w:rPr>
            </w:pPr>
            <w:r>
              <w:rPr>
                <w:rFonts w:cs="Arial"/>
                <w:sz w:val="20"/>
              </w:rPr>
              <w:t>0</w:t>
            </w:r>
          </w:p>
        </w:tc>
      </w:tr>
      <w:tr w:rsidR="00BD57B7" w:rsidRPr="009836B4" w14:paraId="0D76175F" w14:textId="77777777" w:rsidTr="00457DC6">
        <w:trPr>
          <w:trHeight w:val="286"/>
          <w:jc w:val="center"/>
        </w:trPr>
        <w:tc>
          <w:tcPr>
            <w:tcW w:w="2355" w:type="dxa"/>
            <w:vMerge/>
            <w:tcBorders>
              <w:top w:val="nil"/>
              <w:left w:val="single" w:sz="8" w:space="0" w:color="auto"/>
              <w:bottom w:val="single" w:sz="8" w:space="0" w:color="auto"/>
              <w:right w:val="single" w:sz="8" w:space="0" w:color="auto"/>
            </w:tcBorders>
            <w:vAlign w:val="center"/>
            <w:hideMark/>
          </w:tcPr>
          <w:p w14:paraId="769713D2" w14:textId="77777777" w:rsidR="00BD57B7" w:rsidRPr="009836B4" w:rsidRDefault="00BD57B7" w:rsidP="00457DC6">
            <w:pPr>
              <w:spacing w:after="0"/>
              <w:rPr>
                <w:rFonts w:cs="Arial"/>
                <w:bCs/>
                <w:sz w:val="20"/>
              </w:rPr>
            </w:pPr>
          </w:p>
        </w:tc>
        <w:tc>
          <w:tcPr>
            <w:tcW w:w="46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E043B2" w14:textId="77777777" w:rsidR="00BD57B7" w:rsidRPr="009836B4" w:rsidRDefault="00BD57B7" w:rsidP="00457DC6">
            <w:pPr>
              <w:spacing w:after="0" w:line="300" w:lineRule="exact"/>
              <w:rPr>
                <w:rFonts w:cs="Arial"/>
                <w:sz w:val="20"/>
              </w:rPr>
            </w:pPr>
            <w:r>
              <w:rPr>
                <w:rFonts w:cs="Arial"/>
                <w:sz w:val="20"/>
              </w:rPr>
              <w:t>11</w:t>
            </w:r>
            <w:r w:rsidRPr="009836B4">
              <w:rPr>
                <w:rFonts w:cs="Arial"/>
                <w:sz w:val="20"/>
              </w:rPr>
              <w:t xml:space="preserve">x </w:t>
            </w:r>
            <w:r>
              <w:rPr>
                <w:rFonts w:cs="Arial"/>
                <w:sz w:val="20"/>
              </w:rPr>
              <w:t>na nevhodné chování při podání vysvětlení</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hideMark/>
          </w:tcPr>
          <w:p w14:paraId="6291C66C" w14:textId="77777777" w:rsidR="00BD57B7" w:rsidRPr="009836B4" w:rsidRDefault="00BD57B7" w:rsidP="00457DC6">
            <w:pPr>
              <w:spacing w:after="0" w:line="300" w:lineRule="exact"/>
              <w:jc w:val="center"/>
              <w:rPr>
                <w:rFonts w:cs="Arial"/>
                <w:sz w:val="20"/>
              </w:rPr>
            </w:pPr>
            <w:r w:rsidRPr="009836B4">
              <w:rPr>
                <w:rFonts w:cs="Arial"/>
                <w:sz w:val="20"/>
              </w:rPr>
              <w:t>1x částečně</w:t>
            </w:r>
          </w:p>
        </w:tc>
      </w:tr>
      <w:tr w:rsidR="00BD57B7" w:rsidRPr="009836B4" w14:paraId="70B6423E" w14:textId="77777777" w:rsidTr="00457DC6">
        <w:trPr>
          <w:trHeight w:val="286"/>
          <w:jc w:val="center"/>
        </w:trPr>
        <w:tc>
          <w:tcPr>
            <w:tcW w:w="2355" w:type="dxa"/>
            <w:vMerge/>
            <w:tcBorders>
              <w:top w:val="nil"/>
              <w:left w:val="single" w:sz="8" w:space="0" w:color="auto"/>
              <w:bottom w:val="single" w:sz="8" w:space="0" w:color="auto"/>
              <w:right w:val="single" w:sz="8" w:space="0" w:color="auto"/>
            </w:tcBorders>
            <w:vAlign w:val="center"/>
            <w:hideMark/>
          </w:tcPr>
          <w:p w14:paraId="066B4DD7" w14:textId="77777777" w:rsidR="00BD57B7" w:rsidRPr="009836B4" w:rsidRDefault="00BD57B7" w:rsidP="00457DC6">
            <w:pPr>
              <w:spacing w:after="0"/>
              <w:rPr>
                <w:rFonts w:cs="Arial"/>
                <w:bCs/>
                <w:sz w:val="20"/>
              </w:rPr>
            </w:pPr>
          </w:p>
        </w:tc>
        <w:tc>
          <w:tcPr>
            <w:tcW w:w="46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95D8AB" w14:textId="77777777" w:rsidR="00BD57B7" w:rsidRPr="009836B4" w:rsidRDefault="00BD57B7" w:rsidP="00457DC6">
            <w:pPr>
              <w:spacing w:after="0" w:line="300" w:lineRule="exact"/>
              <w:rPr>
                <w:rFonts w:cs="Arial"/>
                <w:sz w:val="20"/>
              </w:rPr>
            </w:pPr>
            <w:r w:rsidRPr="009836B4">
              <w:rPr>
                <w:rFonts w:cs="Arial"/>
                <w:sz w:val="20"/>
              </w:rPr>
              <w:t>1x na nevhodné chování při příjmu oznámení</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hideMark/>
          </w:tcPr>
          <w:p w14:paraId="58A5EE5D" w14:textId="77777777" w:rsidR="00BD57B7" w:rsidRPr="009836B4" w:rsidRDefault="00BD57B7" w:rsidP="00457DC6">
            <w:pPr>
              <w:spacing w:after="0" w:line="300" w:lineRule="exact"/>
              <w:jc w:val="center"/>
              <w:rPr>
                <w:rFonts w:cs="Arial"/>
                <w:sz w:val="20"/>
              </w:rPr>
            </w:pPr>
            <w:r w:rsidRPr="009836B4">
              <w:rPr>
                <w:rFonts w:cs="Arial"/>
                <w:sz w:val="20"/>
              </w:rPr>
              <w:t>0</w:t>
            </w:r>
          </w:p>
        </w:tc>
      </w:tr>
      <w:tr w:rsidR="00BD57B7" w:rsidRPr="009836B4" w14:paraId="12FB7C22" w14:textId="77777777" w:rsidTr="00457DC6">
        <w:trPr>
          <w:trHeight w:val="286"/>
          <w:jc w:val="center"/>
        </w:trPr>
        <w:tc>
          <w:tcPr>
            <w:tcW w:w="2355" w:type="dxa"/>
            <w:vMerge/>
            <w:tcBorders>
              <w:top w:val="nil"/>
              <w:left w:val="single" w:sz="8" w:space="0" w:color="auto"/>
              <w:bottom w:val="single" w:sz="8" w:space="0" w:color="auto"/>
              <w:right w:val="single" w:sz="8" w:space="0" w:color="auto"/>
            </w:tcBorders>
            <w:vAlign w:val="center"/>
            <w:hideMark/>
          </w:tcPr>
          <w:p w14:paraId="1B184A46" w14:textId="77777777" w:rsidR="00BD57B7" w:rsidRPr="009836B4" w:rsidRDefault="00BD57B7" w:rsidP="00457DC6">
            <w:pPr>
              <w:spacing w:after="0"/>
              <w:rPr>
                <w:rFonts w:cs="Arial"/>
                <w:bCs/>
                <w:sz w:val="20"/>
              </w:rPr>
            </w:pPr>
          </w:p>
        </w:tc>
        <w:tc>
          <w:tcPr>
            <w:tcW w:w="46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E61BC0" w14:textId="77777777" w:rsidR="00BD57B7" w:rsidRPr="009836B4" w:rsidRDefault="00BD57B7" w:rsidP="00457DC6">
            <w:pPr>
              <w:spacing w:after="0" w:line="300" w:lineRule="exact"/>
              <w:rPr>
                <w:rFonts w:cs="Arial"/>
                <w:sz w:val="20"/>
              </w:rPr>
            </w:pPr>
            <w:r w:rsidRPr="009836B4">
              <w:rPr>
                <w:rFonts w:cs="Arial"/>
                <w:sz w:val="20"/>
              </w:rPr>
              <w:t>1x na nevhodné chování při šetření na místě</w:t>
            </w:r>
          </w:p>
        </w:tc>
        <w:tc>
          <w:tcPr>
            <w:tcW w:w="2249" w:type="dxa"/>
            <w:tcBorders>
              <w:top w:val="nil"/>
              <w:left w:val="nil"/>
              <w:bottom w:val="single" w:sz="8" w:space="0" w:color="auto"/>
              <w:right w:val="single" w:sz="8" w:space="0" w:color="auto"/>
            </w:tcBorders>
            <w:noWrap/>
            <w:tcMar>
              <w:top w:w="0" w:type="dxa"/>
              <w:left w:w="70" w:type="dxa"/>
              <w:bottom w:w="0" w:type="dxa"/>
              <w:right w:w="70" w:type="dxa"/>
            </w:tcMar>
            <w:hideMark/>
          </w:tcPr>
          <w:p w14:paraId="4FC350B1" w14:textId="77777777" w:rsidR="00BD57B7" w:rsidRPr="009836B4" w:rsidRDefault="00BD57B7" w:rsidP="00457DC6">
            <w:pPr>
              <w:spacing w:after="0" w:line="300" w:lineRule="exact"/>
              <w:jc w:val="center"/>
              <w:rPr>
                <w:rFonts w:cs="Arial"/>
                <w:sz w:val="20"/>
              </w:rPr>
            </w:pPr>
            <w:r w:rsidRPr="009836B4">
              <w:rPr>
                <w:rFonts w:cs="Arial"/>
                <w:sz w:val="20"/>
              </w:rPr>
              <w:t>0</w:t>
            </w:r>
          </w:p>
        </w:tc>
      </w:tr>
    </w:tbl>
    <w:p w14:paraId="54D5D20F" w14:textId="77777777" w:rsidR="00BD57B7" w:rsidRDefault="00BD57B7" w:rsidP="00BD57B7">
      <w:pPr>
        <w:spacing w:after="251" w:line="300" w:lineRule="exact"/>
        <w:jc w:val="both"/>
        <w:rPr>
          <w:rFonts w:cs="Arial"/>
          <w:szCs w:val="24"/>
        </w:rPr>
      </w:pPr>
    </w:p>
    <w:p w14:paraId="29E85BA6" w14:textId="77777777" w:rsidR="00BD57B7" w:rsidRPr="009836B4" w:rsidRDefault="00BD57B7" w:rsidP="00BD57B7">
      <w:pPr>
        <w:spacing w:after="251" w:line="300" w:lineRule="exact"/>
        <w:jc w:val="both"/>
        <w:rPr>
          <w:rFonts w:cs="Arial"/>
          <w:szCs w:val="24"/>
        </w:rPr>
      </w:pPr>
      <w:r w:rsidRPr="009836B4">
        <w:rPr>
          <w:rFonts w:cs="Arial"/>
          <w:szCs w:val="24"/>
        </w:rPr>
        <w:t xml:space="preserve">Pracovníci OVK provedli celkem </w:t>
      </w:r>
      <w:r w:rsidRPr="00887738">
        <w:rPr>
          <w:rFonts w:cs="Arial"/>
          <w:szCs w:val="24"/>
        </w:rPr>
        <w:t>48</w:t>
      </w:r>
      <w:r w:rsidRPr="009836B4">
        <w:rPr>
          <w:rFonts w:cs="Arial"/>
          <w:szCs w:val="24"/>
        </w:rPr>
        <w:t xml:space="preserve"> kontrolních šetření na základě podnětu na protiprávní jednání příslušníků a zaměs</w:t>
      </w:r>
      <w:r>
        <w:rPr>
          <w:rFonts w:cs="Arial"/>
          <w:szCs w:val="24"/>
        </w:rPr>
        <w:t>tnanců GIBS. Z tohoto počtu byly</w:t>
      </w:r>
      <w:r w:rsidRPr="009836B4">
        <w:rPr>
          <w:rFonts w:cs="Arial"/>
          <w:szCs w:val="24"/>
        </w:rPr>
        <w:t xml:space="preserve"> </w:t>
      </w:r>
      <w:r>
        <w:rPr>
          <w:rFonts w:cs="Arial"/>
          <w:szCs w:val="24"/>
        </w:rPr>
        <w:t>4 případy</w:t>
      </w:r>
      <w:r w:rsidRPr="009836B4">
        <w:rPr>
          <w:rFonts w:cs="Arial"/>
          <w:szCs w:val="24"/>
        </w:rPr>
        <w:t xml:space="preserve"> předán</w:t>
      </w:r>
      <w:r>
        <w:rPr>
          <w:rFonts w:cs="Arial"/>
          <w:szCs w:val="24"/>
        </w:rPr>
        <w:t>y</w:t>
      </w:r>
      <w:r w:rsidRPr="009836B4">
        <w:rPr>
          <w:rFonts w:cs="Arial"/>
          <w:szCs w:val="24"/>
        </w:rPr>
        <w:t xml:space="preserve"> k dalšímu opatření příslušnému služebnímu funkcionáři</w:t>
      </w:r>
      <w:r>
        <w:rPr>
          <w:rFonts w:cs="Arial"/>
          <w:szCs w:val="24"/>
        </w:rPr>
        <w:t xml:space="preserve"> a jedenkrát byl případ předán na NBÚ</w:t>
      </w:r>
      <w:r w:rsidRPr="009836B4">
        <w:rPr>
          <w:rFonts w:cs="Arial"/>
          <w:szCs w:val="24"/>
        </w:rPr>
        <w:t xml:space="preserve">. </w:t>
      </w:r>
    </w:p>
    <w:p w14:paraId="64BFF320" w14:textId="78693AF1" w:rsidR="00BD57B7" w:rsidRPr="00BD57B7" w:rsidRDefault="00BD57B7" w:rsidP="00BD57B7">
      <w:pPr>
        <w:spacing w:after="251" w:line="300" w:lineRule="exact"/>
        <w:jc w:val="both"/>
        <w:rPr>
          <w:rFonts w:cs="Arial"/>
          <w:strike/>
          <w:szCs w:val="24"/>
        </w:rPr>
      </w:pPr>
      <w:r w:rsidRPr="009836B4">
        <w:rPr>
          <w:rFonts w:eastAsiaTheme="minorHAnsi" w:cs="Arial"/>
          <w:szCs w:val="24"/>
        </w:rPr>
        <w:t>V roce 201</w:t>
      </w:r>
      <w:r>
        <w:rPr>
          <w:rFonts w:eastAsiaTheme="minorHAnsi" w:cs="Arial"/>
          <w:szCs w:val="24"/>
        </w:rPr>
        <w:t>8</w:t>
      </w:r>
      <w:r w:rsidRPr="009836B4">
        <w:rPr>
          <w:rFonts w:eastAsiaTheme="minorHAnsi" w:cs="Arial"/>
          <w:szCs w:val="24"/>
        </w:rPr>
        <w:t xml:space="preserve"> bylo pracovníky OVK vedeno </w:t>
      </w:r>
      <w:r>
        <w:rPr>
          <w:rFonts w:eastAsiaTheme="minorHAnsi" w:cs="Arial"/>
          <w:szCs w:val="24"/>
        </w:rPr>
        <w:t xml:space="preserve">9 </w:t>
      </w:r>
      <w:r w:rsidRPr="009836B4">
        <w:rPr>
          <w:rFonts w:eastAsiaTheme="minorHAnsi" w:cs="Arial"/>
          <w:szCs w:val="24"/>
        </w:rPr>
        <w:t xml:space="preserve">trestních spisů </w:t>
      </w:r>
      <w:r>
        <w:rPr>
          <w:rFonts w:eastAsiaTheme="minorHAnsi" w:cs="Arial"/>
          <w:szCs w:val="24"/>
        </w:rPr>
        <w:t>v režimu prověřování, přičemž v</w:t>
      </w:r>
      <w:r w:rsidRPr="009836B4">
        <w:rPr>
          <w:rFonts w:eastAsiaTheme="minorHAnsi" w:cs="Arial"/>
          <w:szCs w:val="24"/>
        </w:rPr>
        <w:t xml:space="preserve"> </w:t>
      </w:r>
      <w:r>
        <w:rPr>
          <w:rFonts w:eastAsiaTheme="minorHAnsi" w:cs="Arial"/>
          <w:szCs w:val="24"/>
        </w:rPr>
        <w:t xml:space="preserve">1 </w:t>
      </w:r>
      <w:r w:rsidRPr="009836B4">
        <w:rPr>
          <w:rFonts w:eastAsiaTheme="minorHAnsi" w:cs="Arial"/>
          <w:szCs w:val="24"/>
        </w:rPr>
        <w:t>případ</w:t>
      </w:r>
      <w:r>
        <w:rPr>
          <w:rFonts w:eastAsiaTheme="minorHAnsi" w:cs="Arial"/>
          <w:szCs w:val="24"/>
        </w:rPr>
        <w:t>ě byl podán návrh na zahájení trestního stíhání (trestní stíhání zahájeno 4.1.2019) a v 1 případě byl</w:t>
      </w:r>
      <w:r w:rsidRPr="009836B4">
        <w:rPr>
          <w:rFonts w:eastAsiaTheme="minorHAnsi" w:cs="Arial"/>
          <w:szCs w:val="24"/>
        </w:rPr>
        <w:t xml:space="preserve"> příslušní</w:t>
      </w:r>
      <w:r>
        <w:rPr>
          <w:rFonts w:eastAsiaTheme="minorHAnsi" w:cs="Arial"/>
          <w:szCs w:val="24"/>
        </w:rPr>
        <w:t>k</w:t>
      </w:r>
      <w:r w:rsidRPr="009836B4">
        <w:rPr>
          <w:rFonts w:eastAsiaTheme="minorHAnsi" w:cs="Arial"/>
          <w:szCs w:val="24"/>
        </w:rPr>
        <w:t xml:space="preserve"> GIBS odevzdán ke kázeňskému projednání. </w:t>
      </w:r>
      <w:r>
        <w:rPr>
          <w:rFonts w:cs="Arial"/>
          <w:szCs w:val="24"/>
        </w:rPr>
        <w:t>V roce 2018</w:t>
      </w:r>
      <w:r w:rsidRPr="009836B4">
        <w:rPr>
          <w:rFonts w:cs="Arial"/>
          <w:szCs w:val="24"/>
        </w:rPr>
        <w:t xml:space="preserve"> nebyl trestně stíhán </w:t>
      </w:r>
      <w:r w:rsidRPr="00E039FB">
        <w:rPr>
          <w:rFonts w:cs="Arial"/>
          <w:szCs w:val="24"/>
        </w:rPr>
        <w:t>žádný</w:t>
      </w:r>
      <w:r>
        <w:rPr>
          <w:rFonts w:cs="Arial"/>
          <w:szCs w:val="24"/>
        </w:rPr>
        <w:t xml:space="preserve"> </w:t>
      </w:r>
      <w:r w:rsidRPr="00E039FB">
        <w:rPr>
          <w:rFonts w:cs="Arial"/>
          <w:szCs w:val="24"/>
        </w:rPr>
        <w:t>příslušník</w:t>
      </w:r>
      <w:r>
        <w:rPr>
          <w:rFonts w:cs="Arial"/>
          <w:szCs w:val="24"/>
        </w:rPr>
        <w:t xml:space="preserve"> </w:t>
      </w:r>
      <w:r w:rsidRPr="00E039FB">
        <w:rPr>
          <w:rFonts w:cs="Arial"/>
          <w:szCs w:val="24"/>
        </w:rPr>
        <w:t xml:space="preserve">ani zaměstnanec </w:t>
      </w:r>
      <w:r>
        <w:rPr>
          <w:rFonts w:cs="Arial"/>
          <w:szCs w:val="24"/>
        </w:rPr>
        <w:t>GIBS.</w:t>
      </w:r>
      <w:r w:rsidRPr="002E07BA">
        <w:rPr>
          <w:rFonts w:cs="Arial"/>
          <w:szCs w:val="24"/>
        </w:rPr>
        <w:t>V</w:t>
      </w:r>
      <w:r>
        <w:rPr>
          <w:rFonts w:cs="Arial"/>
          <w:szCs w:val="24"/>
        </w:rPr>
        <w:t> </w:t>
      </w:r>
      <w:r w:rsidRPr="002E07BA">
        <w:rPr>
          <w:rFonts w:cs="Arial"/>
          <w:szCs w:val="24"/>
        </w:rPr>
        <w:t>tabulce</w:t>
      </w:r>
      <w:r>
        <w:rPr>
          <w:rFonts w:cs="Arial"/>
          <w:szCs w:val="24"/>
        </w:rPr>
        <w:t xml:space="preserve"> č. 2</w:t>
      </w:r>
      <w:r w:rsidRPr="002E07BA">
        <w:rPr>
          <w:rFonts w:cs="Arial"/>
          <w:szCs w:val="24"/>
        </w:rPr>
        <w:t xml:space="preserve"> jsou znázorněny výstupy činnosti OVK za rok 201</w:t>
      </w:r>
      <w:r>
        <w:rPr>
          <w:rFonts w:cs="Arial"/>
          <w:szCs w:val="24"/>
        </w:rPr>
        <w:t>8</w:t>
      </w:r>
      <w:r w:rsidRPr="002E07BA">
        <w:rPr>
          <w:rFonts w:cs="Arial"/>
          <w:szCs w:val="24"/>
        </w:rPr>
        <w:t xml:space="preserve"> ve srovnání s rokem 201</w:t>
      </w:r>
      <w:r>
        <w:rPr>
          <w:rFonts w:cs="Arial"/>
          <w:szCs w:val="24"/>
        </w:rPr>
        <w:t>7</w:t>
      </w:r>
      <w:r w:rsidRPr="002E07BA">
        <w:rPr>
          <w:rFonts w:cs="Arial"/>
          <w:szCs w:val="24"/>
        </w:rPr>
        <w:t>.</w:t>
      </w:r>
    </w:p>
    <w:p w14:paraId="32DF075D" w14:textId="77777777" w:rsidR="00BD57B7" w:rsidRDefault="00BD57B7" w:rsidP="00BD57B7">
      <w:pPr>
        <w:spacing w:after="251" w:line="300" w:lineRule="exact"/>
        <w:jc w:val="both"/>
        <w:rPr>
          <w:rFonts w:cs="Arial"/>
          <w:b/>
          <w:i/>
          <w:color w:val="000000"/>
          <w:szCs w:val="24"/>
        </w:rPr>
      </w:pPr>
      <w:r>
        <w:rPr>
          <w:rFonts w:cs="Arial"/>
          <w:i/>
          <w:color w:val="000000"/>
          <w:szCs w:val="24"/>
        </w:rPr>
        <w:t xml:space="preserve">Tabulka č. 5 - </w:t>
      </w:r>
      <w:r>
        <w:rPr>
          <w:rFonts w:cs="Arial"/>
          <w:b/>
          <w:i/>
          <w:color w:val="000000"/>
          <w:szCs w:val="24"/>
        </w:rPr>
        <w:t>Výstupy č</w:t>
      </w:r>
      <w:r w:rsidRPr="007B376B">
        <w:rPr>
          <w:rFonts w:cs="Arial"/>
          <w:b/>
          <w:i/>
          <w:color w:val="000000"/>
          <w:szCs w:val="24"/>
        </w:rPr>
        <w:t>innost</w:t>
      </w:r>
      <w:r>
        <w:rPr>
          <w:rFonts w:cs="Arial"/>
          <w:b/>
          <w:i/>
          <w:color w:val="000000"/>
          <w:szCs w:val="24"/>
        </w:rPr>
        <w:t>i</w:t>
      </w:r>
      <w:r w:rsidRPr="007B376B">
        <w:rPr>
          <w:rFonts w:cs="Arial"/>
          <w:b/>
          <w:i/>
          <w:color w:val="000000"/>
          <w:szCs w:val="24"/>
        </w:rPr>
        <w:t xml:space="preserve"> oddělení vnitřní kontroly </w:t>
      </w:r>
      <w:r>
        <w:rPr>
          <w:rFonts w:cs="Arial"/>
          <w:b/>
          <w:i/>
          <w:color w:val="000000"/>
          <w:szCs w:val="24"/>
        </w:rPr>
        <w:t>GIBS</w:t>
      </w:r>
    </w:p>
    <w:tbl>
      <w:tblPr>
        <w:tblW w:w="9209" w:type="dxa"/>
        <w:jc w:val="center"/>
        <w:tblCellMar>
          <w:left w:w="0" w:type="dxa"/>
          <w:right w:w="0" w:type="dxa"/>
        </w:tblCellMar>
        <w:tblLook w:val="04A0" w:firstRow="1" w:lastRow="0" w:firstColumn="1" w:lastColumn="0" w:noHBand="0" w:noVBand="1"/>
      </w:tblPr>
      <w:tblGrid>
        <w:gridCol w:w="1608"/>
        <w:gridCol w:w="4624"/>
        <w:gridCol w:w="1134"/>
        <w:gridCol w:w="1117"/>
        <w:gridCol w:w="726"/>
      </w:tblGrid>
      <w:tr w:rsidR="00BD57B7" w:rsidRPr="009C61E4" w14:paraId="22AE1696" w14:textId="77777777" w:rsidTr="00457DC6">
        <w:trPr>
          <w:trHeight w:val="268"/>
          <w:jc w:val="center"/>
        </w:trPr>
        <w:tc>
          <w:tcPr>
            <w:tcW w:w="6232" w:type="dxa"/>
            <w:gridSpan w:val="2"/>
            <w:tcBorders>
              <w:top w:val="single" w:sz="8" w:space="0" w:color="auto"/>
              <w:left w:val="single" w:sz="8" w:space="0" w:color="auto"/>
              <w:bottom w:val="double" w:sz="4" w:space="0" w:color="auto"/>
              <w:right w:val="single" w:sz="8" w:space="0" w:color="000000"/>
            </w:tcBorders>
            <w:noWrap/>
            <w:tcMar>
              <w:top w:w="0" w:type="dxa"/>
              <w:left w:w="70" w:type="dxa"/>
              <w:bottom w:w="0" w:type="dxa"/>
              <w:right w:w="70" w:type="dxa"/>
            </w:tcMar>
            <w:vAlign w:val="center"/>
            <w:hideMark/>
          </w:tcPr>
          <w:p w14:paraId="312A547A" w14:textId="77777777" w:rsidR="00BD57B7" w:rsidRPr="009C61E4" w:rsidRDefault="00BD57B7" w:rsidP="00457DC6">
            <w:pPr>
              <w:spacing w:after="0" w:line="300" w:lineRule="exact"/>
              <w:jc w:val="center"/>
              <w:rPr>
                <w:rFonts w:cs="Arial"/>
                <w:b/>
                <w:bCs/>
                <w:color w:val="000000"/>
                <w:sz w:val="20"/>
              </w:rPr>
            </w:pPr>
            <w:r w:rsidRPr="009C61E4">
              <w:rPr>
                <w:rFonts w:cs="Arial"/>
                <w:b/>
                <w:bCs/>
                <w:color w:val="000000"/>
                <w:sz w:val="20"/>
              </w:rPr>
              <w:t>Typ činnosti oddělení vnitřní kontroly GIBS</w:t>
            </w:r>
          </w:p>
        </w:tc>
        <w:tc>
          <w:tcPr>
            <w:tcW w:w="1134" w:type="dxa"/>
            <w:tcBorders>
              <w:top w:val="single" w:sz="8" w:space="0" w:color="auto"/>
              <w:left w:val="nil"/>
              <w:bottom w:val="double" w:sz="4" w:space="0" w:color="auto"/>
              <w:right w:val="single" w:sz="8" w:space="0" w:color="auto"/>
            </w:tcBorders>
            <w:noWrap/>
            <w:tcMar>
              <w:top w:w="0" w:type="dxa"/>
              <w:left w:w="70" w:type="dxa"/>
              <w:bottom w:w="0" w:type="dxa"/>
              <w:right w:w="70" w:type="dxa"/>
            </w:tcMar>
            <w:vAlign w:val="center"/>
            <w:hideMark/>
          </w:tcPr>
          <w:p w14:paraId="3FF7900E" w14:textId="77777777" w:rsidR="00BD57B7" w:rsidRPr="009C61E4" w:rsidRDefault="00BD57B7" w:rsidP="00457DC6">
            <w:pPr>
              <w:spacing w:after="0" w:line="300" w:lineRule="exact"/>
              <w:jc w:val="center"/>
              <w:rPr>
                <w:rFonts w:cs="Arial"/>
                <w:b/>
                <w:bCs/>
                <w:color w:val="000000"/>
                <w:sz w:val="20"/>
              </w:rPr>
            </w:pPr>
            <w:r>
              <w:rPr>
                <w:rFonts w:cs="Arial"/>
                <w:b/>
                <w:bCs/>
                <w:color w:val="000000"/>
                <w:sz w:val="20"/>
              </w:rPr>
              <w:t>2018</w:t>
            </w:r>
          </w:p>
        </w:tc>
        <w:tc>
          <w:tcPr>
            <w:tcW w:w="1117" w:type="dxa"/>
            <w:tcBorders>
              <w:top w:val="single" w:sz="8" w:space="0" w:color="auto"/>
              <w:left w:val="nil"/>
              <w:bottom w:val="double" w:sz="4" w:space="0" w:color="auto"/>
              <w:right w:val="single" w:sz="8" w:space="0" w:color="auto"/>
            </w:tcBorders>
            <w:tcMar>
              <w:top w:w="0" w:type="dxa"/>
              <w:left w:w="70" w:type="dxa"/>
              <w:bottom w:w="0" w:type="dxa"/>
              <w:right w:w="70" w:type="dxa"/>
            </w:tcMar>
            <w:vAlign w:val="center"/>
          </w:tcPr>
          <w:p w14:paraId="175E4AB8" w14:textId="77777777" w:rsidR="00BD57B7" w:rsidRPr="009C61E4" w:rsidRDefault="00BD57B7" w:rsidP="00457DC6">
            <w:pPr>
              <w:spacing w:after="0" w:line="300" w:lineRule="exact"/>
              <w:jc w:val="center"/>
              <w:rPr>
                <w:rFonts w:cs="Arial"/>
                <w:b/>
                <w:bCs/>
                <w:color w:val="000000"/>
                <w:sz w:val="20"/>
              </w:rPr>
            </w:pPr>
            <w:r>
              <w:rPr>
                <w:rFonts w:cs="Arial"/>
                <w:b/>
                <w:bCs/>
                <w:color w:val="000000"/>
                <w:sz w:val="20"/>
              </w:rPr>
              <w:t>2017</w:t>
            </w:r>
          </w:p>
        </w:tc>
        <w:tc>
          <w:tcPr>
            <w:tcW w:w="726" w:type="dxa"/>
            <w:tcBorders>
              <w:top w:val="single" w:sz="8" w:space="0" w:color="auto"/>
              <w:left w:val="nil"/>
              <w:bottom w:val="double" w:sz="4" w:space="0" w:color="auto"/>
              <w:right w:val="single" w:sz="8" w:space="0" w:color="auto"/>
            </w:tcBorders>
            <w:tcMar>
              <w:top w:w="0" w:type="dxa"/>
              <w:left w:w="70" w:type="dxa"/>
              <w:bottom w:w="0" w:type="dxa"/>
              <w:right w:w="70" w:type="dxa"/>
            </w:tcMar>
          </w:tcPr>
          <w:p w14:paraId="17654253" w14:textId="77777777" w:rsidR="00BD57B7" w:rsidRPr="009C61E4" w:rsidRDefault="00BD57B7" w:rsidP="00457DC6">
            <w:pPr>
              <w:spacing w:after="0" w:line="300" w:lineRule="exact"/>
              <w:jc w:val="center"/>
              <w:rPr>
                <w:rFonts w:cs="Arial"/>
                <w:b/>
                <w:bCs/>
                <w:color w:val="000000"/>
                <w:sz w:val="20"/>
              </w:rPr>
            </w:pPr>
          </w:p>
        </w:tc>
      </w:tr>
      <w:tr w:rsidR="00BD57B7" w:rsidRPr="009C61E4" w14:paraId="05ED2E74" w14:textId="77777777" w:rsidTr="00457DC6">
        <w:trPr>
          <w:trHeight w:val="176"/>
          <w:jc w:val="center"/>
        </w:trPr>
        <w:tc>
          <w:tcPr>
            <w:tcW w:w="1608" w:type="dxa"/>
            <w:vMerge w:val="restart"/>
            <w:tcBorders>
              <w:top w:val="doub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A54752" w14:textId="77777777" w:rsidR="00BD57B7" w:rsidRPr="009C61E4" w:rsidRDefault="00BD57B7" w:rsidP="00457DC6">
            <w:pPr>
              <w:spacing w:after="0" w:line="300" w:lineRule="exact"/>
              <w:rPr>
                <w:rFonts w:cs="Arial"/>
                <w:bCs/>
                <w:color w:val="000000"/>
                <w:sz w:val="20"/>
              </w:rPr>
            </w:pPr>
            <w:r w:rsidRPr="009C61E4">
              <w:rPr>
                <w:rFonts w:cs="Arial"/>
                <w:bCs/>
                <w:color w:val="000000"/>
                <w:sz w:val="20"/>
              </w:rPr>
              <w:t>podněty fyzických a právnických osob</w:t>
            </w:r>
          </w:p>
        </w:tc>
        <w:tc>
          <w:tcPr>
            <w:tcW w:w="4624" w:type="dxa"/>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14:paraId="5EADCB8F" w14:textId="49F2B3E3" w:rsidR="00BD57B7" w:rsidRPr="009C61E4" w:rsidRDefault="00BD57B7" w:rsidP="00457DC6">
            <w:pPr>
              <w:spacing w:after="0" w:line="300" w:lineRule="exact"/>
              <w:rPr>
                <w:rFonts w:cs="Arial"/>
                <w:color w:val="000000"/>
                <w:sz w:val="20"/>
              </w:rPr>
            </w:pPr>
            <w:r w:rsidRPr="009C61E4">
              <w:rPr>
                <w:rFonts w:cs="Arial"/>
                <w:color w:val="000000"/>
                <w:sz w:val="20"/>
              </w:rPr>
              <w:t>Celkem</w:t>
            </w:r>
          </w:p>
        </w:tc>
        <w:tc>
          <w:tcPr>
            <w:tcW w:w="1134" w:type="dxa"/>
            <w:tcBorders>
              <w:top w:val="double" w:sz="4" w:space="0" w:color="auto"/>
              <w:left w:val="nil"/>
              <w:bottom w:val="single" w:sz="8" w:space="0" w:color="auto"/>
              <w:right w:val="single" w:sz="8" w:space="0" w:color="auto"/>
            </w:tcBorders>
            <w:noWrap/>
            <w:tcMar>
              <w:top w:w="0" w:type="dxa"/>
              <w:left w:w="70" w:type="dxa"/>
              <w:bottom w:w="0" w:type="dxa"/>
              <w:right w:w="70" w:type="dxa"/>
            </w:tcMar>
          </w:tcPr>
          <w:p w14:paraId="4C6724AF" w14:textId="77777777" w:rsidR="00BD57B7" w:rsidRPr="009C61E4" w:rsidRDefault="00BD57B7" w:rsidP="00457DC6">
            <w:pPr>
              <w:spacing w:after="0" w:line="300" w:lineRule="exact"/>
              <w:jc w:val="center"/>
              <w:rPr>
                <w:rFonts w:cs="Arial"/>
                <w:color w:val="000000"/>
                <w:sz w:val="20"/>
              </w:rPr>
            </w:pPr>
            <w:r>
              <w:rPr>
                <w:rFonts w:cs="Arial"/>
                <w:color w:val="000000"/>
                <w:sz w:val="20"/>
              </w:rPr>
              <w:t>52</w:t>
            </w:r>
          </w:p>
        </w:tc>
        <w:tc>
          <w:tcPr>
            <w:tcW w:w="1117" w:type="dxa"/>
            <w:tcBorders>
              <w:top w:val="double" w:sz="4" w:space="0" w:color="auto"/>
              <w:left w:val="nil"/>
              <w:bottom w:val="single" w:sz="8" w:space="0" w:color="auto"/>
              <w:right w:val="single" w:sz="8" w:space="0" w:color="auto"/>
            </w:tcBorders>
            <w:tcMar>
              <w:top w:w="0" w:type="dxa"/>
              <w:left w:w="70" w:type="dxa"/>
              <w:bottom w:w="0" w:type="dxa"/>
              <w:right w:w="70" w:type="dxa"/>
            </w:tcMar>
          </w:tcPr>
          <w:p w14:paraId="2BF73175" w14:textId="77777777" w:rsidR="00BD57B7" w:rsidRPr="009C61E4" w:rsidRDefault="00BD57B7" w:rsidP="00457DC6">
            <w:pPr>
              <w:spacing w:after="0" w:line="300" w:lineRule="exact"/>
              <w:jc w:val="center"/>
              <w:rPr>
                <w:rFonts w:cs="Arial"/>
                <w:color w:val="000000"/>
                <w:sz w:val="20"/>
              </w:rPr>
            </w:pPr>
            <w:r>
              <w:rPr>
                <w:rFonts w:cs="Arial"/>
                <w:color w:val="000000"/>
                <w:sz w:val="20"/>
              </w:rPr>
              <w:t>27</w:t>
            </w:r>
          </w:p>
        </w:tc>
        <w:tc>
          <w:tcPr>
            <w:tcW w:w="726" w:type="dxa"/>
            <w:tcBorders>
              <w:top w:val="double" w:sz="4" w:space="0" w:color="auto"/>
              <w:left w:val="nil"/>
              <w:bottom w:val="single" w:sz="8" w:space="0" w:color="auto"/>
              <w:right w:val="single" w:sz="8" w:space="0" w:color="auto"/>
            </w:tcBorders>
            <w:tcMar>
              <w:top w:w="0" w:type="dxa"/>
              <w:left w:w="70" w:type="dxa"/>
              <w:bottom w:w="0" w:type="dxa"/>
              <w:right w:w="70" w:type="dxa"/>
            </w:tcMar>
          </w:tcPr>
          <w:p w14:paraId="45310DDA" w14:textId="77777777" w:rsidR="00BD57B7" w:rsidRPr="009C61E4" w:rsidRDefault="00BD57B7" w:rsidP="00457DC6">
            <w:pPr>
              <w:spacing w:after="0" w:line="300" w:lineRule="exact"/>
              <w:jc w:val="center"/>
              <w:rPr>
                <w:rFonts w:cs="Arial"/>
                <w:sz w:val="20"/>
              </w:rPr>
            </w:pPr>
          </w:p>
        </w:tc>
      </w:tr>
      <w:tr w:rsidR="00BD57B7" w:rsidRPr="009C61E4" w14:paraId="6DAA7E5E" w14:textId="77777777" w:rsidTr="00457DC6">
        <w:trPr>
          <w:trHeight w:val="283"/>
          <w:jc w:val="center"/>
        </w:trPr>
        <w:tc>
          <w:tcPr>
            <w:tcW w:w="0" w:type="auto"/>
            <w:vMerge/>
            <w:tcBorders>
              <w:top w:val="nil"/>
              <w:left w:val="single" w:sz="8" w:space="0" w:color="auto"/>
              <w:bottom w:val="single" w:sz="8" w:space="0" w:color="auto"/>
              <w:right w:val="single" w:sz="8" w:space="0" w:color="auto"/>
            </w:tcBorders>
            <w:vAlign w:val="center"/>
            <w:hideMark/>
          </w:tcPr>
          <w:p w14:paraId="771BCBD7" w14:textId="77777777" w:rsidR="00BD57B7" w:rsidRPr="009C61E4" w:rsidRDefault="00BD57B7" w:rsidP="00457DC6">
            <w:pPr>
              <w:spacing w:after="0" w:line="300" w:lineRule="exact"/>
              <w:rPr>
                <w:rFonts w:eastAsiaTheme="minorHAnsi" w:cs="Arial"/>
                <w:b/>
                <w:bCs/>
                <w:color w:val="000000"/>
                <w:sz w:val="20"/>
                <w:lang w:eastAsia="en-US"/>
              </w:rPr>
            </w:pPr>
          </w:p>
        </w:tc>
        <w:tc>
          <w:tcPr>
            <w:tcW w:w="46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67DDB0" w14:textId="77777777" w:rsidR="00BD57B7" w:rsidRPr="009C61E4" w:rsidRDefault="00BD57B7" w:rsidP="00457DC6">
            <w:pPr>
              <w:spacing w:after="0" w:line="300" w:lineRule="exact"/>
              <w:rPr>
                <w:rFonts w:cs="Arial"/>
                <w:color w:val="000000"/>
                <w:sz w:val="20"/>
              </w:rPr>
            </w:pPr>
            <w:r w:rsidRPr="009C61E4">
              <w:rPr>
                <w:rFonts w:cs="Arial"/>
                <w:color w:val="000000"/>
                <w:sz w:val="20"/>
              </w:rPr>
              <w:t>stížnost na chování a jednání</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tcPr>
          <w:p w14:paraId="2BB04FAD" w14:textId="77777777" w:rsidR="00BD57B7" w:rsidRPr="009C61E4" w:rsidRDefault="00BD57B7" w:rsidP="00457DC6">
            <w:pPr>
              <w:spacing w:after="0" w:line="300" w:lineRule="exact"/>
              <w:jc w:val="center"/>
              <w:rPr>
                <w:rFonts w:cs="Arial"/>
                <w:color w:val="000000"/>
                <w:sz w:val="20"/>
              </w:rPr>
            </w:pPr>
            <w:r>
              <w:rPr>
                <w:rFonts w:cs="Arial"/>
                <w:color w:val="000000"/>
                <w:sz w:val="20"/>
              </w:rPr>
              <w:t>14</w:t>
            </w:r>
          </w:p>
        </w:tc>
        <w:tc>
          <w:tcPr>
            <w:tcW w:w="1117" w:type="dxa"/>
            <w:tcBorders>
              <w:top w:val="nil"/>
              <w:left w:val="nil"/>
              <w:bottom w:val="single" w:sz="8" w:space="0" w:color="auto"/>
              <w:right w:val="single" w:sz="8" w:space="0" w:color="auto"/>
            </w:tcBorders>
            <w:tcMar>
              <w:top w:w="0" w:type="dxa"/>
              <w:left w:w="70" w:type="dxa"/>
              <w:bottom w:w="0" w:type="dxa"/>
              <w:right w:w="70" w:type="dxa"/>
            </w:tcMar>
          </w:tcPr>
          <w:p w14:paraId="25ED762B" w14:textId="77777777" w:rsidR="00BD57B7" w:rsidRPr="009C61E4" w:rsidRDefault="00BD57B7" w:rsidP="00457DC6">
            <w:pPr>
              <w:spacing w:after="0" w:line="300" w:lineRule="exact"/>
              <w:jc w:val="center"/>
              <w:rPr>
                <w:rFonts w:cs="Arial"/>
                <w:color w:val="000000"/>
                <w:sz w:val="20"/>
              </w:rPr>
            </w:pPr>
            <w:r>
              <w:rPr>
                <w:rFonts w:cs="Arial"/>
                <w:color w:val="000000"/>
                <w:sz w:val="20"/>
              </w:rPr>
              <w:t>6</w:t>
            </w: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21DB1B13" w14:textId="77777777" w:rsidR="00BD57B7" w:rsidRPr="009C61E4" w:rsidRDefault="00BD57B7" w:rsidP="00457DC6">
            <w:pPr>
              <w:spacing w:after="0" w:line="300" w:lineRule="exact"/>
              <w:jc w:val="center"/>
              <w:rPr>
                <w:rFonts w:cs="Arial"/>
                <w:sz w:val="20"/>
              </w:rPr>
            </w:pPr>
          </w:p>
        </w:tc>
      </w:tr>
      <w:tr w:rsidR="00BD57B7" w:rsidRPr="009C61E4" w14:paraId="1E98042B" w14:textId="77777777" w:rsidTr="00457DC6">
        <w:trPr>
          <w:trHeight w:val="283"/>
          <w:jc w:val="center"/>
        </w:trPr>
        <w:tc>
          <w:tcPr>
            <w:tcW w:w="0" w:type="auto"/>
            <w:vMerge/>
            <w:tcBorders>
              <w:top w:val="nil"/>
              <w:left w:val="single" w:sz="8" w:space="0" w:color="auto"/>
              <w:bottom w:val="single" w:sz="8" w:space="0" w:color="auto"/>
              <w:right w:val="single" w:sz="8" w:space="0" w:color="auto"/>
            </w:tcBorders>
            <w:vAlign w:val="center"/>
            <w:hideMark/>
          </w:tcPr>
          <w:p w14:paraId="40BECD84" w14:textId="77777777" w:rsidR="00BD57B7" w:rsidRPr="009C61E4" w:rsidRDefault="00BD57B7" w:rsidP="00457DC6">
            <w:pPr>
              <w:spacing w:after="0" w:line="300" w:lineRule="exact"/>
              <w:rPr>
                <w:rFonts w:eastAsiaTheme="minorHAnsi" w:cs="Arial"/>
                <w:b/>
                <w:bCs/>
                <w:color w:val="000000"/>
                <w:sz w:val="20"/>
                <w:lang w:eastAsia="en-US"/>
              </w:rPr>
            </w:pPr>
          </w:p>
        </w:tc>
        <w:tc>
          <w:tcPr>
            <w:tcW w:w="46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DF140C" w14:textId="77777777" w:rsidR="00BD57B7" w:rsidRPr="009C61E4" w:rsidRDefault="00BD57B7" w:rsidP="00457DC6">
            <w:pPr>
              <w:spacing w:after="0" w:line="300" w:lineRule="exact"/>
              <w:rPr>
                <w:rFonts w:cs="Arial"/>
                <w:color w:val="000000"/>
                <w:sz w:val="20"/>
              </w:rPr>
            </w:pPr>
            <w:r w:rsidRPr="009C61E4">
              <w:rPr>
                <w:rFonts w:cs="Arial"/>
                <w:color w:val="000000"/>
                <w:sz w:val="20"/>
              </w:rPr>
              <w:t>stížnost na úřední postup</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tcPr>
          <w:p w14:paraId="7310FB0E" w14:textId="77777777" w:rsidR="00BD57B7" w:rsidRPr="009C61E4" w:rsidRDefault="00BD57B7" w:rsidP="00457DC6">
            <w:pPr>
              <w:spacing w:after="0" w:line="300" w:lineRule="exact"/>
              <w:jc w:val="center"/>
              <w:rPr>
                <w:rFonts w:cs="Arial"/>
                <w:color w:val="000000"/>
                <w:sz w:val="20"/>
              </w:rPr>
            </w:pPr>
            <w:r>
              <w:rPr>
                <w:rFonts w:cs="Arial"/>
                <w:color w:val="000000"/>
                <w:sz w:val="20"/>
              </w:rPr>
              <w:t>38</w:t>
            </w:r>
          </w:p>
        </w:tc>
        <w:tc>
          <w:tcPr>
            <w:tcW w:w="1117" w:type="dxa"/>
            <w:tcBorders>
              <w:top w:val="nil"/>
              <w:left w:val="nil"/>
              <w:bottom w:val="single" w:sz="8" w:space="0" w:color="auto"/>
              <w:right w:val="single" w:sz="8" w:space="0" w:color="auto"/>
            </w:tcBorders>
            <w:tcMar>
              <w:top w:w="0" w:type="dxa"/>
              <w:left w:w="70" w:type="dxa"/>
              <w:bottom w:w="0" w:type="dxa"/>
              <w:right w:w="70" w:type="dxa"/>
            </w:tcMar>
          </w:tcPr>
          <w:p w14:paraId="6D7C3B19" w14:textId="77777777" w:rsidR="00BD57B7" w:rsidRPr="009C61E4" w:rsidRDefault="00BD57B7" w:rsidP="00457DC6">
            <w:pPr>
              <w:spacing w:after="0" w:line="300" w:lineRule="exact"/>
              <w:jc w:val="center"/>
              <w:rPr>
                <w:rFonts w:cs="Arial"/>
                <w:color w:val="000000"/>
                <w:sz w:val="20"/>
              </w:rPr>
            </w:pPr>
            <w:r>
              <w:rPr>
                <w:rFonts w:cs="Arial"/>
                <w:color w:val="000000"/>
                <w:sz w:val="20"/>
              </w:rPr>
              <w:t>21</w:t>
            </w: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51F42764" w14:textId="77777777" w:rsidR="00BD57B7" w:rsidRPr="009C61E4" w:rsidRDefault="00BD57B7" w:rsidP="00457DC6">
            <w:pPr>
              <w:spacing w:after="0" w:line="300" w:lineRule="exact"/>
              <w:jc w:val="center"/>
              <w:rPr>
                <w:rFonts w:cs="Arial"/>
                <w:sz w:val="20"/>
              </w:rPr>
            </w:pPr>
          </w:p>
        </w:tc>
      </w:tr>
      <w:tr w:rsidR="00BD57B7" w:rsidRPr="009C61E4" w14:paraId="44331BA0" w14:textId="77777777" w:rsidTr="00457DC6">
        <w:trPr>
          <w:trHeight w:val="283"/>
          <w:jc w:val="center"/>
        </w:trPr>
        <w:tc>
          <w:tcPr>
            <w:tcW w:w="0" w:type="auto"/>
            <w:vMerge/>
            <w:tcBorders>
              <w:top w:val="nil"/>
              <w:left w:val="single" w:sz="8" w:space="0" w:color="auto"/>
              <w:bottom w:val="single" w:sz="8" w:space="0" w:color="auto"/>
              <w:right w:val="single" w:sz="8" w:space="0" w:color="auto"/>
            </w:tcBorders>
            <w:vAlign w:val="center"/>
            <w:hideMark/>
          </w:tcPr>
          <w:p w14:paraId="48E49B1F" w14:textId="77777777" w:rsidR="00BD57B7" w:rsidRPr="009C61E4" w:rsidRDefault="00BD57B7" w:rsidP="00457DC6">
            <w:pPr>
              <w:spacing w:after="0" w:line="300" w:lineRule="exact"/>
              <w:rPr>
                <w:rFonts w:eastAsiaTheme="minorHAnsi" w:cs="Arial"/>
                <w:b/>
                <w:bCs/>
                <w:color w:val="000000"/>
                <w:sz w:val="20"/>
                <w:lang w:eastAsia="en-US"/>
              </w:rPr>
            </w:pPr>
          </w:p>
        </w:tc>
        <w:tc>
          <w:tcPr>
            <w:tcW w:w="46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1FC244" w14:textId="77777777" w:rsidR="00BD57B7" w:rsidRPr="009C61E4" w:rsidRDefault="00BD57B7" w:rsidP="00457DC6">
            <w:pPr>
              <w:spacing w:after="0" w:line="300" w:lineRule="exact"/>
              <w:rPr>
                <w:rFonts w:cs="Arial"/>
                <w:color w:val="000000"/>
                <w:sz w:val="20"/>
              </w:rPr>
            </w:pPr>
            <w:r w:rsidRPr="009C61E4">
              <w:rPr>
                <w:rFonts w:cs="Arial"/>
                <w:color w:val="000000"/>
                <w:sz w:val="20"/>
              </w:rPr>
              <w:t>důvodné a částečně důvodné</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tcPr>
          <w:p w14:paraId="2E6C618D" w14:textId="77777777" w:rsidR="00BD57B7" w:rsidRPr="009C61E4" w:rsidRDefault="00BD57B7" w:rsidP="00457DC6">
            <w:pPr>
              <w:spacing w:after="0" w:line="300" w:lineRule="exact"/>
              <w:jc w:val="center"/>
              <w:rPr>
                <w:rFonts w:cs="Arial"/>
                <w:color w:val="000000"/>
                <w:sz w:val="20"/>
              </w:rPr>
            </w:pPr>
            <w:r>
              <w:rPr>
                <w:rFonts w:cs="Arial"/>
                <w:color w:val="000000"/>
                <w:sz w:val="20"/>
              </w:rPr>
              <w:t>10</w:t>
            </w:r>
          </w:p>
        </w:tc>
        <w:tc>
          <w:tcPr>
            <w:tcW w:w="1117" w:type="dxa"/>
            <w:tcBorders>
              <w:top w:val="nil"/>
              <w:left w:val="nil"/>
              <w:bottom w:val="single" w:sz="8" w:space="0" w:color="auto"/>
              <w:right w:val="single" w:sz="8" w:space="0" w:color="auto"/>
            </w:tcBorders>
            <w:tcMar>
              <w:top w:w="0" w:type="dxa"/>
              <w:left w:w="70" w:type="dxa"/>
              <w:bottom w:w="0" w:type="dxa"/>
              <w:right w:w="70" w:type="dxa"/>
            </w:tcMar>
          </w:tcPr>
          <w:p w14:paraId="0EE73691" w14:textId="77777777" w:rsidR="00BD57B7" w:rsidRPr="009C61E4" w:rsidRDefault="00BD57B7" w:rsidP="00457DC6">
            <w:pPr>
              <w:spacing w:after="0" w:line="300" w:lineRule="exact"/>
              <w:jc w:val="center"/>
              <w:rPr>
                <w:rFonts w:cs="Arial"/>
                <w:color w:val="000000"/>
                <w:sz w:val="20"/>
              </w:rPr>
            </w:pPr>
            <w:r>
              <w:rPr>
                <w:rFonts w:cs="Arial"/>
                <w:color w:val="000000"/>
                <w:sz w:val="20"/>
              </w:rPr>
              <w:t>7</w:t>
            </w: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57251212" w14:textId="77777777" w:rsidR="00BD57B7" w:rsidRPr="009C61E4" w:rsidRDefault="00BD57B7" w:rsidP="00457DC6">
            <w:pPr>
              <w:spacing w:after="0" w:line="300" w:lineRule="exact"/>
              <w:rPr>
                <w:rFonts w:cs="Arial"/>
                <w:sz w:val="20"/>
              </w:rPr>
            </w:pPr>
          </w:p>
        </w:tc>
      </w:tr>
      <w:tr w:rsidR="00BD57B7" w:rsidRPr="009C61E4" w14:paraId="6E62A279" w14:textId="77777777" w:rsidTr="00457DC6">
        <w:trPr>
          <w:trHeight w:val="283"/>
          <w:jc w:val="center"/>
        </w:trPr>
        <w:tc>
          <w:tcPr>
            <w:tcW w:w="0" w:type="auto"/>
            <w:vMerge/>
            <w:tcBorders>
              <w:top w:val="nil"/>
              <w:left w:val="single" w:sz="8" w:space="0" w:color="auto"/>
              <w:bottom w:val="single" w:sz="8" w:space="0" w:color="auto"/>
              <w:right w:val="single" w:sz="8" w:space="0" w:color="auto"/>
            </w:tcBorders>
            <w:vAlign w:val="center"/>
            <w:hideMark/>
          </w:tcPr>
          <w:p w14:paraId="77B78FDB" w14:textId="77777777" w:rsidR="00BD57B7" w:rsidRPr="009C61E4" w:rsidRDefault="00BD57B7" w:rsidP="00457DC6">
            <w:pPr>
              <w:spacing w:after="0" w:line="300" w:lineRule="exact"/>
              <w:rPr>
                <w:rFonts w:eastAsiaTheme="minorHAnsi" w:cs="Arial"/>
                <w:b/>
                <w:bCs/>
                <w:color w:val="000000"/>
                <w:sz w:val="20"/>
                <w:lang w:eastAsia="en-US"/>
              </w:rPr>
            </w:pPr>
          </w:p>
        </w:tc>
        <w:tc>
          <w:tcPr>
            <w:tcW w:w="46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16B061" w14:textId="4B67C4AE" w:rsidR="00BD57B7" w:rsidRPr="009C61E4" w:rsidRDefault="00BD57B7" w:rsidP="00457DC6">
            <w:pPr>
              <w:spacing w:after="0" w:line="300" w:lineRule="exact"/>
              <w:rPr>
                <w:rFonts w:cs="Arial"/>
                <w:color w:val="000000"/>
                <w:sz w:val="20"/>
              </w:rPr>
            </w:pPr>
            <w:r w:rsidRPr="009C61E4">
              <w:rPr>
                <w:rFonts w:cs="Arial"/>
                <w:color w:val="000000"/>
                <w:sz w:val="20"/>
              </w:rPr>
              <w:t>Nedůvodné</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tcPr>
          <w:p w14:paraId="797961C3" w14:textId="77777777" w:rsidR="00BD57B7" w:rsidRPr="009C61E4" w:rsidRDefault="00BD57B7" w:rsidP="00457DC6">
            <w:pPr>
              <w:spacing w:after="0" w:line="300" w:lineRule="exact"/>
              <w:jc w:val="center"/>
              <w:rPr>
                <w:rFonts w:cs="Arial"/>
                <w:color w:val="000000"/>
                <w:sz w:val="20"/>
              </w:rPr>
            </w:pPr>
            <w:r>
              <w:rPr>
                <w:rFonts w:cs="Arial"/>
                <w:color w:val="000000"/>
                <w:sz w:val="20"/>
              </w:rPr>
              <w:t>42</w:t>
            </w:r>
          </w:p>
        </w:tc>
        <w:tc>
          <w:tcPr>
            <w:tcW w:w="1117" w:type="dxa"/>
            <w:tcBorders>
              <w:top w:val="nil"/>
              <w:left w:val="nil"/>
              <w:bottom w:val="single" w:sz="8" w:space="0" w:color="auto"/>
              <w:right w:val="single" w:sz="8" w:space="0" w:color="auto"/>
            </w:tcBorders>
            <w:tcMar>
              <w:top w:w="0" w:type="dxa"/>
              <w:left w:w="70" w:type="dxa"/>
              <w:bottom w:w="0" w:type="dxa"/>
              <w:right w:w="70" w:type="dxa"/>
            </w:tcMar>
          </w:tcPr>
          <w:p w14:paraId="40A85E97" w14:textId="77777777" w:rsidR="00BD57B7" w:rsidRPr="009C61E4" w:rsidRDefault="00BD57B7" w:rsidP="00457DC6">
            <w:pPr>
              <w:spacing w:after="0" w:line="300" w:lineRule="exact"/>
              <w:jc w:val="center"/>
              <w:rPr>
                <w:rFonts w:cs="Arial"/>
                <w:color w:val="000000"/>
                <w:sz w:val="20"/>
              </w:rPr>
            </w:pPr>
            <w:r>
              <w:rPr>
                <w:rFonts w:cs="Arial"/>
                <w:color w:val="000000"/>
                <w:sz w:val="20"/>
              </w:rPr>
              <w:t>20</w:t>
            </w: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16419E4D" w14:textId="77777777" w:rsidR="00BD57B7" w:rsidRPr="009C61E4" w:rsidRDefault="00BD57B7" w:rsidP="00457DC6">
            <w:pPr>
              <w:spacing w:after="0" w:line="300" w:lineRule="exact"/>
              <w:jc w:val="center"/>
              <w:rPr>
                <w:rFonts w:cs="Arial"/>
                <w:sz w:val="20"/>
              </w:rPr>
            </w:pPr>
          </w:p>
        </w:tc>
      </w:tr>
      <w:tr w:rsidR="00BD57B7" w:rsidRPr="009C61E4" w14:paraId="6D9763C8" w14:textId="77777777" w:rsidTr="00457DC6">
        <w:trPr>
          <w:trHeight w:val="283"/>
          <w:jc w:val="center"/>
        </w:trPr>
        <w:tc>
          <w:tcPr>
            <w:tcW w:w="1608"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FFE621" w14:textId="77777777" w:rsidR="00BD57B7" w:rsidRPr="009C61E4" w:rsidRDefault="00BD57B7" w:rsidP="00457DC6">
            <w:pPr>
              <w:spacing w:after="0" w:line="300" w:lineRule="exact"/>
              <w:rPr>
                <w:rFonts w:cs="Arial"/>
                <w:bCs/>
                <w:color w:val="000000"/>
                <w:sz w:val="20"/>
              </w:rPr>
            </w:pPr>
            <w:r w:rsidRPr="009C61E4">
              <w:rPr>
                <w:rFonts w:cs="Arial"/>
                <w:bCs/>
                <w:color w:val="000000"/>
                <w:sz w:val="20"/>
              </w:rPr>
              <w:t>vlastní kontrolní průzkumy</w:t>
            </w:r>
          </w:p>
        </w:tc>
        <w:tc>
          <w:tcPr>
            <w:tcW w:w="46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2C68A9" w14:textId="3B9DE9E9" w:rsidR="00BD57B7" w:rsidRPr="009C61E4" w:rsidRDefault="00BD57B7" w:rsidP="00457DC6">
            <w:pPr>
              <w:spacing w:after="0" w:line="300" w:lineRule="exact"/>
              <w:rPr>
                <w:rFonts w:cs="Arial"/>
                <w:color w:val="000000"/>
                <w:sz w:val="20"/>
              </w:rPr>
            </w:pPr>
            <w:r w:rsidRPr="009C61E4">
              <w:rPr>
                <w:rFonts w:cs="Arial"/>
                <w:color w:val="000000"/>
                <w:sz w:val="20"/>
              </w:rPr>
              <w:t>Celkem</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tcPr>
          <w:p w14:paraId="7EB81214" w14:textId="77777777" w:rsidR="00BD57B7" w:rsidRPr="009C61E4" w:rsidRDefault="00BD57B7" w:rsidP="00457DC6">
            <w:pPr>
              <w:spacing w:after="0" w:line="300" w:lineRule="exact"/>
              <w:jc w:val="center"/>
              <w:rPr>
                <w:rFonts w:cs="Arial"/>
                <w:color w:val="000000"/>
                <w:sz w:val="20"/>
              </w:rPr>
            </w:pPr>
            <w:r>
              <w:rPr>
                <w:rFonts w:cs="Arial"/>
                <w:color w:val="000000"/>
                <w:sz w:val="20"/>
              </w:rPr>
              <w:t>48</w:t>
            </w:r>
          </w:p>
        </w:tc>
        <w:tc>
          <w:tcPr>
            <w:tcW w:w="1117" w:type="dxa"/>
            <w:tcBorders>
              <w:top w:val="nil"/>
              <w:left w:val="nil"/>
              <w:bottom w:val="single" w:sz="8" w:space="0" w:color="auto"/>
              <w:right w:val="single" w:sz="8" w:space="0" w:color="auto"/>
            </w:tcBorders>
            <w:tcMar>
              <w:top w:w="0" w:type="dxa"/>
              <w:left w:w="70" w:type="dxa"/>
              <w:bottom w:w="0" w:type="dxa"/>
              <w:right w:w="70" w:type="dxa"/>
            </w:tcMar>
          </w:tcPr>
          <w:p w14:paraId="769A7EAD" w14:textId="77777777" w:rsidR="00BD57B7" w:rsidRPr="009C61E4" w:rsidRDefault="00BD57B7" w:rsidP="00457DC6">
            <w:pPr>
              <w:spacing w:after="0" w:line="300" w:lineRule="exact"/>
              <w:jc w:val="center"/>
              <w:rPr>
                <w:rFonts w:cs="Arial"/>
                <w:color w:val="000000"/>
                <w:sz w:val="20"/>
              </w:rPr>
            </w:pPr>
            <w:r w:rsidRPr="009C61E4">
              <w:rPr>
                <w:rFonts w:cs="Arial"/>
                <w:color w:val="000000"/>
                <w:sz w:val="20"/>
              </w:rPr>
              <w:t>6</w:t>
            </w:r>
            <w:r>
              <w:rPr>
                <w:rFonts w:cs="Arial"/>
                <w:color w:val="000000"/>
                <w:sz w:val="20"/>
              </w:rPr>
              <w:t>3</w:t>
            </w: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1FFAA4F7" w14:textId="77777777" w:rsidR="00BD57B7" w:rsidRPr="009C61E4" w:rsidRDefault="00BD57B7" w:rsidP="00457DC6">
            <w:pPr>
              <w:spacing w:after="0" w:line="300" w:lineRule="exact"/>
              <w:jc w:val="center"/>
              <w:rPr>
                <w:rFonts w:cs="Arial"/>
                <w:sz w:val="20"/>
              </w:rPr>
            </w:pPr>
          </w:p>
        </w:tc>
      </w:tr>
      <w:tr w:rsidR="00BD57B7" w:rsidRPr="009C61E4" w14:paraId="5B1551D2" w14:textId="77777777" w:rsidTr="00457DC6">
        <w:trPr>
          <w:trHeight w:val="283"/>
          <w:jc w:val="center"/>
        </w:trPr>
        <w:tc>
          <w:tcPr>
            <w:tcW w:w="0" w:type="auto"/>
            <w:vMerge/>
            <w:tcBorders>
              <w:top w:val="nil"/>
              <w:left w:val="single" w:sz="8" w:space="0" w:color="auto"/>
              <w:bottom w:val="single" w:sz="8" w:space="0" w:color="auto"/>
              <w:right w:val="single" w:sz="8" w:space="0" w:color="auto"/>
            </w:tcBorders>
            <w:vAlign w:val="center"/>
            <w:hideMark/>
          </w:tcPr>
          <w:p w14:paraId="63DBD781" w14:textId="77777777" w:rsidR="00BD57B7" w:rsidRPr="009C61E4" w:rsidRDefault="00BD57B7" w:rsidP="00457DC6">
            <w:pPr>
              <w:spacing w:after="0" w:line="300" w:lineRule="exact"/>
              <w:rPr>
                <w:rFonts w:eastAsiaTheme="minorHAnsi" w:cs="Arial"/>
                <w:bCs/>
                <w:color w:val="000000"/>
                <w:sz w:val="20"/>
                <w:lang w:eastAsia="en-US"/>
              </w:rPr>
            </w:pPr>
          </w:p>
        </w:tc>
        <w:tc>
          <w:tcPr>
            <w:tcW w:w="46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E766C7" w14:textId="77777777" w:rsidR="00BD57B7" w:rsidRPr="009C61E4" w:rsidRDefault="00BD57B7" w:rsidP="00457DC6">
            <w:pPr>
              <w:spacing w:after="0" w:line="300" w:lineRule="exact"/>
              <w:rPr>
                <w:rFonts w:cs="Arial"/>
                <w:color w:val="000000"/>
                <w:sz w:val="20"/>
              </w:rPr>
            </w:pPr>
            <w:r w:rsidRPr="009C61E4">
              <w:rPr>
                <w:rFonts w:cs="Arial"/>
                <w:color w:val="000000"/>
                <w:sz w:val="20"/>
              </w:rPr>
              <w:t>se zjištěním poznatku o protiprávním jednání</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tcPr>
          <w:p w14:paraId="5F5E9DE2" w14:textId="77777777" w:rsidR="00BD57B7" w:rsidRPr="009C61E4" w:rsidRDefault="00BD57B7" w:rsidP="00457DC6">
            <w:pPr>
              <w:spacing w:after="0" w:line="300" w:lineRule="exact"/>
              <w:jc w:val="center"/>
              <w:rPr>
                <w:rFonts w:cs="Arial"/>
                <w:color w:val="000000"/>
                <w:sz w:val="20"/>
              </w:rPr>
            </w:pPr>
            <w:r>
              <w:rPr>
                <w:rFonts w:cs="Arial"/>
                <w:color w:val="000000"/>
                <w:sz w:val="20"/>
              </w:rPr>
              <w:t>5</w:t>
            </w:r>
          </w:p>
        </w:tc>
        <w:tc>
          <w:tcPr>
            <w:tcW w:w="1117" w:type="dxa"/>
            <w:tcBorders>
              <w:top w:val="nil"/>
              <w:left w:val="nil"/>
              <w:bottom w:val="single" w:sz="8" w:space="0" w:color="auto"/>
              <w:right w:val="single" w:sz="8" w:space="0" w:color="auto"/>
            </w:tcBorders>
            <w:tcMar>
              <w:top w:w="0" w:type="dxa"/>
              <w:left w:w="70" w:type="dxa"/>
              <w:bottom w:w="0" w:type="dxa"/>
              <w:right w:w="70" w:type="dxa"/>
            </w:tcMar>
          </w:tcPr>
          <w:p w14:paraId="4BDBCCC7" w14:textId="77777777" w:rsidR="00BD57B7" w:rsidRPr="009C61E4" w:rsidRDefault="00BD57B7" w:rsidP="00457DC6">
            <w:pPr>
              <w:spacing w:after="0" w:line="300" w:lineRule="exact"/>
              <w:jc w:val="center"/>
              <w:rPr>
                <w:rFonts w:cs="Arial"/>
                <w:color w:val="000000"/>
                <w:sz w:val="20"/>
              </w:rPr>
            </w:pPr>
            <w:r w:rsidRPr="009C61E4">
              <w:rPr>
                <w:rFonts w:cs="Arial"/>
                <w:color w:val="000000"/>
                <w:sz w:val="20"/>
              </w:rPr>
              <w:t>5</w:t>
            </w: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4A4BDACA" w14:textId="77777777" w:rsidR="00BD57B7" w:rsidRPr="009C61E4" w:rsidRDefault="00BD57B7" w:rsidP="00457DC6">
            <w:pPr>
              <w:spacing w:after="0" w:line="300" w:lineRule="exact"/>
              <w:jc w:val="center"/>
              <w:rPr>
                <w:rFonts w:cs="Arial"/>
                <w:sz w:val="20"/>
              </w:rPr>
            </w:pPr>
          </w:p>
        </w:tc>
      </w:tr>
      <w:tr w:rsidR="00BD57B7" w:rsidRPr="009C61E4" w14:paraId="5A2C27EB" w14:textId="77777777" w:rsidTr="00457DC6">
        <w:trPr>
          <w:trHeight w:val="283"/>
          <w:jc w:val="center"/>
        </w:trPr>
        <w:tc>
          <w:tcPr>
            <w:tcW w:w="0" w:type="auto"/>
            <w:vMerge/>
            <w:tcBorders>
              <w:top w:val="nil"/>
              <w:left w:val="single" w:sz="8" w:space="0" w:color="auto"/>
              <w:bottom w:val="single" w:sz="8" w:space="0" w:color="auto"/>
              <w:right w:val="single" w:sz="8" w:space="0" w:color="auto"/>
            </w:tcBorders>
            <w:vAlign w:val="center"/>
            <w:hideMark/>
          </w:tcPr>
          <w:p w14:paraId="5BF0C858" w14:textId="77777777" w:rsidR="00BD57B7" w:rsidRPr="009C61E4" w:rsidRDefault="00BD57B7" w:rsidP="00457DC6">
            <w:pPr>
              <w:spacing w:after="0" w:line="300" w:lineRule="exact"/>
              <w:rPr>
                <w:rFonts w:eastAsiaTheme="minorHAnsi" w:cs="Arial"/>
                <w:bCs/>
                <w:color w:val="000000"/>
                <w:sz w:val="20"/>
                <w:lang w:eastAsia="en-US"/>
              </w:rPr>
            </w:pPr>
          </w:p>
        </w:tc>
        <w:tc>
          <w:tcPr>
            <w:tcW w:w="46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42B6C1" w14:textId="77777777" w:rsidR="00BD57B7" w:rsidRPr="009C61E4" w:rsidRDefault="00BD57B7" w:rsidP="00457DC6">
            <w:pPr>
              <w:spacing w:after="0" w:line="300" w:lineRule="exact"/>
              <w:rPr>
                <w:rFonts w:cs="Arial"/>
                <w:color w:val="000000"/>
                <w:sz w:val="20"/>
              </w:rPr>
            </w:pPr>
            <w:r w:rsidRPr="009C61E4">
              <w:rPr>
                <w:rFonts w:cs="Arial"/>
                <w:color w:val="000000"/>
                <w:sz w:val="20"/>
              </w:rPr>
              <w:t>bez poznatku</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tcPr>
          <w:p w14:paraId="7D69DB55" w14:textId="77777777" w:rsidR="00BD57B7" w:rsidRPr="009C61E4" w:rsidRDefault="00BD57B7" w:rsidP="00457DC6">
            <w:pPr>
              <w:spacing w:after="0" w:line="300" w:lineRule="exact"/>
              <w:jc w:val="center"/>
              <w:rPr>
                <w:rFonts w:cs="Arial"/>
                <w:color w:val="000000"/>
                <w:sz w:val="20"/>
              </w:rPr>
            </w:pPr>
            <w:r>
              <w:rPr>
                <w:rFonts w:cs="Arial"/>
                <w:color w:val="000000"/>
                <w:sz w:val="20"/>
              </w:rPr>
              <w:t>43</w:t>
            </w:r>
          </w:p>
        </w:tc>
        <w:tc>
          <w:tcPr>
            <w:tcW w:w="1117" w:type="dxa"/>
            <w:tcBorders>
              <w:top w:val="nil"/>
              <w:left w:val="nil"/>
              <w:bottom w:val="single" w:sz="8" w:space="0" w:color="auto"/>
              <w:right w:val="single" w:sz="8" w:space="0" w:color="auto"/>
            </w:tcBorders>
            <w:tcMar>
              <w:top w:w="0" w:type="dxa"/>
              <w:left w:w="70" w:type="dxa"/>
              <w:bottom w:w="0" w:type="dxa"/>
              <w:right w:w="70" w:type="dxa"/>
            </w:tcMar>
          </w:tcPr>
          <w:p w14:paraId="6110482F" w14:textId="77777777" w:rsidR="00BD57B7" w:rsidRPr="009C61E4" w:rsidRDefault="00BD57B7" w:rsidP="00457DC6">
            <w:pPr>
              <w:spacing w:after="0" w:line="300" w:lineRule="exact"/>
              <w:jc w:val="center"/>
              <w:rPr>
                <w:rFonts w:cs="Arial"/>
                <w:color w:val="000000"/>
                <w:sz w:val="20"/>
              </w:rPr>
            </w:pPr>
            <w:r>
              <w:rPr>
                <w:rFonts w:cs="Arial"/>
                <w:color w:val="000000"/>
                <w:sz w:val="20"/>
              </w:rPr>
              <w:t>58</w:t>
            </w: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48AE1A1A" w14:textId="77777777" w:rsidR="00BD57B7" w:rsidRPr="009C61E4" w:rsidRDefault="00BD57B7" w:rsidP="00457DC6">
            <w:pPr>
              <w:spacing w:after="0" w:line="300" w:lineRule="exact"/>
              <w:jc w:val="center"/>
              <w:rPr>
                <w:rFonts w:cs="Arial"/>
                <w:sz w:val="20"/>
              </w:rPr>
            </w:pPr>
          </w:p>
        </w:tc>
      </w:tr>
      <w:tr w:rsidR="00BD57B7" w:rsidRPr="009C61E4" w14:paraId="0FFA5525" w14:textId="77777777" w:rsidTr="00457DC6">
        <w:trPr>
          <w:trHeight w:val="317"/>
          <w:jc w:val="center"/>
        </w:trPr>
        <w:tc>
          <w:tcPr>
            <w:tcW w:w="1608"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043F5B" w14:textId="77777777" w:rsidR="00BD57B7" w:rsidRPr="009C61E4" w:rsidRDefault="00BD57B7" w:rsidP="00457DC6">
            <w:pPr>
              <w:spacing w:after="0" w:line="300" w:lineRule="exact"/>
              <w:rPr>
                <w:rFonts w:cs="Arial"/>
                <w:bCs/>
                <w:color w:val="000000"/>
                <w:sz w:val="20"/>
              </w:rPr>
            </w:pPr>
            <w:r w:rsidRPr="009C61E4">
              <w:rPr>
                <w:rFonts w:cs="Arial"/>
                <w:bCs/>
                <w:color w:val="000000"/>
                <w:sz w:val="20"/>
              </w:rPr>
              <w:t>trestní řízení</w:t>
            </w:r>
          </w:p>
        </w:tc>
        <w:tc>
          <w:tcPr>
            <w:tcW w:w="46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FF6FDC" w14:textId="3CCB3BDC" w:rsidR="00BD57B7" w:rsidRPr="009C61E4" w:rsidRDefault="00BD57B7" w:rsidP="00457DC6">
            <w:pPr>
              <w:spacing w:after="0" w:line="300" w:lineRule="exact"/>
              <w:rPr>
                <w:rFonts w:cs="Arial"/>
                <w:color w:val="000000"/>
                <w:sz w:val="20"/>
              </w:rPr>
            </w:pPr>
            <w:r w:rsidRPr="009C61E4">
              <w:rPr>
                <w:rFonts w:cs="Arial"/>
                <w:color w:val="000000"/>
                <w:sz w:val="20"/>
              </w:rPr>
              <w:t>prověřováno podezření z</w:t>
            </w:r>
            <w:r>
              <w:rPr>
                <w:rFonts w:cs="Arial"/>
                <w:color w:val="000000"/>
                <w:sz w:val="20"/>
              </w:rPr>
              <w:t> </w:t>
            </w:r>
            <w:r w:rsidRPr="009C61E4">
              <w:rPr>
                <w:rFonts w:cs="Arial"/>
                <w:color w:val="000000"/>
                <w:sz w:val="20"/>
              </w:rPr>
              <w:t>TČ</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tcPr>
          <w:p w14:paraId="0E7310AF" w14:textId="77777777" w:rsidR="00BD57B7" w:rsidRPr="009C61E4" w:rsidRDefault="00BD57B7" w:rsidP="00457DC6">
            <w:pPr>
              <w:spacing w:after="0" w:line="300" w:lineRule="exact"/>
              <w:jc w:val="center"/>
              <w:rPr>
                <w:rFonts w:cs="Arial"/>
                <w:color w:val="000000"/>
                <w:sz w:val="20"/>
              </w:rPr>
            </w:pPr>
            <w:r>
              <w:rPr>
                <w:rFonts w:cs="Arial"/>
                <w:color w:val="000000"/>
                <w:sz w:val="20"/>
              </w:rPr>
              <w:t>9</w:t>
            </w:r>
          </w:p>
        </w:tc>
        <w:tc>
          <w:tcPr>
            <w:tcW w:w="1117" w:type="dxa"/>
            <w:tcBorders>
              <w:top w:val="nil"/>
              <w:left w:val="nil"/>
              <w:bottom w:val="single" w:sz="8" w:space="0" w:color="auto"/>
              <w:right w:val="single" w:sz="8" w:space="0" w:color="auto"/>
            </w:tcBorders>
            <w:tcMar>
              <w:top w:w="0" w:type="dxa"/>
              <w:left w:w="70" w:type="dxa"/>
              <w:bottom w:w="0" w:type="dxa"/>
              <w:right w:w="70" w:type="dxa"/>
            </w:tcMar>
          </w:tcPr>
          <w:p w14:paraId="6F53C12B" w14:textId="77777777" w:rsidR="00BD57B7" w:rsidRPr="009C61E4" w:rsidRDefault="00BD57B7" w:rsidP="00457DC6">
            <w:pPr>
              <w:spacing w:after="0" w:line="300" w:lineRule="exact"/>
              <w:jc w:val="center"/>
              <w:rPr>
                <w:rFonts w:cs="Arial"/>
                <w:color w:val="000000"/>
                <w:sz w:val="20"/>
              </w:rPr>
            </w:pPr>
            <w:r>
              <w:rPr>
                <w:rFonts w:cs="Arial"/>
                <w:color w:val="000000"/>
                <w:sz w:val="20"/>
              </w:rPr>
              <w:t>9</w:t>
            </w: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7B268647" w14:textId="77777777" w:rsidR="00BD57B7" w:rsidRPr="009C61E4" w:rsidRDefault="00BD57B7" w:rsidP="00457DC6">
            <w:pPr>
              <w:spacing w:after="0" w:line="300" w:lineRule="exact"/>
              <w:jc w:val="center"/>
              <w:rPr>
                <w:rFonts w:cs="Arial"/>
                <w:sz w:val="20"/>
              </w:rPr>
            </w:pPr>
          </w:p>
        </w:tc>
      </w:tr>
      <w:tr w:rsidR="00BD57B7" w:rsidRPr="009C61E4" w14:paraId="53736D6E" w14:textId="77777777" w:rsidTr="00457DC6">
        <w:trPr>
          <w:trHeight w:val="283"/>
          <w:jc w:val="center"/>
        </w:trPr>
        <w:tc>
          <w:tcPr>
            <w:tcW w:w="0" w:type="auto"/>
            <w:vMerge/>
            <w:tcBorders>
              <w:top w:val="nil"/>
              <w:left w:val="single" w:sz="8" w:space="0" w:color="auto"/>
              <w:bottom w:val="single" w:sz="8" w:space="0" w:color="auto"/>
              <w:right w:val="single" w:sz="8" w:space="0" w:color="auto"/>
            </w:tcBorders>
            <w:vAlign w:val="center"/>
            <w:hideMark/>
          </w:tcPr>
          <w:p w14:paraId="11A12FF4" w14:textId="77777777" w:rsidR="00BD57B7" w:rsidRPr="009C61E4" w:rsidRDefault="00BD57B7" w:rsidP="00457DC6">
            <w:pPr>
              <w:spacing w:after="0" w:line="300" w:lineRule="exact"/>
              <w:rPr>
                <w:rFonts w:eastAsiaTheme="minorHAnsi" w:cs="Arial"/>
                <w:b/>
                <w:bCs/>
                <w:color w:val="000000"/>
                <w:sz w:val="20"/>
                <w:lang w:eastAsia="en-US"/>
              </w:rPr>
            </w:pPr>
          </w:p>
        </w:tc>
        <w:tc>
          <w:tcPr>
            <w:tcW w:w="46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B9705D" w14:textId="77777777" w:rsidR="00BD57B7" w:rsidRPr="009C61E4" w:rsidRDefault="00BD57B7" w:rsidP="00457DC6">
            <w:pPr>
              <w:spacing w:after="0" w:line="300" w:lineRule="exact"/>
              <w:rPr>
                <w:rFonts w:cs="Arial"/>
                <w:color w:val="000000"/>
                <w:sz w:val="20"/>
              </w:rPr>
            </w:pPr>
            <w:r w:rsidRPr="009C61E4">
              <w:rPr>
                <w:rFonts w:cs="Arial"/>
                <w:color w:val="000000"/>
                <w:sz w:val="20"/>
              </w:rPr>
              <w:t>zahájeny úkony trestního řízení</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tcPr>
          <w:p w14:paraId="38189FFD" w14:textId="77777777" w:rsidR="00BD57B7" w:rsidRPr="009C61E4" w:rsidRDefault="00BD57B7" w:rsidP="00457DC6">
            <w:pPr>
              <w:spacing w:after="0" w:line="300" w:lineRule="exact"/>
              <w:jc w:val="center"/>
              <w:rPr>
                <w:rFonts w:cs="Arial"/>
                <w:color w:val="000000"/>
                <w:sz w:val="20"/>
              </w:rPr>
            </w:pPr>
            <w:r>
              <w:rPr>
                <w:rFonts w:cs="Arial"/>
                <w:color w:val="000000"/>
                <w:sz w:val="20"/>
              </w:rPr>
              <w:t>2</w:t>
            </w:r>
          </w:p>
        </w:tc>
        <w:tc>
          <w:tcPr>
            <w:tcW w:w="1117" w:type="dxa"/>
            <w:tcBorders>
              <w:top w:val="nil"/>
              <w:left w:val="nil"/>
              <w:bottom w:val="single" w:sz="8" w:space="0" w:color="auto"/>
              <w:right w:val="single" w:sz="8" w:space="0" w:color="auto"/>
            </w:tcBorders>
            <w:tcMar>
              <w:top w:w="0" w:type="dxa"/>
              <w:left w:w="70" w:type="dxa"/>
              <w:bottom w:w="0" w:type="dxa"/>
              <w:right w:w="70" w:type="dxa"/>
            </w:tcMar>
          </w:tcPr>
          <w:p w14:paraId="23BE7EA9" w14:textId="77777777" w:rsidR="00BD57B7" w:rsidRPr="009C61E4" w:rsidRDefault="00BD57B7" w:rsidP="00457DC6">
            <w:pPr>
              <w:spacing w:after="0" w:line="300" w:lineRule="exact"/>
              <w:jc w:val="center"/>
              <w:rPr>
                <w:rFonts w:cs="Arial"/>
                <w:color w:val="000000"/>
                <w:sz w:val="20"/>
              </w:rPr>
            </w:pPr>
            <w:r>
              <w:rPr>
                <w:rFonts w:cs="Arial"/>
                <w:color w:val="000000"/>
                <w:sz w:val="20"/>
              </w:rPr>
              <w:t>5</w:t>
            </w: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5E0DD363" w14:textId="77777777" w:rsidR="00BD57B7" w:rsidRPr="009C61E4" w:rsidRDefault="00BD57B7" w:rsidP="00457DC6">
            <w:pPr>
              <w:spacing w:after="0" w:line="300" w:lineRule="exact"/>
              <w:jc w:val="center"/>
              <w:rPr>
                <w:rFonts w:cs="Arial"/>
                <w:sz w:val="20"/>
              </w:rPr>
            </w:pPr>
          </w:p>
        </w:tc>
      </w:tr>
      <w:tr w:rsidR="00BD57B7" w:rsidRPr="009C61E4" w14:paraId="7C1E9101" w14:textId="77777777" w:rsidTr="00457DC6">
        <w:trPr>
          <w:trHeight w:val="283"/>
          <w:jc w:val="center"/>
        </w:trPr>
        <w:tc>
          <w:tcPr>
            <w:tcW w:w="0" w:type="auto"/>
            <w:vMerge/>
            <w:tcBorders>
              <w:top w:val="nil"/>
              <w:left w:val="single" w:sz="8" w:space="0" w:color="auto"/>
              <w:bottom w:val="single" w:sz="8" w:space="0" w:color="auto"/>
              <w:right w:val="single" w:sz="8" w:space="0" w:color="auto"/>
            </w:tcBorders>
            <w:vAlign w:val="center"/>
          </w:tcPr>
          <w:p w14:paraId="0E3A0774" w14:textId="77777777" w:rsidR="00BD57B7" w:rsidRPr="009C61E4" w:rsidRDefault="00BD57B7" w:rsidP="00457DC6">
            <w:pPr>
              <w:spacing w:after="0" w:line="300" w:lineRule="exact"/>
              <w:rPr>
                <w:rFonts w:eastAsiaTheme="minorHAnsi" w:cs="Arial"/>
                <w:b/>
                <w:bCs/>
                <w:color w:val="000000"/>
                <w:sz w:val="20"/>
                <w:lang w:eastAsia="en-US"/>
              </w:rPr>
            </w:pPr>
          </w:p>
        </w:tc>
        <w:tc>
          <w:tcPr>
            <w:tcW w:w="4624" w:type="dxa"/>
            <w:tcBorders>
              <w:top w:val="nil"/>
              <w:left w:val="nil"/>
              <w:bottom w:val="single" w:sz="8" w:space="0" w:color="auto"/>
              <w:right w:val="single" w:sz="8" w:space="0" w:color="auto"/>
            </w:tcBorders>
            <w:tcMar>
              <w:top w:w="0" w:type="dxa"/>
              <w:left w:w="70" w:type="dxa"/>
              <w:bottom w:w="0" w:type="dxa"/>
              <w:right w:w="70" w:type="dxa"/>
            </w:tcMar>
            <w:vAlign w:val="center"/>
          </w:tcPr>
          <w:p w14:paraId="633CB598" w14:textId="77777777" w:rsidR="00BD57B7" w:rsidRPr="009C61E4" w:rsidRDefault="00BD57B7" w:rsidP="00457DC6">
            <w:pPr>
              <w:spacing w:after="0" w:line="300" w:lineRule="exact"/>
              <w:rPr>
                <w:rFonts w:cs="Arial"/>
                <w:color w:val="000000"/>
                <w:sz w:val="20"/>
              </w:rPr>
            </w:pPr>
            <w:r>
              <w:rPr>
                <w:rFonts w:cs="Arial"/>
                <w:color w:val="000000"/>
                <w:sz w:val="20"/>
              </w:rPr>
              <w:t>návrh na zahájení trestního stíhání</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tcPr>
          <w:p w14:paraId="2B0F7ADC" w14:textId="77777777" w:rsidR="00BD57B7" w:rsidRDefault="00BD57B7" w:rsidP="00457DC6">
            <w:pPr>
              <w:spacing w:after="0" w:line="300" w:lineRule="exact"/>
              <w:jc w:val="center"/>
              <w:rPr>
                <w:rFonts w:cs="Arial"/>
                <w:color w:val="000000"/>
                <w:sz w:val="20"/>
              </w:rPr>
            </w:pPr>
            <w:r>
              <w:rPr>
                <w:rFonts w:cs="Arial"/>
                <w:color w:val="000000"/>
                <w:sz w:val="20"/>
              </w:rPr>
              <w:t>1</w:t>
            </w:r>
          </w:p>
        </w:tc>
        <w:tc>
          <w:tcPr>
            <w:tcW w:w="1117" w:type="dxa"/>
            <w:tcBorders>
              <w:top w:val="nil"/>
              <w:left w:val="nil"/>
              <w:bottom w:val="single" w:sz="8" w:space="0" w:color="auto"/>
              <w:right w:val="single" w:sz="8" w:space="0" w:color="auto"/>
            </w:tcBorders>
            <w:tcMar>
              <w:top w:w="0" w:type="dxa"/>
              <w:left w:w="70" w:type="dxa"/>
              <w:bottom w:w="0" w:type="dxa"/>
              <w:right w:w="70" w:type="dxa"/>
            </w:tcMar>
          </w:tcPr>
          <w:p w14:paraId="0BE92051" w14:textId="77777777" w:rsidR="00BD57B7" w:rsidRDefault="00BD57B7" w:rsidP="00457DC6">
            <w:pPr>
              <w:spacing w:after="0" w:line="300" w:lineRule="exact"/>
              <w:jc w:val="center"/>
              <w:rPr>
                <w:rFonts w:cs="Arial"/>
                <w:color w:val="000000"/>
                <w:sz w:val="20"/>
              </w:rPr>
            </w:pPr>
            <w:r>
              <w:rPr>
                <w:rFonts w:cs="Arial"/>
                <w:color w:val="000000"/>
                <w:sz w:val="20"/>
              </w:rPr>
              <w:t>0</w:t>
            </w: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09898777" w14:textId="77777777" w:rsidR="00BD57B7" w:rsidRPr="009C61E4" w:rsidRDefault="00BD57B7" w:rsidP="00457DC6">
            <w:pPr>
              <w:spacing w:after="0" w:line="300" w:lineRule="exact"/>
              <w:jc w:val="center"/>
              <w:rPr>
                <w:rFonts w:cs="Arial"/>
                <w:sz w:val="20"/>
              </w:rPr>
            </w:pPr>
          </w:p>
        </w:tc>
      </w:tr>
      <w:tr w:rsidR="00BD57B7" w:rsidRPr="009C61E4" w14:paraId="5A322E19" w14:textId="77777777" w:rsidTr="00457DC6">
        <w:trPr>
          <w:trHeight w:val="301"/>
          <w:jc w:val="center"/>
        </w:trPr>
        <w:tc>
          <w:tcPr>
            <w:tcW w:w="0" w:type="auto"/>
            <w:vMerge/>
            <w:tcBorders>
              <w:top w:val="nil"/>
              <w:left w:val="single" w:sz="8" w:space="0" w:color="auto"/>
              <w:bottom w:val="single" w:sz="8" w:space="0" w:color="auto"/>
              <w:right w:val="single" w:sz="8" w:space="0" w:color="auto"/>
            </w:tcBorders>
            <w:vAlign w:val="center"/>
            <w:hideMark/>
          </w:tcPr>
          <w:p w14:paraId="3BADDD15" w14:textId="77777777" w:rsidR="00BD57B7" w:rsidRPr="009C61E4" w:rsidRDefault="00BD57B7" w:rsidP="00457DC6">
            <w:pPr>
              <w:spacing w:after="0" w:line="300" w:lineRule="exact"/>
              <w:rPr>
                <w:rFonts w:eastAsiaTheme="minorHAnsi" w:cs="Arial"/>
                <w:b/>
                <w:bCs/>
                <w:color w:val="000000"/>
                <w:sz w:val="20"/>
                <w:lang w:eastAsia="en-US"/>
              </w:rPr>
            </w:pPr>
          </w:p>
        </w:tc>
        <w:tc>
          <w:tcPr>
            <w:tcW w:w="46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074313" w14:textId="77777777" w:rsidR="00BD57B7" w:rsidRPr="009C61E4" w:rsidRDefault="00BD57B7" w:rsidP="00457DC6">
            <w:pPr>
              <w:spacing w:after="0" w:line="300" w:lineRule="exact"/>
              <w:rPr>
                <w:rFonts w:cs="Arial"/>
                <w:sz w:val="20"/>
              </w:rPr>
            </w:pPr>
            <w:r w:rsidRPr="009C61E4">
              <w:rPr>
                <w:rFonts w:cs="Arial"/>
                <w:sz w:val="20"/>
              </w:rPr>
              <w:t>odevzdání ke kázeňskému projednání</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tcPr>
          <w:p w14:paraId="69A4FE93" w14:textId="77777777" w:rsidR="00BD57B7" w:rsidRPr="009C61E4" w:rsidRDefault="00BD57B7" w:rsidP="00457DC6">
            <w:pPr>
              <w:spacing w:after="0" w:line="300" w:lineRule="exact"/>
              <w:jc w:val="center"/>
              <w:rPr>
                <w:rFonts w:cs="Arial"/>
                <w:sz w:val="20"/>
              </w:rPr>
            </w:pPr>
            <w:r>
              <w:rPr>
                <w:rFonts w:cs="Arial"/>
                <w:sz w:val="20"/>
              </w:rPr>
              <w:t>1</w:t>
            </w:r>
          </w:p>
        </w:tc>
        <w:tc>
          <w:tcPr>
            <w:tcW w:w="1117" w:type="dxa"/>
            <w:tcBorders>
              <w:top w:val="nil"/>
              <w:left w:val="nil"/>
              <w:bottom w:val="single" w:sz="8" w:space="0" w:color="auto"/>
              <w:right w:val="single" w:sz="8" w:space="0" w:color="auto"/>
            </w:tcBorders>
            <w:tcMar>
              <w:top w:w="0" w:type="dxa"/>
              <w:left w:w="70" w:type="dxa"/>
              <w:bottom w:w="0" w:type="dxa"/>
              <w:right w:w="70" w:type="dxa"/>
            </w:tcMar>
          </w:tcPr>
          <w:p w14:paraId="79C742F6" w14:textId="77777777" w:rsidR="00BD57B7" w:rsidRPr="009C61E4" w:rsidRDefault="00BD57B7" w:rsidP="00457DC6">
            <w:pPr>
              <w:spacing w:after="0" w:line="300" w:lineRule="exact"/>
              <w:jc w:val="center"/>
              <w:rPr>
                <w:rFonts w:cs="Arial"/>
                <w:sz w:val="20"/>
              </w:rPr>
            </w:pPr>
            <w:r>
              <w:rPr>
                <w:rFonts w:cs="Arial"/>
                <w:sz w:val="20"/>
              </w:rPr>
              <w:t>3</w:t>
            </w: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6C60D758" w14:textId="77777777" w:rsidR="00BD57B7" w:rsidRPr="009C61E4" w:rsidRDefault="00BD57B7" w:rsidP="00457DC6">
            <w:pPr>
              <w:spacing w:after="0" w:line="300" w:lineRule="exact"/>
              <w:jc w:val="center"/>
              <w:rPr>
                <w:rFonts w:cs="Arial"/>
                <w:sz w:val="20"/>
              </w:rPr>
            </w:pPr>
          </w:p>
        </w:tc>
      </w:tr>
    </w:tbl>
    <w:p w14:paraId="59A9E651" w14:textId="77777777" w:rsidR="00BD57B7" w:rsidRDefault="00BD57B7" w:rsidP="008C0D62">
      <w:pPr>
        <w:spacing w:after="251" w:line="300" w:lineRule="exact"/>
        <w:jc w:val="both"/>
        <w:rPr>
          <w:rFonts w:cs="Arial"/>
          <w:b/>
          <w:szCs w:val="24"/>
        </w:rPr>
      </w:pPr>
    </w:p>
    <w:p w14:paraId="29E2662F" w14:textId="722B2D00" w:rsidR="008C0D62" w:rsidRPr="00A966B6" w:rsidRDefault="008C0D62" w:rsidP="008C0D62">
      <w:pPr>
        <w:spacing w:after="251" w:line="300" w:lineRule="exact"/>
        <w:jc w:val="both"/>
        <w:rPr>
          <w:rFonts w:cs="Arial"/>
          <w:b/>
          <w:szCs w:val="24"/>
        </w:rPr>
      </w:pPr>
      <w:r w:rsidRPr="00A966B6">
        <w:rPr>
          <w:rFonts w:cs="Arial"/>
          <w:b/>
          <w:szCs w:val="24"/>
        </w:rPr>
        <w:t>Interní audit</w:t>
      </w:r>
    </w:p>
    <w:p w14:paraId="03247CCB" w14:textId="3AD1A427" w:rsidR="008C0D62" w:rsidRPr="00A966B6" w:rsidRDefault="008C0D62" w:rsidP="00BF784C">
      <w:pPr>
        <w:jc w:val="both"/>
        <w:rPr>
          <w:rFonts w:cs="Arial"/>
          <w:szCs w:val="24"/>
        </w:rPr>
      </w:pPr>
      <w:r w:rsidRPr="00A966B6">
        <w:rPr>
          <w:rFonts w:cs="Arial"/>
          <w:szCs w:val="24"/>
        </w:rPr>
        <w:t xml:space="preserve">Interní audit je v GIBS  zřízen v souladu se zákonem č.320/2001 Sb., o finanční kontrole ve veřejné správě a o změně některých zákonů (dále jen „zákon o finanční kontrole“), ve znění pozdějších předpisů. </w:t>
      </w:r>
    </w:p>
    <w:p w14:paraId="42D2503F" w14:textId="11969A4B" w:rsidR="0027328B" w:rsidRDefault="008C0D62" w:rsidP="008C0D62">
      <w:pPr>
        <w:jc w:val="both"/>
        <w:rPr>
          <w:rFonts w:cs="Arial"/>
          <w:szCs w:val="24"/>
        </w:rPr>
      </w:pPr>
      <w:r w:rsidRPr="00A966B6">
        <w:rPr>
          <w:rFonts w:cs="Arial"/>
          <w:szCs w:val="24"/>
        </w:rPr>
        <w:t>V roce 2018 proběhly v souladu s upraveným plánem činnosti interního auditu celkem 2 audity</w:t>
      </w:r>
      <w:r w:rsidR="00E80FF7">
        <w:rPr>
          <w:rFonts w:cs="Arial"/>
          <w:szCs w:val="24"/>
        </w:rPr>
        <w:t xml:space="preserve"> </w:t>
      </w:r>
      <w:r w:rsidR="0027328B">
        <w:rPr>
          <w:rFonts w:cs="Arial"/>
          <w:szCs w:val="24"/>
        </w:rPr>
        <w:t>se zaměřením</w:t>
      </w:r>
      <w:r w:rsidRPr="00A966B6">
        <w:rPr>
          <w:rFonts w:cs="Arial"/>
          <w:szCs w:val="24"/>
        </w:rPr>
        <w:t xml:space="preserve"> na zadávání veřejných zakázek a na fond kulturních a sociálních potřeb</w:t>
      </w:r>
      <w:r w:rsidR="0027328B">
        <w:rPr>
          <w:rFonts w:cs="Arial"/>
          <w:szCs w:val="24"/>
        </w:rPr>
        <w:t>. Víceméně je auditorem navrhováno dodržování interních aktů řízení, nastavení systému kontrol pro úplnost dokumentace směrem</w:t>
      </w:r>
      <w:r w:rsidR="00BD57B7">
        <w:rPr>
          <w:rFonts w:cs="Arial"/>
          <w:szCs w:val="24"/>
        </w:rPr>
        <w:t xml:space="preserve"> k veřejným zakázkám a</w:t>
      </w:r>
      <w:r w:rsidR="0027328B">
        <w:rPr>
          <w:rFonts w:cs="Arial"/>
          <w:szCs w:val="24"/>
        </w:rPr>
        <w:t xml:space="preserve"> nastavení systému kontrol při stanovení výdajů FKSP.</w:t>
      </w:r>
    </w:p>
    <w:p w14:paraId="66BA6AE1" w14:textId="18A323C4" w:rsidR="00735B6E" w:rsidRDefault="00735B6E" w:rsidP="008C0D62">
      <w:pPr>
        <w:jc w:val="both"/>
        <w:rPr>
          <w:rFonts w:cs="Arial"/>
          <w:szCs w:val="24"/>
        </w:rPr>
      </w:pPr>
      <w:r>
        <w:rPr>
          <w:rFonts w:cs="Arial"/>
          <w:szCs w:val="24"/>
        </w:rPr>
        <w:t>V tomto období bylo zjištěno 5 závad, kdy na základě vydaného doporučení byly veškeré nedostatky řádně odstraněny a to ve stanovených termínech.</w:t>
      </w:r>
    </w:p>
    <w:p w14:paraId="29D4296D" w14:textId="4DC0FFA8" w:rsidR="008C0D62" w:rsidRPr="00A966B6" w:rsidRDefault="008C0D62" w:rsidP="008C0D62">
      <w:pPr>
        <w:jc w:val="both"/>
        <w:rPr>
          <w:rFonts w:cs="Arial"/>
          <w:szCs w:val="24"/>
        </w:rPr>
      </w:pPr>
    </w:p>
    <w:p w14:paraId="4B45FE7C" w14:textId="77777777" w:rsidR="008C0D62" w:rsidRPr="00A966B6" w:rsidRDefault="008C0D62" w:rsidP="008C0D62">
      <w:pPr>
        <w:jc w:val="both"/>
        <w:rPr>
          <w:rFonts w:cs="Arial"/>
          <w:szCs w:val="24"/>
        </w:rPr>
      </w:pPr>
      <w:r w:rsidRPr="00A966B6">
        <w:rPr>
          <w:rFonts w:cs="Arial"/>
          <w:szCs w:val="24"/>
        </w:rPr>
        <w:t>Rizika v roce 2018 byla řízena a sledována prostřednictvím jednotného systému, který je vypracován v rámci GIBS.</w:t>
      </w:r>
    </w:p>
    <w:p w14:paraId="5740BB41" w14:textId="001CB8DC" w:rsidR="008C0D62" w:rsidRPr="00A966B6" w:rsidRDefault="008C0D62" w:rsidP="008C0D62">
      <w:pPr>
        <w:spacing w:after="251" w:line="300" w:lineRule="exact"/>
        <w:jc w:val="both"/>
        <w:rPr>
          <w:rFonts w:cs="Arial"/>
          <w:b/>
          <w:szCs w:val="24"/>
        </w:rPr>
      </w:pPr>
      <w:r w:rsidRPr="00A966B6">
        <w:rPr>
          <w:rFonts w:cs="Arial"/>
          <w:szCs w:val="24"/>
        </w:rPr>
        <w:t>Na rok 2019 jsou plánovány 2 audity se zaměřením na oblast zvláštních finančních prostředků a na ochranu osobních údajů ve smyslu obecného nařízení EU (GDPR). Kromě samotného výkonu auditů činnost interního auditu bude i nadále zaměřena na metodickou a konzultační oblast.</w:t>
      </w:r>
    </w:p>
    <w:p w14:paraId="695C8F24" w14:textId="3A347CA5" w:rsidR="00EE48D7" w:rsidRPr="00A966B6" w:rsidRDefault="001B33EF" w:rsidP="00F73806">
      <w:pPr>
        <w:pStyle w:val="Nadpis1"/>
        <w:spacing w:before="0" w:after="251" w:line="300" w:lineRule="exact"/>
        <w:rPr>
          <w:caps w:val="0"/>
        </w:rPr>
      </w:pPr>
      <w:bookmarkStart w:id="210" w:name="_Toc2085176"/>
      <w:bookmarkStart w:id="211" w:name="_Toc2682558"/>
      <w:r w:rsidRPr="00A966B6">
        <w:rPr>
          <w:caps w:val="0"/>
        </w:rPr>
        <w:lastRenderedPageBreak/>
        <w:t>SPOLUPRÁCE</w:t>
      </w:r>
      <w:bookmarkEnd w:id="210"/>
      <w:bookmarkEnd w:id="211"/>
      <w:r w:rsidRPr="00A966B6">
        <w:rPr>
          <w:caps w:val="0"/>
        </w:rPr>
        <w:t xml:space="preserve"> </w:t>
      </w:r>
    </w:p>
    <w:p w14:paraId="1EEC52D0" w14:textId="19A50DC1" w:rsidR="00BE47D0" w:rsidRPr="00A966B6" w:rsidRDefault="00BE47D0" w:rsidP="00F73806">
      <w:pPr>
        <w:pStyle w:val="Nadpis2"/>
        <w:spacing w:before="0" w:after="251" w:line="300" w:lineRule="exact"/>
      </w:pPr>
      <w:bookmarkStart w:id="212" w:name="_Toc2085177"/>
      <w:bookmarkStart w:id="213" w:name="_Toc2682559"/>
      <w:r w:rsidRPr="00A966B6">
        <w:t>Bezpečnostní sbory</w:t>
      </w:r>
      <w:bookmarkEnd w:id="212"/>
      <w:bookmarkEnd w:id="213"/>
    </w:p>
    <w:p w14:paraId="6E36D362" w14:textId="77777777" w:rsidR="007B099C" w:rsidRPr="00A966B6" w:rsidRDefault="007B099C" w:rsidP="007B099C">
      <w:pPr>
        <w:spacing w:after="251" w:line="300" w:lineRule="exact"/>
        <w:jc w:val="both"/>
        <w:rPr>
          <w:rFonts w:cs="Arial"/>
          <w:szCs w:val="24"/>
        </w:rPr>
      </w:pPr>
      <w:r w:rsidRPr="00A966B6">
        <w:rPr>
          <w:rFonts w:cs="Arial"/>
          <w:szCs w:val="24"/>
        </w:rPr>
        <w:t>V rámci jednání k různým tématům se vedení GIBS pravidelně setkává s vedením BS. Probíhají rovněž koordinační schůzky v případě potřeby řešení nenadálých problémů. Spolupráce je uskutečňována jak s pracovníky vnitřních kontrol těchto sborů, tak s manažery všech úrovní řízení. Spolupracuje se také při získávání příslušníků s kvalifikačními a odbornými předpoklady pro výkon služby u GIBS.</w:t>
      </w:r>
    </w:p>
    <w:p w14:paraId="7FEFEF9D" w14:textId="05FE85AE" w:rsidR="007B099C" w:rsidRPr="00A966B6" w:rsidRDefault="00555F67" w:rsidP="007B099C">
      <w:pPr>
        <w:spacing w:after="251" w:line="300" w:lineRule="exact"/>
        <w:jc w:val="both"/>
        <w:rPr>
          <w:rFonts w:cs="Arial"/>
          <w:szCs w:val="24"/>
        </w:rPr>
      </w:pPr>
      <w:r>
        <w:rPr>
          <w:rFonts w:cs="Arial"/>
          <w:szCs w:val="24"/>
        </w:rPr>
        <w:t xml:space="preserve">Novým vedením GIBS je nastavována spolupráce s BS, kdy v rámci této spolupráce se pracuje na uzavření vzájemných dohod. </w:t>
      </w:r>
      <w:r w:rsidR="007B099C" w:rsidRPr="00A966B6">
        <w:rPr>
          <w:rFonts w:cs="Arial"/>
          <w:szCs w:val="24"/>
        </w:rPr>
        <w:t>Spolupráce s</w:t>
      </w:r>
      <w:r w:rsidR="00BA2239" w:rsidRPr="00A966B6">
        <w:rPr>
          <w:rFonts w:cs="Arial"/>
          <w:szCs w:val="24"/>
        </w:rPr>
        <w:t> </w:t>
      </w:r>
      <w:r w:rsidR="007B099C" w:rsidRPr="00A966B6">
        <w:rPr>
          <w:rFonts w:cs="Arial"/>
          <w:szCs w:val="24"/>
        </w:rPr>
        <w:t>P</w:t>
      </w:r>
      <w:r w:rsidR="00BA2239" w:rsidRPr="00A966B6">
        <w:rPr>
          <w:rFonts w:cs="Arial"/>
          <w:szCs w:val="24"/>
        </w:rPr>
        <w:t xml:space="preserve"> </w:t>
      </w:r>
      <w:r w:rsidR="007B099C" w:rsidRPr="00A966B6">
        <w:rPr>
          <w:rFonts w:cs="Arial"/>
          <w:szCs w:val="24"/>
        </w:rPr>
        <w:t xml:space="preserve">ČR, CS ČR a VS ČR probíhá </w:t>
      </w:r>
      <w:r w:rsidR="00333C37" w:rsidRPr="00A966B6">
        <w:rPr>
          <w:rFonts w:cs="Arial"/>
          <w:szCs w:val="24"/>
        </w:rPr>
        <w:t xml:space="preserve">mimo jiné </w:t>
      </w:r>
      <w:r w:rsidR="007B099C" w:rsidRPr="00A966B6">
        <w:rPr>
          <w:rFonts w:cs="Arial"/>
          <w:szCs w:val="24"/>
        </w:rPr>
        <w:t xml:space="preserve">na vrcholné úrovni v rámci jednání Metodické rady pro </w:t>
      </w:r>
      <w:r w:rsidR="00641A83" w:rsidRPr="00A966B6">
        <w:rPr>
          <w:rFonts w:cs="Arial"/>
          <w:szCs w:val="24"/>
        </w:rPr>
        <w:t>BS</w:t>
      </w:r>
      <w:r w:rsidR="007B099C" w:rsidRPr="00A966B6">
        <w:rPr>
          <w:rFonts w:cs="Arial"/>
          <w:szCs w:val="24"/>
        </w:rPr>
        <w:t xml:space="preserve"> zřízené ředitelem GIBS.</w:t>
      </w:r>
      <w:r w:rsidR="00EF6E44">
        <w:rPr>
          <w:rFonts w:cs="Arial"/>
          <w:szCs w:val="24"/>
        </w:rPr>
        <w:t xml:space="preserve"> Činnosti Metodické rady byla ke konci roku 2018 vyhodnocena a v roce 2019 bude př</w:t>
      </w:r>
      <w:r w:rsidR="004738AC">
        <w:rPr>
          <w:rFonts w:cs="Arial"/>
          <w:szCs w:val="24"/>
        </w:rPr>
        <w:t>edstavena nová koncepce vrcholným funkcionářům</w:t>
      </w:r>
      <w:r w:rsidR="00EF6E44">
        <w:rPr>
          <w:rFonts w:cs="Arial"/>
          <w:szCs w:val="24"/>
        </w:rPr>
        <w:t xml:space="preserve"> BS k diskusi. </w:t>
      </w:r>
    </w:p>
    <w:p w14:paraId="6DCD9F61" w14:textId="4D929548" w:rsidR="00EF3286" w:rsidRDefault="00EF3286" w:rsidP="007B099C">
      <w:pPr>
        <w:spacing w:after="251" w:line="300" w:lineRule="exact"/>
        <w:jc w:val="both"/>
        <w:rPr>
          <w:rFonts w:cs="Arial"/>
          <w:szCs w:val="24"/>
        </w:rPr>
      </w:pPr>
      <w:r>
        <w:rPr>
          <w:rFonts w:cs="Arial"/>
          <w:szCs w:val="24"/>
        </w:rPr>
        <w:t xml:space="preserve">Jsou nastaveny mechanismy spolupráce a předávání informací s  jednotlivými kontrolními pracovišti </w:t>
      </w:r>
      <w:r w:rsidRPr="00A966B6">
        <w:rPr>
          <w:rFonts w:cs="Arial"/>
          <w:szCs w:val="24"/>
        </w:rPr>
        <w:t>Policejního prezídia ČR</w:t>
      </w:r>
      <w:r>
        <w:rPr>
          <w:rFonts w:cs="Arial"/>
          <w:szCs w:val="24"/>
        </w:rPr>
        <w:t xml:space="preserve">, </w:t>
      </w:r>
      <w:r w:rsidRPr="00A966B6">
        <w:rPr>
          <w:rFonts w:cs="Arial"/>
          <w:szCs w:val="24"/>
        </w:rPr>
        <w:t>Generálního ředitelství VS ČR</w:t>
      </w:r>
      <w:r>
        <w:rPr>
          <w:rFonts w:cs="Arial"/>
          <w:szCs w:val="24"/>
        </w:rPr>
        <w:t xml:space="preserve"> a </w:t>
      </w:r>
      <w:r w:rsidRPr="00A966B6">
        <w:rPr>
          <w:rFonts w:cs="Arial"/>
          <w:szCs w:val="24"/>
        </w:rPr>
        <w:t>Generální</w:t>
      </w:r>
      <w:r>
        <w:rPr>
          <w:rFonts w:cs="Arial"/>
          <w:szCs w:val="24"/>
        </w:rPr>
        <w:t>ho</w:t>
      </w:r>
      <w:r w:rsidRPr="00A966B6">
        <w:rPr>
          <w:rFonts w:cs="Arial"/>
          <w:szCs w:val="24"/>
        </w:rPr>
        <w:t xml:space="preserve"> ředitelství cel</w:t>
      </w:r>
      <w:r>
        <w:rPr>
          <w:rFonts w:cs="Arial"/>
          <w:szCs w:val="24"/>
        </w:rPr>
        <w:t>.</w:t>
      </w:r>
    </w:p>
    <w:p w14:paraId="4B65C60B" w14:textId="77777777" w:rsidR="007B099C" w:rsidRPr="00A966B6" w:rsidRDefault="007B099C" w:rsidP="007B099C">
      <w:pPr>
        <w:spacing w:after="251" w:line="300" w:lineRule="exact"/>
        <w:jc w:val="both"/>
        <w:rPr>
          <w:rFonts w:cs="Arial"/>
          <w:szCs w:val="24"/>
        </w:rPr>
      </w:pPr>
      <w:r w:rsidRPr="00A966B6">
        <w:rPr>
          <w:rFonts w:cs="Arial"/>
          <w:szCs w:val="24"/>
        </w:rPr>
        <w:t>Výkonná pracoviště GIBS</w:t>
      </w:r>
      <w:r w:rsidR="00641A83" w:rsidRPr="00A966B6">
        <w:rPr>
          <w:rFonts w:cs="Arial"/>
          <w:szCs w:val="24"/>
        </w:rPr>
        <w:t xml:space="preserve"> úzce spolupracují s řediteli krajských ředitelství</w:t>
      </w:r>
      <w:r w:rsidR="00333C37" w:rsidRPr="00A966B6">
        <w:rPr>
          <w:rFonts w:cs="Arial"/>
          <w:szCs w:val="24"/>
        </w:rPr>
        <w:t xml:space="preserve"> </w:t>
      </w:r>
      <w:r w:rsidRPr="00A966B6">
        <w:rPr>
          <w:rFonts w:cs="Arial"/>
          <w:szCs w:val="24"/>
        </w:rPr>
        <w:t>P</w:t>
      </w:r>
      <w:r w:rsidR="00333C37" w:rsidRPr="00A966B6">
        <w:rPr>
          <w:rFonts w:cs="Arial"/>
          <w:szCs w:val="24"/>
        </w:rPr>
        <w:t xml:space="preserve"> ČR</w:t>
      </w:r>
      <w:r w:rsidRPr="00A966B6">
        <w:rPr>
          <w:rFonts w:cs="Arial"/>
          <w:szCs w:val="24"/>
        </w:rPr>
        <w:t xml:space="preserve"> </w:t>
      </w:r>
      <w:r w:rsidR="00333C37" w:rsidRPr="00A966B6">
        <w:rPr>
          <w:rFonts w:cs="Arial"/>
          <w:szCs w:val="24"/>
        </w:rPr>
        <w:t>za účelem</w:t>
      </w:r>
      <w:r w:rsidRPr="00A966B6">
        <w:rPr>
          <w:rFonts w:cs="Arial"/>
          <w:szCs w:val="24"/>
        </w:rPr>
        <w:t> nastavení pravidel součinnosti na teritoriální úrovni.</w:t>
      </w:r>
    </w:p>
    <w:p w14:paraId="1A6B63DF" w14:textId="77F0B21D" w:rsidR="001C2F78" w:rsidRDefault="007B099C" w:rsidP="00F73806">
      <w:pPr>
        <w:spacing w:after="251" w:line="300" w:lineRule="exact"/>
        <w:jc w:val="both"/>
        <w:rPr>
          <w:rFonts w:cs="Arial"/>
          <w:szCs w:val="24"/>
        </w:rPr>
      </w:pPr>
      <w:r w:rsidRPr="00A966B6">
        <w:rPr>
          <w:rFonts w:cs="Arial"/>
          <w:szCs w:val="24"/>
        </w:rPr>
        <w:t xml:space="preserve">Součinnost </w:t>
      </w:r>
      <w:r w:rsidR="00333C37" w:rsidRPr="00A966B6">
        <w:rPr>
          <w:rFonts w:cs="Arial"/>
          <w:szCs w:val="24"/>
        </w:rPr>
        <w:t>GIBS a</w:t>
      </w:r>
      <w:r w:rsidRPr="00A966B6">
        <w:rPr>
          <w:rFonts w:cs="Arial"/>
          <w:szCs w:val="24"/>
        </w:rPr>
        <w:t xml:space="preserve"> zpravodajský</w:t>
      </w:r>
      <w:r w:rsidR="00333C37" w:rsidRPr="00A966B6">
        <w:rPr>
          <w:rFonts w:cs="Arial"/>
          <w:szCs w:val="24"/>
        </w:rPr>
        <w:t>ch</w:t>
      </w:r>
      <w:r w:rsidRPr="00A966B6">
        <w:rPr>
          <w:rFonts w:cs="Arial"/>
          <w:szCs w:val="24"/>
        </w:rPr>
        <w:t xml:space="preserve"> služ</w:t>
      </w:r>
      <w:r w:rsidR="00333C37" w:rsidRPr="00A966B6">
        <w:rPr>
          <w:rFonts w:cs="Arial"/>
          <w:szCs w:val="24"/>
        </w:rPr>
        <w:t>eb v</w:t>
      </w:r>
      <w:r w:rsidRPr="00A966B6">
        <w:rPr>
          <w:rFonts w:cs="Arial"/>
          <w:szCs w:val="24"/>
        </w:rPr>
        <w:t xml:space="preserve"> ČR je zaměřena</w:t>
      </w:r>
      <w:r w:rsidR="00E80FF7">
        <w:rPr>
          <w:rFonts w:cs="Arial"/>
          <w:szCs w:val="24"/>
        </w:rPr>
        <w:t xml:space="preserve"> zejména</w:t>
      </w:r>
      <w:r w:rsidRPr="00A966B6">
        <w:rPr>
          <w:rFonts w:cs="Arial"/>
          <w:szCs w:val="24"/>
        </w:rPr>
        <w:t xml:space="preserve"> na výměnu informací, kriminalisticko-technické činnosti a operativně pátrací činnosti.</w:t>
      </w:r>
    </w:p>
    <w:p w14:paraId="5A63124E" w14:textId="6D4A3AB7" w:rsidR="00EF3286" w:rsidRPr="00A966B6" w:rsidRDefault="00EF3286" w:rsidP="00F73806">
      <w:pPr>
        <w:spacing w:after="251" w:line="300" w:lineRule="exact"/>
        <w:jc w:val="both"/>
        <w:rPr>
          <w:rFonts w:cs="Arial"/>
          <w:szCs w:val="24"/>
        </w:rPr>
      </w:pPr>
      <w:r>
        <w:rPr>
          <w:rFonts w:cs="Arial"/>
          <w:szCs w:val="24"/>
        </w:rPr>
        <w:t xml:space="preserve">Byla také nastavena úzká spolupráce s Vojenskou policií, </w:t>
      </w:r>
      <w:r w:rsidR="00E80FF7">
        <w:rPr>
          <w:rFonts w:cs="Arial"/>
          <w:szCs w:val="24"/>
        </w:rPr>
        <w:t xml:space="preserve">především v oblasti kriminalisticko-technické činnosti, </w:t>
      </w:r>
      <w:r>
        <w:rPr>
          <w:rFonts w:cs="Arial"/>
          <w:szCs w:val="24"/>
        </w:rPr>
        <w:t>kdy je v současné době připravena k podpisu dohoda o součinnosti.</w:t>
      </w:r>
    </w:p>
    <w:p w14:paraId="24E32D9E" w14:textId="2371C0A3" w:rsidR="00BE47D0" w:rsidRPr="00A966B6" w:rsidRDefault="00BE47D0" w:rsidP="00CB57EE">
      <w:pPr>
        <w:pStyle w:val="Nadpis2"/>
        <w:spacing w:line="300" w:lineRule="exact"/>
      </w:pPr>
      <w:bookmarkStart w:id="214" w:name="_Toc2085178"/>
      <w:bookmarkStart w:id="215" w:name="_Toc2682560"/>
      <w:r w:rsidRPr="00A966B6">
        <w:t>Státní zastupitelství</w:t>
      </w:r>
      <w:bookmarkEnd w:id="214"/>
      <w:bookmarkEnd w:id="215"/>
    </w:p>
    <w:p w14:paraId="04EEEE72" w14:textId="0D5FE43A" w:rsidR="00AA4E8B" w:rsidRDefault="00AA4E8B" w:rsidP="007B099C">
      <w:pPr>
        <w:spacing w:after="251" w:line="300" w:lineRule="exact"/>
        <w:jc w:val="both"/>
        <w:rPr>
          <w:rFonts w:cs="Arial"/>
          <w:szCs w:val="24"/>
        </w:rPr>
      </w:pPr>
      <w:r>
        <w:rPr>
          <w:rFonts w:cs="Arial"/>
          <w:szCs w:val="24"/>
        </w:rPr>
        <w:t>V rámci orgánů činných v trestním řízení, je pro činnost GIBS spolupráce se státními zastupitelstvími stěžejní. Tato spolupráce se řídí především trestním řádem.</w:t>
      </w:r>
      <w:r w:rsidR="000A15DC">
        <w:rPr>
          <w:rFonts w:cs="Arial"/>
          <w:szCs w:val="24"/>
        </w:rPr>
        <w:t xml:space="preserve"> Státní zástupce</w:t>
      </w:r>
      <w:r>
        <w:rPr>
          <w:rFonts w:cs="Arial"/>
          <w:szCs w:val="24"/>
        </w:rPr>
        <w:t xml:space="preserve"> je pro GIBS orgánem, který po linii trestního řízení vykonává dozor nad</w:t>
      </w:r>
      <w:r w:rsidR="00883448">
        <w:rPr>
          <w:rFonts w:cs="Arial"/>
          <w:szCs w:val="24"/>
        </w:rPr>
        <w:t xml:space="preserve"> zákonností v přípravném řízení</w:t>
      </w:r>
      <w:r>
        <w:rPr>
          <w:rFonts w:cs="Arial"/>
          <w:szCs w:val="24"/>
        </w:rPr>
        <w:t xml:space="preserve"> s tím, že případné pokyny státního zástupce jsou pro policejní orgán, GIBS, závazné. Drtivou většinu trestních věcí dozoruj</w:t>
      </w:r>
      <w:r w:rsidR="000A15DC">
        <w:rPr>
          <w:rFonts w:cs="Arial"/>
          <w:szCs w:val="24"/>
        </w:rPr>
        <w:t>í krajská</w:t>
      </w:r>
      <w:r>
        <w:rPr>
          <w:rFonts w:cs="Arial"/>
          <w:szCs w:val="24"/>
        </w:rPr>
        <w:t xml:space="preserve"> státní zastupitelství</w:t>
      </w:r>
      <w:r w:rsidR="000A15DC">
        <w:rPr>
          <w:rFonts w:cs="Arial"/>
          <w:szCs w:val="24"/>
        </w:rPr>
        <w:t>, v Praze městské státní zastupitelství</w:t>
      </w:r>
      <w:r>
        <w:rPr>
          <w:rFonts w:cs="Arial"/>
          <w:szCs w:val="24"/>
        </w:rPr>
        <w:t>. Případy s přesahem např. do hospodářské kriminality pak může dozorovat i vrchní státní zastupitelství. GIBS se snaží</w:t>
      </w:r>
      <w:r w:rsidR="000A15DC">
        <w:rPr>
          <w:rFonts w:cs="Arial"/>
          <w:szCs w:val="24"/>
        </w:rPr>
        <w:t xml:space="preserve"> udržovat vysokou úroveň součinnosti.</w:t>
      </w:r>
    </w:p>
    <w:p w14:paraId="2A589188" w14:textId="5316E405" w:rsidR="003D4C23" w:rsidRDefault="003D4C23" w:rsidP="007B099C">
      <w:pPr>
        <w:spacing w:after="251" w:line="300" w:lineRule="exact"/>
        <w:jc w:val="both"/>
        <w:rPr>
          <w:rFonts w:cs="Arial"/>
          <w:szCs w:val="24"/>
        </w:rPr>
      </w:pPr>
      <w:r>
        <w:rPr>
          <w:rFonts w:cs="Arial"/>
          <w:szCs w:val="24"/>
        </w:rPr>
        <w:t>Pro rok 2019 se plánuje prohloubení spolupráce GIBS a státního zastupitelství v oblasti vzdělávání příslušníků GIBS, kteří se budou moci účastnit, spolu s pracovníky justice, vzdělávacích programů Justiční akademie. Uvedené by mohlo zvýšit kvalitu práce GIBS.</w:t>
      </w:r>
    </w:p>
    <w:p w14:paraId="2F6A3055" w14:textId="77777777" w:rsidR="00BE47D0" w:rsidRPr="00A966B6" w:rsidRDefault="00BE47D0" w:rsidP="00E80FF7">
      <w:pPr>
        <w:pStyle w:val="Nadpis2"/>
        <w:spacing w:before="0" w:after="251" w:line="300" w:lineRule="exact"/>
        <w:jc w:val="both"/>
      </w:pPr>
      <w:bookmarkStart w:id="216" w:name="_Toc490038267"/>
      <w:bookmarkStart w:id="217" w:name="_Toc490039092"/>
      <w:bookmarkStart w:id="218" w:name="_Toc490039225"/>
      <w:bookmarkStart w:id="219" w:name="_Toc490039785"/>
      <w:bookmarkStart w:id="220" w:name="_Toc490049147"/>
      <w:bookmarkStart w:id="221" w:name="_Toc490038268"/>
      <w:bookmarkStart w:id="222" w:name="_Toc490039093"/>
      <w:bookmarkStart w:id="223" w:name="_Toc490039226"/>
      <w:bookmarkStart w:id="224" w:name="_Toc490039786"/>
      <w:bookmarkStart w:id="225" w:name="_Toc490049148"/>
      <w:bookmarkStart w:id="226" w:name="_Toc490038269"/>
      <w:bookmarkStart w:id="227" w:name="_Toc490039094"/>
      <w:bookmarkStart w:id="228" w:name="_Toc490039227"/>
      <w:bookmarkStart w:id="229" w:name="_Toc490039787"/>
      <w:bookmarkStart w:id="230" w:name="_Toc490049149"/>
      <w:bookmarkStart w:id="231" w:name="_Toc2085179"/>
      <w:bookmarkStart w:id="232" w:name="_Toc268256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A966B6">
        <w:lastRenderedPageBreak/>
        <w:t>Spolupráce s ostatními subjekty</w:t>
      </w:r>
      <w:bookmarkEnd w:id="231"/>
      <w:bookmarkEnd w:id="232"/>
    </w:p>
    <w:p w14:paraId="17CD0991" w14:textId="46A2A36C" w:rsidR="007B099C" w:rsidRPr="00A966B6" w:rsidRDefault="007B099C" w:rsidP="007B099C">
      <w:pPr>
        <w:pStyle w:val="Odstavecseseznamem"/>
        <w:spacing w:after="251" w:line="300" w:lineRule="exact"/>
        <w:ind w:left="0"/>
        <w:contextualSpacing w:val="0"/>
        <w:jc w:val="both"/>
        <w:rPr>
          <w:rFonts w:cs="Arial"/>
          <w:szCs w:val="24"/>
        </w:rPr>
      </w:pPr>
      <w:r w:rsidRPr="00A966B6">
        <w:rPr>
          <w:rFonts w:cs="Arial"/>
          <w:szCs w:val="24"/>
        </w:rPr>
        <w:t xml:space="preserve">Pro zajištění efektivní činnosti spolupracuje GIBS také s dalšími subjekty veřejné správy. Jde zejména o oblasti výměny informací, kriminalisticko-technické činnosti, operativně pátrací činnosti a logistické podpory. To se týká </w:t>
      </w:r>
      <w:r w:rsidR="00213E57" w:rsidRPr="00A966B6">
        <w:rPr>
          <w:rFonts w:cs="Arial"/>
          <w:szCs w:val="24"/>
        </w:rPr>
        <w:t>Finančního analytického úřadu</w:t>
      </w:r>
      <w:r w:rsidRPr="00A966B6">
        <w:rPr>
          <w:rFonts w:cs="Arial"/>
          <w:szCs w:val="24"/>
        </w:rPr>
        <w:t>, Úřadu pro zastupování státu ve věcech majetkových a dalších subjektů státní správy.</w:t>
      </w:r>
    </w:p>
    <w:p w14:paraId="2FF4CD9A" w14:textId="77777777" w:rsidR="007B099C" w:rsidRPr="00A966B6" w:rsidRDefault="007B099C" w:rsidP="007B099C">
      <w:pPr>
        <w:pStyle w:val="Odstavecseseznamem"/>
        <w:spacing w:after="251" w:line="300" w:lineRule="exact"/>
        <w:ind w:left="0"/>
        <w:contextualSpacing w:val="0"/>
        <w:jc w:val="both"/>
        <w:rPr>
          <w:rFonts w:cs="Arial"/>
          <w:szCs w:val="24"/>
        </w:rPr>
      </w:pPr>
      <w:r w:rsidRPr="00A966B6">
        <w:rPr>
          <w:rFonts w:cs="Arial"/>
          <w:szCs w:val="24"/>
        </w:rPr>
        <w:t xml:space="preserve">Z ostatních subjektů spolupracuje GIBS především s útvary </w:t>
      </w:r>
      <w:r w:rsidR="00641A83" w:rsidRPr="00A966B6">
        <w:rPr>
          <w:rFonts w:cs="Arial"/>
          <w:szCs w:val="24"/>
        </w:rPr>
        <w:t>i</w:t>
      </w:r>
      <w:r w:rsidRPr="00A966B6">
        <w:rPr>
          <w:rFonts w:cs="Arial"/>
          <w:szCs w:val="24"/>
        </w:rPr>
        <w:t xml:space="preserve">ntegrovaného záchranného systému ČR, jednotkami obecní policie, Magistrátem hl. m. Prahy a samosprávami měst a obcí. </w:t>
      </w:r>
    </w:p>
    <w:p w14:paraId="5D806330" w14:textId="77777777" w:rsidR="007B099C" w:rsidRPr="00A966B6" w:rsidRDefault="007B099C" w:rsidP="007B099C">
      <w:pPr>
        <w:pStyle w:val="Odstavecseseznamem"/>
        <w:spacing w:after="251" w:line="300" w:lineRule="exact"/>
        <w:ind w:left="0"/>
        <w:contextualSpacing w:val="0"/>
        <w:jc w:val="both"/>
        <w:rPr>
          <w:rFonts w:cs="Arial"/>
          <w:szCs w:val="24"/>
        </w:rPr>
      </w:pPr>
      <w:r w:rsidRPr="00A966B6">
        <w:rPr>
          <w:rFonts w:cs="Arial"/>
          <w:szCs w:val="24"/>
        </w:rPr>
        <w:t>Specifickou oblastí je spolupráce a součinnost GIBS s úřadem vládního zmocněnce pro zastupování ČR před ESLP a Oddělením pro koordinaci boje s korupcí Úřadu vlády ČR.</w:t>
      </w:r>
    </w:p>
    <w:p w14:paraId="216A04E7" w14:textId="77777777" w:rsidR="007B099C" w:rsidRPr="00A966B6" w:rsidRDefault="007B099C" w:rsidP="00A402C1">
      <w:pPr>
        <w:pStyle w:val="Odstavecseseznamem"/>
        <w:spacing w:after="251" w:line="300" w:lineRule="exact"/>
        <w:ind w:left="0"/>
        <w:contextualSpacing w:val="0"/>
        <w:jc w:val="both"/>
      </w:pPr>
      <w:r w:rsidRPr="00A966B6">
        <w:rPr>
          <w:rFonts w:cs="Arial"/>
          <w:szCs w:val="24"/>
        </w:rPr>
        <w:t>Další specifickou oblastí je rovněž spolupráce s vnějšími kontrolními subjekty, mezi které patří Národní bezpečnostní úřad, Úřad pro ochranu osobních údajů a další instituce. GIBS těmto institucím poskytuje v rámci výměny informací plnou součinnost, která vyplývá z právního postavení subjektů a jejich zákonných zmocně</w:t>
      </w:r>
      <w:r w:rsidR="00A402C1" w:rsidRPr="00A966B6">
        <w:rPr>
          <w:rFonts w:cs="Arial"/>
          <w:szCs w:val="24"/>
        </w:rPr>
        <w:t>ní.</w:t>
      </w:r>
    </w:p>
    <w:p w14:paraId="7B4ACAEF" w14:textId="3CFE6CE3" w:rsidR="00BE47D0" w:rsidRPr="00A966B6" w:rsidRDefault="00BE47D0" w:rsidP="00CB57EE">
      <w:pPr>
        <w:pStyle w:val="Nadpis2"/>
        <w:spacing w:line="300" w:lineRule="exact"/>
      </w:pPr>
      <w:bookmarkStart w:id="233" w:name="_Toc2085180"/>
      <w:bookmarkStart w:id="234" w:name="_Toc2682562"/>
      <w:r w:rsidRPr="00A966B6">
        <w:t>Mezinárodní spolupráce</w:t>
      </w:r>
      <w:bookmarkEnd w:id="233"/>
      <w:bookmarkEnd w:id="234"/>
      <w:r w:rsidR="00D815F5" w:rsidRPr="00A966B6">
        <w:t xml:space="preserve"> </w:t>
      </w:r>
    </w:p>
    <w:p w14:paraId="7FAEBB19" w14:textId="77777777" w:rsidR="00CF10FC" w:rsidRPr="00A966B6" w:rsidRDefault="00CF10FC" w:rsidP="00CF10FC">
      <w:pPr>
        <w:ind w:right="62"/>
        <w:jc w:val="both"/>
      </w:pPr>
      <w:r w:rsidRPr="00A966B6">
        <w:t xml:space="preserve">V roce 2018 </w:t>
      </w:r>
      <w:r>
        <w:t xml:space="preserve">pokračovalo posilování mezinárodní spolupráce s partnery zahraničních bezpečnostních sborů (zejména Ukrajiny, Srbska a Moldavska) a ve spolupráci s Ministerstvem vnitra bylo pokračováno v Rozvojové bezpečnostní spolupráci, kdy dochází zejména k výměně praktických zkušeností v oblasti provádění zkoušek spolehlivosti. </w:t>
      </w:r>
    </w:p>
    <w:p w14:paraId="3405DE67" w14:textId="1AE8F331" w:rsidR="00CF10FC" w:rsidRPr="00A966B6" w:rsidRDefault="00CF10FC" w:rsidP="00CF10FC">
      <w:pPr>
        <w:ind w:right="62"/>
        <w:jc w:val="both"/>
      </w:pPr>
      <w:r w:rsidRPr="00A966B6">
        <w:t>GIBS</w:t>
      </w:r>
      <w:r>
        <w:t xml:space="preserve"> se</w:t>
      </w:r>
      <w:r w:rsidRPr="00A966B6">
        <w:t xml:space="preserve"> zúčastnil</w:t>
      </w:r>
      <w:r>
        <w:t>a</w:t>
      </w:r>
      <w:r w:rsidRPr="00A966B6">
        <w:t xml:space="preserve"> expertní mise v rámci projektu TAIEX (Evropská komise) workshopu s názvem „Workshop on </w:t>
      </w:r>
      <w:proofErr w:type="spellStart"/>
      <w:r w:rsidRPr="00A966B6">
        <w:t>Ethics</w:t>
      </w:r>
      <w:proofErr w:type="spellEnd"/>
      <w:r w:rsidRPr="00A966B6">
        <w:t xml:space="preserve"> </w:t>
      </w:r>
      <w:proofErr w:type="spellStart"/>
      <w:r w:rsidRPr="00A966B6">
        <w:t>for</w:t>
      </w:r>
      <w:proofErr w:type="spellEnd"/>
      <w:r w:rsidRPr="00A966B6">
        <w:t xml:space="preserve"> </w:t>
      </w:r>
      <w:proofErr w:type="spellStart"/>
      <w:r w:rsidRPr="00A966B6">
        <w:t>Border</w:t>
      </w:r>
      <w:proofErr w:type="spellEnd"/>
      <w:r w:rsidRPr="00A966B6">
        <w:t xml:space="preserve"> Management </w:t>
      </w:r>
      <w:proofErr w:type="spellStart"/>
      <w:r w:rsidRPr="00A966B6">
        <w:t>Staff</w:t>
      </w:r>
      <w:proofErr w:type="spellEnd"/>
      <w:r w:rsidRPr="00A966B6">
        <w:t>“</w:t>
      </w:r>
      <w:r>
        <w:t xml:space="preserve"> a aktivně působila v mezinárodní platformě </w:t>
      </w:r>
      <w:r w:rsidRPr="00A966B6">
        <w:t>EPAC/EACN (</w:t>
      </w:r>
      <w:proofErr w:type="spellStart"/>
      <w:r w:rsidRPr="00A966B6">
        <w:t>European</w:t>
      </w:r>
      <w:proofErr w:type="spellEnd"/>
      <w:r w:rsidRPr="00A966B6">
        <w:t xml:space="preserve"> </w:t>
      </w:r>
      <w:proofErr w:type="spellStart"/>
      <w:r w:rsidRPr="00A966B6">
        <w:t>Partners</w:t>
      </w:r>
      <w:proofErr w:type="spellEnd"/>
      <w:r w:rsidRPr="00A966B6">
        <w:t xml:space="preserve"> </w:t>
      </w:r>
      <w:proofErr w:type="spellStart"/>
      <w:r w:rsidRPr="00A966B6">
        <w:t>against</w:t>
      </w:r>
      <w:proofErr w:type="spellEnd"/>
      <w:r w:rsidRPr="00A966B6">
        <w:t xml:space="preserve"> </w:t>
      </w:r>
      <w:proofErr w:type="spellStart"/>
      <w:r w:rsidRPr="00A966B6">
        <w:t>Corruption</w:t>
      </w:r>
      <w:proofErr w:type="spellEnd"/>
      <w:r w:rsidRPr="00A966B6">
        <w:t>/</w:t>
      </w:r>
      <w:proofErr w:type="spellStart"/>
      <w:r w:rsidRPr="00A966B6">
        <w:t>European</w:t>
      </w:r>
      <w:proofErr w:type="spellEnd"/>
      <w:r w:rsidRPr="00A966B6">
        <w:t xml:space="preserve"> Anti-</w:t>
      </w:r>
      <w:proofErr w:type="spellStart"/>
      <w:r w:rsidRPr="00A966B6">
        <w:t>Corruption</w:t>
      </w:r>
      <w:proofErr w:type="spellEnd"/>
      <w:r w:rsidRPr="00A966B6">
        <w:t xml:space="preserve"> Network)</w:t>
      </w:r>
      <w:r>
        <w:t xml:space="preserve">.  </w:t>
      </w:r>
    </w:p>
    <w:p w14:paraId="6E925AB5" w14:textId="0F1AF98C" w:rsidR="00CF10FC" w:rsidRDefault="00CF10FC" w:rsidP="00CF10FC">
      <w:pPr>
        <w:ind w:right="62"/>
        <w:jc w:val="both"/>
      </w:pPr>
      <w:r w:rsidRPr="00A966B6">
        <w:t xml:space="preserve">GIBS ve spolupráci se Stálou komisí pro kontrolu činnosti GIBS Poslanecké sněmovny Parlamentu ČR uskutečnila v listopadu 2018 pracovní jednání se zástupcem GSOC (Garda </w:t>
      </w:r>
      <w:proofErr w:type="spellStart"/>
      <w:r w:rsidRPr="00A966B6">
        <w:t>Siochána</w:t>
      </w:r>
      <w:proofErr w:type="spellEnd"/>
      <w:r w:rsidRPr="00A966B6">
        <w:t xml:space="preserve"> Ombudsman </w:t>
      </w:r>
      <w:proofErr w:type="spellStart"/>
      <w:r w:rsidRPr="00A966B6">
        <w:t>Commission</w:t>
      </w:r>
      <w:proofErr w:type="spellEnd"/>
      <w:r>
        <w:t>).</w:t>
      </w:r>
    </w:p>
    <w:p w14:paraId="25F1AD93" w14:textId="77777777" w:rsidR="00D15DD2" w:rsidRPr="00381D6D" w:rsidRDefault="00D15DD2" w:rsidP="00DF38C1">
      <w:pPr>
        <w:pStyle w:val="Nadpis2"/>
      </w:pPr>
      <w:bookmarkStart w:id="235" w:name="_Toc2085181"/>
      <w:bookmarkStart w:id="236" w:name="_Toc2682563"/>
      <w:r w:rsidRPr="00DF38C1">
        <w:t>Poskytování informací podle zákona č. 106/1999 Sb., o svobodném přístupu k informacím</w:t>
      </w:r>
      <w:bookmarkEnd w:id="235"/>
      <w:bookmarkEnd w:id="236"/>
    </w:p>
    <w:p w14:paraId="6BEFCD3B" w14:textId="77777777" w:rsidR="00D15DD2" w:rsidRDefault="00D15DD2" w:rsidP="00D15DD2">
      <w:pPr>
        <w:spacing w:after="0"/>
        <w:jc w:val="both"/>
        <w:rPr>
          <w:rFonts w:cs="Arial"/>
        </w:rPr>
      </w:pPr>
      <w:r>
        <w:rPr>
          <w:rFonts w:cs="Arial"/>
        </w:rPr>
        <w:t>GIBS v</w:t>
      </w:r>
      <w:r w:rsidRPr="00430AE3">
        <w:rPr>
          <w:rFonts w:cs="Arial"/>
        </w:rPr>
        <w:t> průběhu roku 2018</w:t>
      </w:r>
      <w:r>
        <w:rPr>
          <w:rFonts w:cs="Arial"/>
        </w:rPr>
        <w:t xml:space="preserve"> plnila úkoly povinného subjektu vyplývající z ustanovení § 2 odst. 1 zákona č. 106/1999 Sb., o svobodném přístupu k informacím, ve znění pozdějších předpisů (dále jen „zákon 106/1999 Sb.“) </w:t>
      </w:r>
    </w:p>
    <w:p w14:paraId="69A147CB" w14:textId="77777777" w:rsidR="00D15DD2" w:rsidRDefault="00D15DD2" w:rsidP="00D15DD2">
      <w:pPr>
        <w:spacing w:after="0"/>
        <w:jc w:val="both"/>
        <w:rPr>
          <w:rFonts w:cs="Arial"/>
        </w:rPr>
      </w:pPr>
    </w:p>
    <w:p w14:paraId="6B4C1E38" w14:textId="77777777" w:rsidR="00D15DD2" w:rsidRDefault="00D15DD2" w:rsidP="00D15DD2">
      <w:pPr>
        <w:spacing w:after="0"/>
        <w:jc w:val="both"/>
        <w:rPr>
          <w:rFonts w:cs="Arial"/>
        </w:rPr>
      </w:pPr>
      <w:r>
        <w:rPr>
          <w:rFonts w:cs="Arial"/>
        </w:rPr>
        <w:lastRenderedPageBreak/>
        <w:t>V roce 2018 vyřizovala GIBS celkem 76 žádostí o informace ve smyslu zákona 106/1999 Sb. Ve 23 případech bylo vydáno rozhodnutí o odmítnutí (úplném) a ve 13 případech bylo vydáno rozhodnutí o částečném odmítnutí žádosti ve smyslu ustanovení § 15 zákona 106/1999 Sb. Proti těmto rozhodnutím bylo v 19 případech podáno odvolání.</w:t>
      </w:r>
    </w:p>
    <w:p w14:paraId="623044A0" w14:textId="77777777" w:rsidR="00D15DD2" w:rsidRDefault="00D15DD2" w:rsidP="00D15DD2">
      <w:pPr>
        <w:spacing w:after="0"/>
        <w:jc w:val="both"/>
        <w:rPr>
          <w:rFonts w:cs="Arial"/>
        </w:rPr>
      </w:pPr>
    </w:p>
    <w:p w14:paraId="70C598BF" w14:textId="4B4CDAEC" w:rsidR="00D15DD2" w:rsidRDefault="00D72441" w:rsidP="00D15DD2">
      <w:pPr>
        <w:spacing w:after="0"/>
        <w:jc w:val="both"/>
        <w:rPr>
          <w:rFonts w:cs="Arial"/>
        </w:rPr>
      </w:pPr>
      <w:r>
        <w:rPr>
          <w:rFonts w:cs="Arial"/>
        </w:rPr>
        <w:t>V roce 2018 b</w:t>
      </w:r>
      <w:r w:rsidR="00D15DD2">
        <w:rPr>
          <w:rFonts w:cs="Arial"/>
        </w:rPr>
        <w:t>yly vyhlášeny 3 rozsudky soudů, kterými bylo přezkoumáno rozhodnutí o odmítnutí žádosti o poskytnutí informace.</w:t>
      </w:r>
    </w:p>
    <w:p w14:paraId="6781C36E" w14:textId="77777777" w:rsidR="00D15DD2" w:rsidRPr="00E8314E" w:rsidRDefault="00D15DD2" w:rsidP="00D15DD2">
      <w:pPr>
        <w:spacing w:after="0"/>
        <w:jc w:val="both"/>
        <w:rPr>
          <w:rFonts w:cs="Arial"/>
          <w:b/>
        </w:rPr>
      </w:pPr>
    </w:p>
    <w:p w14:paraId="78335076" w14:textId="77777777" w:rsidR="00D15DD2" w:rsidRDefault="00D15DD2" w:rsidP="00D15DD2">
      <w:pPr>
        <w:spacing w:after="0"/>
        <w:jc w:val="both"/>
        <w:rPr>
          <w:rFonts w:cs="Arial"/>
        </w:rPr>
      </w:pPr>
      <w:r w:rsidRPr="00E8314E">
        <w:rPr>
          <w:rFonts w:cs="Arial"/>
        </w:rPr>
        <w:t>Rozsudek Nejvyššího správního soudu</w:t>
      </w:r>
      <w:r>
        <w:rPr>
          <w:rFonts w:cs="Arial"/>
        </w:rPr>
        <w:t>, vedený pod</w:t>
      </w:r>
      <w:r w:rsidRPr="00E8314E">
        <w:rPr>
          <w:rFonts w:cs="Arial"/>
        </w:rPr>
        <w:t xml:space="preserve"> </w:t>
      </w:r>
      <w:proofErr w:type="spellStart"/>
      <w:r w:rsidRPr="00E8314E">
        <w:rPr>
          <w:rFonts w:cs="Arial"/>
        </w:rPr>
        <w:t>sp</w:t>
      </w:r>
      <w:proofErr w:type="spellEnd"/>
      <w:r w:rsidRPr="00E8314E">
        <w:rPr>
          <w:rFonts w:cs="Arial"/>
        </w:rPr>
        <w:t xml:space="preserve">. zn. 9 As 5/2018-88      </w:t>
      </w:r>
    </w:p>
    <w:p w14:paraId="63A2C895" w14:textId="77777777" w:rsidR="00D15DD2" w:rsidRDefault="00D15DD2" w:rsidP="00D15DD2">
      <w:pPr>
        <w:spacing w:after="0"/>
        <w:jc w:val="both"/>
        <w:rPr>
          <w:rFonts w:cs="Arial"/>
        </w:rPr>
      </w:pPr>
      <w:r w:rsidRPr="00E8314E">
        <w:rPr>
          <w:rFonts w:cs="Arial"/>
        </w:rPr>
        <w:t>U Městského soudu v Praze se žalobce domáhal zrušení rozhodnutí ředitele GIBS, kterým bylo zamítnuto jeho odvolání a potvrzeno rozhodnutí GIBS o částečném odmítnutí žádosti žalobce o poskytnutí informací; žalobce žádal o informace k úředním služebně činným osobám bezpečnostního sboru s uvedením služební hodnosti, jména, příjmení, služebního místa a útvaru, u něhož působí a podílely se na nedostatečně účinném vyšetřování v konkrétní věci, dále požadoval informace o služebním příjmu, který byl těmto osobám vyplacen v letech 2014 a 2015, s uvedením všech složek, uvedením roku jejich narození a obce trvalého pobytu. Městský soud v Praze rozhodnutí ředitele GIBS zrušil a věc vrátil povinnému subjektu k dalšímu řízení. GIBS podala kasační stížno</w:t>
      </w:r>
      <w:r>
        <w:rPr>
          <w:rFonts w:cs="Arial"/>
        </w:rPr>
        <w:t>st k Nejvyššímu správnímu soudu, který kasační stížnost</w:t>
      </w:r>
      <w:r w:rsidRPr="00E8314E">
        <w:rPr>
          <w:rFonts w:cs="Arial"/>
        </w:rPr>
        <w:t xml:space="preserve"> zamítl.</w:t>
      </w:r>
    </w:p>
    <w:p w14:paraId="76F5F6EF" w14:textId="77777777" w:rsidR="00D15DD2" w:rsidRPr="00E8314E" w:rsidRDefault="00D15DD2" w:rsidP="00D15DD2">
      <w:pPr>
        <w:spacing w:after="0"/>
        <w:jc w:val="both"/>
        <w:rPr>
          <w:rFonts w:cs="Arial"/>
        </w:rPr>
      </w:pPr>
    </w:p>
    <w:p w14:paraId="550F23DC" w14:textId="77777777" w:rsidR="00D15DD2" w:rsidRPr="00883448" w:rsidRDefault="00D15DD2" w:rsidP="00D15DD2">
      <w:pPr>
        <w:spacing w:after="0"/>
        <w:jc w:val="both"/>
        <w:rPr>
          <w:rFonts w:cs="Arial"/>
          <w:b/>
        </w:rPr>
      </w:pPr>
      <w:r w:rsidRPr="00883448">
        <w:rPr>
          <w:rFonts w:cs="Arial"/>
          <w:b/>
        </w:rPr>
        <w:t xml:space="preserve">Rozsudek Městského soudu v Praze, vedený pod </w:t>
      </w:r>
      <w:proofErr w:type="spellStart"/>
      <w:r w:rsidRPr="00883448">
        <w:rPr>
          <w:rFonts w:cs="Arial"/>
          <w:b/>
        </w:rPr>
        <w:t>sp</w:t>
      </w:r>
      <w:proofErr w:type="spellEnd"/>
      <w:r w:rsidRPr="00883448">
        <w:rPr>
          <w:rFonts w:cs="Arial"/>
          <w:b/>
        </w:rPr>
        <w:t xml:space="preserve">. zn. 8 A 77/2018-61-64   </w:t>
      </w:r>
    </w:p>
    <w:p w14:paraId="40DFA4A2" w14:textId="77777777" w:rsidR="00D15DD2" w:rsidRDefault="00D15DD2" w:rsidP="00D15DD2">
      <w:pPr>
        <w:spacing w:after="0"/>
        <w:jc w:val="both"/>
        <w:rPr>
          <w:rFonts w:cs="Arial"/>
        </w:rPr>
      </w:pPr>
      <w:r w:rsidRPr="00E8314E">
        <w:rPr>
          <w:rFonts w:cs="Arial"/>
        </w:rPr>
        <w:t>Žalobce se žalobou u Městského soudu v Praze domáhal zrušení rozhodnutí ředitelky GIBS, kterým bylo zamítnuto odvolání žalobce proti rozhodnutí GIBS, jímž byla odmítnuta jeho žádost o poskytnutí informace; žalobce žádal o zaslání dokumentu, kterým bylo v pravomoci služebního funkcionáře vyřešeno nedodržování právní normy příslušníkem bezpečnostního sboru v trestní věci. Městský soud v Praze rozhodnutí ředitelky GIBS zrušil a věc vrátil povinnému subjektu k dalšímu řízení.</w:t>
      </w:r>
    </w:p>
    <w:p w14:paraId="5EBBC267" w14:textId="77777777" w:rsidR="00D15DD2" w:rsidRPr="00E8314E" w:rsidRDefault="00D15DD2" w:rsidP="00D15DD2">
      <w:pPr>
        <w:spacing w:after="0"/>
        <w:jc w:val="both"/>
        <w:rPr>
          <w:rFonts w:cs="Arial"/>
        </w:rPr>
      </w:pPr>
    </w:p>
    <w:p w14:paraId="641DC44E" w14:textId="77777777" w:rsidR="00D15DD2" w:rsidRPr="00883448" w:rsidRDefault="00D15DD2" w:rsidP="00D15DD2">
      <w:pPr>
        <w:spacing w:after="0"/>
        <w:jc w:val="both"/>
        <w:rPr>
          <w:rFonts w:cs="Arial"/>
          <w:b/>
        </w:rPr>
      </w:pPr>
      <w:r w:rsidRPr="00883448">
        <w:rPr>
          <w:rFonts w:cs="Arial"/>
          <w:b/>
        </w:rPr>
        <w:t xml:space="preserve">Rozsudek Městského soudu v Praze, vedený pod </w:t>
      </w:r>
      <w:proofErr w:type="spellStart"/>
      <w:r w:rsidRPr="00883448">
        <w:rPr>
          <w:rFonts w:cs="Arial"/>
          <w:b/>
        </w:rPr>
        <w:t>sp</w:t>
      </w:r>
      <w:proofErr w:type="spellEnd"/>
      <w:r w:rsidRPr="00883448">
        <w:rPr>
          <w:rFonts w:cs="Arial"/>
          <w:b/>
        </w:rPr>
        <w:t xml:space="preserve">. zn. 8 A 76/2018-63-66    </w:t>
      </w:r>
    </w:p>
    <w:p w14:paraId="6500CAD6" w14:textId="77777777" w:rsidR="00D15DD2" w:rsidRDefault="00D15DD2" w:rsidP="00D15DD2">
      <w:pPr>
        <w:spacing w:after="0"/>
        <w:jc w:val="both"/>
        <w:rPr>
          <w:rFonts w:cs="Arial"/>
        </w:rPr>
      </w:pPr>
      <w:r w:rsidRPr="00E8314E">
        <w:rPr>
          <w:rFonts w:cs="Arial"/>
        </w:rPr>
        <w:t>Žalobce se podanou žalobou domáhal u Městského soudu v Praze zrušení rozhodnutí ředitelky GIBS, kterým bylo zamítnuto jeho odvolání proti rozhodnutí GIBS, jímž byla odmítnuta žádost žalobce o poskytnutí informace; žalobce žádal o zaslání provozního řádu areálu budovy</w:t>
      </w:r>
      <w:r>
        <w:rPr>
          <w:rFonts w:cs="Arial"/>
        </w:rPr>
        <w:t xml:space="preserve"> </w:t>
      </w:r>
      <w:r w:rsidRPr="00E8314E">
        <w:rPr>
          <w:rFonts w:cs="Arial"/>
        </w:rPr>
        <w:t>a sdělení kdy a kým byl vydán. Soud žalobu jako nedůvodnou zamítl.</w:t>
      </w:r>
    </w:p>
    <w:p w14:paraId="6A726029" w14:textId="77777777" w:rsidR="00D15DD2" w:rsidRDefault="00D15DD2" w:rsidP="00D15DD2">
      <w:pPr>
        <w:spacing w:after="0"/>
        <w:jc w:val="both"/>
        <w:rPr>
          <w:rFonts w:cs="Arial"/>
        </w:rPr>
      </w:pPr>
    </w:p>
    <w:p w14:paraId="40DFFEBA" w14:textId="77777777" w:rsidR="00D15DD2" w:rsidRDefault="00D15DD2" w:rsidP="00D15DD2">
      <w:pPr>
        <w:spacing w:after="0"/>
        <w:jc w:val="both"/>
        <w:rPr>
          <w:rFonts w:cs="Arial"/>
        </w:rPr>
      </w:pPr>
      <w:r>
        <w:rPr>
          <w:rFonts w:cs="Arial"/>
        </w:rPr>
        <w:t xml:space="preserve">V souvislosti se soudními řízeními o právech a povinnostech podle zákona 106/1999 Sb. vynaložila GIBS za náhradu řízení v roce 2018 finanční částku </w:t>
      </w:r>
      <w:r w:rsidRPr="00E8314E">
        <w:rPr>
          <w:rFonts w:cs="Arial"/>
        </w:rPr>
        <w:t xml:space="preserve">ve výši </w:t>
      </w:r>
      <w:r w:rsidRPr="00B87D89">
        <w:rPr>
          <w:rFonts w:cs="Arial"/>
        </w:rPr>
        <w:t>11</w:t>
      </w:r>
      <w:r>
        <w:rPr>
          <w:rFonts w:cs="Arial"/>
        </w:rPr>
        <w:t>.903</w:t>
      </w:r>
      <w:r w:rsidRPr="00B87D89">
        <w:rPr>
          <w:rFonts w:cs="Arial"/>
        </w:rPr>
        <w:t>,</w:t>
      </w:r>
      <w:r>
        <w:rPr>
          <w:rFonts w:cs="Arial"/>
        </w:rPr>
        <w:t>75</w:t>
      </w:r>
      <w:r w:rsidRPr="00B87D89">
        <w:rPr>
          <w:rFonts w:cs="Arial"/>
        </w:rPr>
        <w:t xml:space="preserve"> Kč.</w:t>
      </w:r>
    </w:p>
    <w:p w14:paraId="6C3C0CBF" w14:textId="77777777" w:rsidR="00D15DD2" w:rsidRPr="00E8314E" w:rsidRDefault="00D15DD2" w:rsidP="00D15DD2">
      <w:pPr>
        <w:spacing w:after="0"/>
        <w:jc w:val="both"/>
        <w:rPr>
          <w:rFonts w:cs="Arial"/>
        </w:rPr>
      </w:pPr>
    </w:p>
    <w:p w14:paraId="56C1D9CC" w14:textId="77777777" w:rsidR="00D15DD2" w:rsidRPr="008A7AEF" w:rsidRDefault="00D15DD2" w:rsidP="00D15DD2">
      <w:pPr>
        <w:spacing w:after="0"/>
        <w:jc w:val="both"/>
        <w:rPr>
          <w:rFonts w:cs="Arial"/>
        </w:rPr>
      </w:pPr>
      <w:r w:rsidRPr="00E8314E">
        <w:rPr>
          <w:rFonts w:cs="Arial"/>
        </w:rPr>
        <w:t>V roce 2018 bylo podáno 5 stížností proti postupu povinného subjektu.</w:t>
      </w:r>
      <w:r>
        <w:rPr>
          <w:rFonts w:cs="Arial"/>
        </w:rPr>
        <w:t xml:space="preserve"> </w:t>
      </w:r>
      <w:r w:rsidRPr="00E8314E">
        <w:rPr>
          <w:rFonts w:cs="Arial"/>
        </w:rPr>
        <w:t>Tři stížnosti byly podány stejným stěžovatelem z </w:t>
      </w:r>
      <w:r>
        <w:rPr>
          <w:rFonts w:cs="Arial"/>
        </w:rPr>
        <w:t>důvodů</w:t>
      </w:r>
      <w:r w:rsidRPr="00E8314E">
        <w:rPr>
          <w:rFonts w:cs="Arial"/>
        </w:rPr>
        <w:t xml:space="preserve"> uvedených v ustanovení § 16a odst. 1 písm. c) zákona, kvůli nespokojenosti s postupem povinného subjektu a tvrzenému </w:t>
      </w:r>
      <w:r w:rsidRPr="00E8314E">
        <w:rPr>
          <w:rFonts w:cs="Arial"/>
        </w:rPr>
        <w:lastRenderedPageBreak/>
        <w:t>neposkytnutí informací v požadovaném rozsahu, ve dvou případech bylo stěžovateli vyhověno a požadovaná informace doplněna. V jednom z těchto případů byla opakovaná stížnost rozhodnutím zamítnuta.</w:t>
      </w:r>
      <w:r>
        <w:rPr>
          <w:rFonts w:cs="Arial"/>
        </w:rPr>
        <w:t xml:space="preserve"> </w:t>
      </w:r>
      <w:r w:rsidRPr="00E8314E">
        <w:rPr>
          <w:rFonts w:cs="Arial"/>
        </w:rPr>
        <w:t>Ve d</w:t>
      </w:r>
      <w:r>
        <w:rPr>
          <w:rFonts w:cs="Arial"/>
        </w:rPr>
        <w:t>vou stížnostech žadatel z důvodů</w:t>
      </w:r>
      <w:r w:rsidRPr="00E8314E">
        <w:rPr>
          <w:rFonts w:cs="Arial"/>
        </w:rPr>
        <w:t xml:space="preserve"> popsaných v ustanovení § 16a odst. 1 písm. d) zákona nesouhlasil s výší požadované </w:t>
      </w:r>
      <w:r w:rsidRPr="008A7AEF">
        <w:rPr>
          <w:rFonts w:cs="Arial"/>
        </w:rPr>
        <w:t xml:space="preserve">úhrady za poskytnutí informací. V jednom případě byl rozhodnutím o stížnosti postup povinného subjektu potvrzen, v případě druhém byla stížnost žadatelem vzata zpět. </w:t>
      </w:r>
    </w:p>
    <w:p w14:paraId="65CD3BDA" w14:textId="77777777" w:rsidR="00D15DD2" w:rsidRPr="008A7AEF" w:rsidRDefault="00D15DD2" w:rsidP="00D15DD2">
      <w:pPr>
        <w:spacing w:after="0"/>
        <w:jc w:val="both"/>
        <w:rPr>
          <w:rFonts w:cs="Arial"/>
        </w:rPr>
      </w:pPr>
    </w:p>
    <w:p w14:paraId="662980EC" w14:textId="68525F38" w:rsidR="00084B7F" w:rsidRPr="008A7AEF" w:rsidRDefault="00D15DD2" w:rsidP="008A7AEF">
      <w:pPr>
        <w:jc w:val="both"/>
      </w:pPr>
      <w:r w:rsidRPr="008A7AEF">
        <w:rPr>
          <w:rFonts w:cs="Arial"/>
        </w:rPr>
        <w:t xml:space="preserve">Další informace vztahující se k uplatňování zákona č. 106/1999 Sb., v platném znění, taxativně vymezené v ustanovení § 5 zákona jsou zveřejněny na úřední desce před vstupem do sídla úřadovny GIBS, a současně na elektronické úřední desce způsobem umožňujícím dálkový přístup na adrese internetových </w:t>
      </w:r>
      <w:r w:rsidRPr="008A7AEF">
        <w:rPr>
          <w:rFonts w:cs="Arial"/>
          <w:szCs w:val="24"/>
        </w:rPr>
        <w:t xml:space="preserve">stránek </w:t>
      </w:r>
      <w:hyperlink r:id="rId11" w:history="1">
        <w:r w:rsidRPr="008A7AEF">
          <w:rPr>
            <w:rStyle w:val="Hypertextovodkaz"/>
            <w:b w:val="0"/>
            <w:color w:val="auto"/>
            <w:sz w:val="24"/>
          </w:rPr>
          <w:t>www.gibs.cz</w:t>
        </w:r>
      </w:hyperlink>
      <w:r w:rsidRPr="008A7AEF">
        <w:rPr>
          <w:rStyle w:val="Hypertextovodkaz"/>
          <w:b w:val="0"/>
          <w:color w:val="auto"/>
          <w:sz w:val="24"/>
        </w:rPr>
        <w:t>.</w:t>
      </w:r>
    </w:p>
    <w:p w14:paraId="39F10A8F" w14:textId="042571AD" w:rsidR="001B33EF" w:rsidRPr="00A966B6" w:rsidRDefault="001B33EF" w:rsidP="008A7AEF">
      <w:pPr>
        <w:pStyle w:val="Nadpis2"/>
      </w:pPr>
      <w:bookmarkStart w:id="237" w:name="_Toc2085182"/>
      <w:bookmarkStart w:id="238" w:name="_Toc2682564"/>
      <w:r w:rsidRPr="00A966B6">
        <w:t>Vztahy s veřejností</w:t>
      </w:r>
      <w:r w:rsidR="005F2DD3" w:rsidRPr="00A966B6">
        <w:t xml:space="preserve"> a médii</w:t>
      </w:r>
      <w:bookmarkEnd w:id="237"/>
      <w:bookmarkEnd w:id="238"/>
    </w:p>
    <w:p w14:paraId="6F2EE4FE" w14:textId="7A1BE868" w:rsidR="005F2DD3" w:rsidRPr="00A966B6" w:rsidRDefault="005F2DD3" w:rsidP="00F73806">
      <w:pPr>
        <w:spacing w:after="251" w:line="300" w:lineRule="exact"/>
        <w:jc w:val="both"/>
        <w:rPr>
          <w:rFonts w:cs="Arial"/>
          <w:szCs w:val="24"/>
        </w:rPr>
      </w:pPr>
      <w:r w:rsidRPr="00A966B6">
        <w:rPr>
          <w:rFonts w:cs="Arial"/>
          <w:szCs w:val="24"/>
        </w:rPr>
        <w:t xml:space="preserve">Komunikace s veřejností, zejména příjem oznámení, podnětů a dotazů, je na </w:t>
      </w:r>
      <w:r w:rsidR="004A3AD4" w:rsidRPr="00A966B6">
        <w:rPr>
          <w:rFonts w:cs="Arial"/>
          <w:szCs w:val="24"/>
        </w:rPr>
        <w:t xml:space="preserve">GIBS </w:t>
      </w:r>
      <w:r w:rsidRPr="00A966B6">
        <w:rPr>
          <w:rFonts w:cs="Arial"/>
          <w:szCs w:val="24"/>
        </w:rPr>
        <w:t>zajišťován</w:t>
      </w:r>
      <w:r w:rsidR="004A3AD4" w:rsidRPr="00A966B6">
        <w:rPr>
          <w:rFonts w:cs="Arial"/>
          <w:szCs w:val="24"/>
        </w:rPr>
        <w:t>a</w:t>
      </w:r>
      <w:r w:rsidRPr="00A966B6">
        <w:rPr>
          <w:rFonts w:cs="Arial"/>
          <w:szCs w:val="24"/>
        </w:rPr>
        <w:t xml:space="preserve"> prostřednictvím nepřetržité služby na centrálním pracovišti v Praze. Další způsob kontaktu s veřejností umožňuje elektronická podatelna a datová schránka. Na úřední desce a internetových stránkách </w:t>
      </w:r>
      <w:r w:rsidR="00F40432" w:rsidRPr="00A966B6">
        <w:rPr>
          <w:rFonts w:cs="Arial"/>
          <w:szCs w:val="24"/>
        </w:rPr>
        <w:t>GIBS</w:t>
      </w:r>
      <w:r w:rsidRPr="00A966B6">
        <w:rPr>
          <w:rFonts w:cs="Arial"/>
          <w:szCs w:val="24"/>
        </w:rPr>
        <w:t xml:space="preserve"> jsou vyvěšeny povinně zveřejňované informace, zprávy o činnosti </w:t>
      </w:r>
      <w:r w:rsidR="00F40432" w:rsidRPr="00A966B6">
        <w:rPr>
          <w:rFonts w:cs="Arial"/>
          <w:szCs w:val="24"/>
        </w:rPr>
        <w:t>GIBS</w:t>
      </w:r>
      <w:r w:rsidRPr="00A966B6">
        <w:rPr>
          <w:rFonts w:cs="Arial"/>
          <w:szCs w:val="24"/>
        </w:rPr>
        <w:t xml:space="preserve"> a kontakty na jednotlivá oddělení a pracoviště </w:t>
      </w:r>
      <w:r w:rsidR="00F40432" w:rsidRPr="00A966B6">
        <w:rPr>
          <w:rFonts w:cs="Arial"/>
          <w:szCs w:val="24"/>
        </w:rPr>
        <w:t>GIBS</w:t>
      </w:r>
      <w:r w:rsidRPr="00A966B6">
        <w:rPr>
          <w:rFonts w:cs="Arial"/>
          <w:szCs w:val="24"/>
        </w:rPr>
        <w:t xml:space="preserve"> v rámci celé ČR.</w:t>
      </w:r>
    </w:p>
    <w:p w14:paraId="7513C454" w14:textId="6BCC3C57" w:rsidR="005F2DD3" w:rsidRPr="00A966B6" w:rsidRDefault="005F2DD3" w:rsidP="00F73806">
      <w:pPr>
        <w:spacing w:after="251" w:line="300" w:lineRule="exact"/>
        <w:jc w:val="both"/>
        <w:rPr>
          <w:rFonts w:cs="Arial"/>
          <w:szCs w:val="24"/>
        </w:rPr>
      </w:pPr>
      <w:r w:rsidRPr="00A966B6">
        <w:rPr>
          <w:rFonts w:cs="Arial"/>
          <w:szCs w:val="24"/>
        </w:rPr>
        <w:t>Mediální komunikace byla zajišťována</w:t>
      </w:r>
      <w:r w:rsidR="00FC0236">
        <w:rPr>
          <w:rFonts w:cs="Arial"/>
          <w:szCs w:val="24"/>
        </w:rPr>
        <w:t xml:space="preserve"> primárně cestou tiskového mluvčího a to buď</w:t>
      </w:r>
      <w:r w:rsidRPr="00A966B6">
        <w:rPr>
          <w:rFonts w:cs="Arial"/>
          <w:szCs w:val="24"/>
        </w:rPr>
        <w:t xml:space="preserve"> </w:t>
      </w:r>
      <w:r w:rsidR="001C2F78" w:rsidRPr="00A966B6">
        <w:rPr>
          <w:rFonts w:cs="Arial"/>
          <w:szCs w:val="24"/>
        </w:rPr>
        <w:t xml:space="preserve">osobně, </w:t>
      </w:r>
      <w:r w:rsidRPr="00A966B6">
        <w:rPr>
          <w:rFonts w:cs="Arial"/>
          <w:szCs w:val="24"/>
        </w:rPr>
        <w:t>telefonicky</w:t>
      </w:r>
      <w:r w:rsidR="001C2F78" w:rsidRPr="00A966B6">
        <w:rPr>
          <w:rFonts w:cs="Arial"/>
          <w:szCs w:val="24"/>
        </w:rPr>
        <w:t>, elektronicky</w:t>
      </w:r>
      <w:r w:rsidRPr="00A966B6">
        <w:rPr>
          <w:rFonts w:cs="Arial"/>
          <w:szCs w:val="24"/>
        </w:rPr>
        <w:t xml:space="preserve"> nebo prostřednictvím </w:t>
      </w:r>
      <w:r w:rsidR="00F73806" w:rsidRPr="00A966B6">
        <w:rPr>
          <w:rFonts w:cs="Arial"/>
          <w:szCs w:val="24"/>
        </w:rPr>
        <w:t>z</w:t>
      </w:r>
      <w:r w:rsidRPr="00A966B6">
        <w:rPr>
          <w:rFonts w:cs="Arial"/>
          <w:szCs w:val="24"/>
        </w:rPr>
        <w:t xml:space="preserve">veřejňovaných tiskových zpráv </w:t>
      </w:r>
      <w:r w:rsidR="001C2F78" w:rsidRPr="00A966B6">
        <w:rPr>
          <w:rFonts w:cs="Arial"/>
          <w:szCs w:val="24"/>
        </w:rPr>
        <w:t xml:space="preserve">na oficiálních webových stránkách </w:t>
      </w:r>
      <w:hyperlink r:id="rId12" w:history="1">
        <w:r w:rsidR="00FC0236" w:rsidRPr="00087278">
          <w:rPr>
            <w:rStyle w:val="Hypertextovodkaz"/>
            <w:b w:val="0"/>
            <w:color w:val="auto"/>
            <w:sz w:val="24"/>
            <w:szCs w:val="24"/>
          </w:rPr>
          <w:t>www.gibs.cz</w:t>
        </w:r>
      </w:hyperlink>
      <w:r w:rsidR="00FC0236">
        <w:rPr>
          <w:rFonts w:cs="Arial"/>
          <w:szCs w:val="24"/>
        </w:rPr>
        <w:t>, kterých bylo v roce 2018 zveřejněno celkem 29</w:t>
      </w:r>
      <w:r w:rsidRPr="00A966B6">
        <w:rPr>
          <w:rFonts w:cs="Arial"/>
          <w:szCs w:val="24"/>
        </w:rPr>
        <w:t>.</w:t>
      </w:r>
      <w:r w:rsidR="00C003B2">
        <w:rPr>
          <w:rFonts w:cs="Arial"/>
          <w:szCs w:val="24"/>
        </w:rPr>
        <w:t xml:space="preserve"> Tiskové zprávy se netýkaly pouze protiprávních jednání příslušníků a zaměstnanců BS, ale také informovaly o aktuální situaci a</w:t>
      </w:r>
      <w:r w:rsidR="00C003B2" w:rsidRPr="00A966B6">
        <w:rPr>
          <w:rFonts w:cs="Arial"/>
          <w:szCs w:val="24"/>
        </w:rPr>
        <w:t xml:space="preserve"> </w:t>
      </w:r>
      <w:r w:rsidR="00C003B2">
        <w:rPr>
          <w:rFonts w:cs="Arial"/>
          <w:szCs w:val="24"/>
        </w:rPr>
        <w:t xml:space="preserve">personálních změnách ve vedení GIBS. </w:t>
      </w:r>
    </w:p>
    <w:p w14:paraId="7F2D4F62" w14:textId="23489B71" w:rsidR="004C4725" w:rsidRPr="00A966B6" w:rsidRDefault="00037C7D" w:rsidP="00F73806">
      <w:pPr>
        <w:pStyle w:val="Nadpis1"/>
        <w:spacing w:before="0" w:after="251" w:line="300" w:lineRule="exact"/>
        <w:rPr>
          <w:caps w:val="0"/>
        </w:rPr>
      </w:pPr>
      <w:bookmarkStart w:id="239" w:name="_Toc2085183"/>
      <w:bookmarkStart w:id="240" w:name="_Toc2085184"/>
      <w:bookmarkStart w:id="241" w:name="_Toc2682565"/>
      <w:bookmarkEnd w:id="239"/>
      <w:r w:rsidRPr="00A966B6">
        <w:rPr>
          <w:caps w:val="0"/>
        </w:rPr>
        <w:lastRenderedPageBreak/>
        <w:t>EKONOMIKA</w:t>
      </w:r>
      <w:r w:rsidR="00FC2F63" w:rsidRPr="00A966B6">
        <w:rPr>
          <w:caps w:val="0"/>
        </w:rPr>
        <w:t xml:space="preserve"> A PERSONALISTIKA</w:t>
      </w:r>
      <w:bookmarkEnd w:id="240"/>
      <w:bookmarkEnd w:id="241"/>
    </w:p>
    <w:p w14:paraId="084B4EA7" w14:textId="77777777" w:rsidR="00861074" w:rsidRPr="00A966B6" w:rsidRDefault="00861074" w:rsidP="00F47300">
      <w:pPr>
        <w:jc w:val="both"/>
        <w:rPr>
          <w:rFonts w:cs="Arial"/>
        </w:rPr>
      </w:pPr>
      <w:r w:rsidRPr="00381D6D">
        <w:t>Za problematiku ekonomického zabezpečení na GIBS odpovídá vedoucí</w:t>
      </w:r>
      <w:r w:rsidRPr="00802E88">
        <w:t xml:space="preserve"> ekonomického odboru - hlavní ekonom. Ten přímo řídí ekonomický odbor, oddělení finančně-plánovací a oddělení správy majetku. Pracovníci těchto oddělení provádí veškeré činnosti, které vyplývají z postavení GIBS jako samostatné organizační složky státu s v</w:t>
      </w:r>
      <w:r w:rsidRPr="00D31E75">
        <w:t>lastní rozpočtovou kapitolou, a z aktuálních potřeb organizace.</w:t>
      </w:r>
    </w:p>
    <w:p w14:paraId="4A01B505" w14:textId="7408A591" w:rsidR="00084B7F" w:rsidRPr="00302422" w:rsidRDefault="00861074" w:rsidP="006E2012">
      <w:pPr>
        <w:jc w:val="both"/>
      </w:pPr>
      <w:r w:rsidRPr="00A966B6">
        <w:rPr>
          <w:rFonts w:cs="Arial"/>
          <w:szCs w:val="24"/>
        </w:rPr>
        <w:t>Hospodaření s veřejnými prostředky v letech 2016 – 2017 včetně nastavení a</w:t>
      </w:r>
      <w:r w:rsidRPr="00381D6D">
        <w:t xml:space="preserve"> funkčnosti vnitřního kontrolního systému bylo předmětem veřejnosprávní kontroly zahájené Ministerstvem financí v únoru 2018 a prováděné podle § 7 odst. 3 zákona č. 320/20001 Sb., o finanční kontrole ve veřejné správě a o změně některých zákonů (zákon o fi</w:t>
      </w:r>
      <w:r w:rsidRPr="00802E88">
        <w:t xml:space="preserve">nanční kontrole), ve znění pozdějších předpisů. Čtyři zjištěné závady, z nichž tři se týkaly ekonomického úseku, byly předány k došetření Finančnímu úřadu pro Prahu 1, který v době zpracování výroční zprávy ještě kontrolu neukončil. U ostatních závad byla </w:t>
      </w:r>
      <w:r w:rsidRPr="00D31E75">
        <w:t>bezodkladně</w:t>
      </w:r>
      <w:r w:rsidRPr="00A966B6">
        <w:rPr>
          <w:rFonts w:cs="Arial"/>
          <w:szCs w:val="24"/>
        </w:rPr>
        <w:t xml:space="preserve"> přijata opatření k nápravě nežádoucího stavu a k zamezení jejich opakování.</w:t>
      </w:r>
    </w:p>
    <w:p w14:paraId="5EB1B1C4" w14:textId="36840297" w:rsidR="00861074" w:rsidRPr="00A966B6" w:rsidRDefault="00861074" w:rsidP="006E2012">
      <w:pPr>
        <w:pStyle w:val="Nadpis2"/>
        <w:rPr>
          <w:rFonts w:cs="Arial"/>
          <w:szCs w:val="24"/>
        </w:rPr>
      </w:pPr>
      <w:bookmarkStart w:id="242" w:name="_Toc2085185"/>
      <w:bookmarkStart w:id="243" w:name="_Toc2682566"/>
      <w:r w:rsidRPr="00A966B6">
        <w:rPr>
          <w:rFonts w:cs="Arial"/>
          <w:szCs w:val="24"/>
        </w:rPr>
        <w:t>Rozpočet</w:t>
      </w:r>
      <w:bookmarkEnd w:id="242"/>
      <w:bookmarkEnd w:id="243"/>
    </w:p>
    <w:p w14:paraId="057764CD" w14:textId="0A2CCF20" w:rsidR="0029470F" w:rsidRPr="006A34EF" w:rsidRDefault="00861074" w:rsidP="00302422">
      <w:pPr>
        <w:pStyle w:val="Zkladntext"/>
        <w:tabs>
          <w:tab w:val="left" w:pos="720"/>
        </w:tabs>
        <w:spacing w:after="0" w:line="288" w:lineRule="auto"/>
        <w:jc w:val="both"/>
        <w:rPr>
          <w:rFonts w:ascii="Arial" w:hAnsi="Arial" w:cs="Arial"/>
        </w:rPr>
      </w:pPr>
      <w:r w:rsidRPr="006E2012">
        <w:rPr>
          <w:rFonts w:ascii="Arial" w:hAnsi="Arial" w:cs="Arial"/>
        </w:rPr>
        <w:t xml:space="preserve">Usnesením č. 65 ze dne 19. prosince 2017 schválila Poslanecká sněmovna Parlamentu </w:t>
      </w:r>
      <w:r w:rsidR="006A34EF">
        <w:rPr>
          <w:rFonts w:ascii="Arial" w:hAnsi="Arial" w:cs="Arial"/>
        </w:rPr>
        <w:t>ČR</w:t>
      </w:r>
      <w:r w:rsidRPr="006E2012">
        <w:rPr>
          <w:rFonts w:ascii="Arial" w:hAnsi="Arial" w:cs="Arial"/>
        </w:rPr>
        <w:t xml:space="preserve"> zákon o státním rozpočtu </w:t>
      </w:r>
      <w:r w:rsidR="006A34EF">
        <w:rPr>
          <w:rFonts w:ascii="Arial" w:hAnsi="Arial" w:cs="Arial"/>
        </w:rPr>
        <w:t>ČR</w:t>
      </w:r>
      <w:r w:rsidRPr="006E2012">
        <w:rPr>
          <w:rFonts w:ascii="Arial" w:hAnsi="Arial" w:cs="Arial"/>
        </w:rPr>
        <w:t xml:space="preserve"> na rok 2018. Pro kapitolu 376 - Generální inspekce bezpečnostních sborů byl schválen celkový objem příjmů ve výši 65.519.242 Kč a celkový objem výdajů ve výši 397.380.643 Kč.</w:t>
      </w:r>
    </w:p>
    <w:p w14:paraId="5062BFF3" w14:textId="77777777" w:rsidR="0029470F" w:rsidRPr="006E2012" w:rsidRDefault="0029470F">
      <w:pPr>
        <w:pStyle w:val="Zkladntext"/>
        <w:tabs>
          <w:tab w:val="left" w:pos="720"/>
        </w:tabs>
        <w:spacing w:after="0" w:line="288" w:lineRule="auto"/>
        <w:jc w:val="both"/>
        <w:rPr>
          <w:rFonts w:ascii="Arial" w:hAnsi="Arial" w:cs="Arial"/>
        </w:rPr>
      </w:pPr>
    </w:p>
    <w:p w14:paraId="3B3E4881" w14:textId="1E957284" w:rsidR="006E2012" w:rsidRDefault="00861074" w:rsidP="006E2012">
      <w:pPr>
        <w:pStyle w:val="Zkladntext"/>
        <w:tabs>
          <w:tab w:val="left" w:pos="720"/>
        </w:tabs>
        <w:spacing w:after="0" w:line="288" w:lineRule="auto"/>
        <w:jc w:val="both"/>
        <w:rPr>
          <w:rFonts w:ascii="Arial" w:hAnsi="Arial" w:cs="Arial"/>
        </w:rPr>
      </w:pPr>
      <w:r w:rsidRPr="006E2012">
        <w:rPr>
          <w:rFonts w:ascii="Arial" w:hAnsi="Arial" w:cs="Arial"/>
        </w:rPr>
        <w:t>Na konci II. čtvrtletí byl rozpočet kapitoly zvýšen o částku 162.500 Kč na úkor rozpočtu kapitoly 314 – Ministerstvo vnitra na realizaci projektů Bezpečnostní rozvojové spolupráce v roce 2018.</w:t>
      </w:r>
    </w:p>
    <w:p w14:paraId="6656F6CF" w14:textId="77777777" w:rsidR="00F0212E" w:rsidRPr="006E2012" w:rsidRDefault="00F0212E" w:rsidP="006E2012">
      <w:pPr>
        <w:pStyle w:val="Zkladntext"/>
        <w:tabs>
          <w:tab w:val="left" w:pos="720"/>
        </w:tabs>
        <w:spacing w:after="0" w:line="288" w:lineRule="auto"/>
        <w:jc w:val="both"/>
        <w:rPr>
          <w:rFonts w:ascii="Arial" w:hAnsi="Arial" w:cs="Arial"/>
        </w:rPr>
      </w:pPr>
    </w:p>
    <w:p w14:paraId="297AAA97" w14:textId="0B89A9A8" w:rsidR="0029470F" w:rsidRPr="006E2012" w:rsidRDefault="00861074" w:rsidP="006E2012">
      <w:pPr>
        <w:pStyle w:val="Zkladntext"/>
        <w:tabs>
          <w:tab w:val="left" w:pos="720"/>
        </w:tabs>
        <w:spacing w:after="0" w:line="288" w:lineRule="auto"/>
        <w:jc w:val="both"/>
        <w:rPr>
          <w:rFonts w:ascii="Arial" w:hAnsi="Arial" w:cs="Arial"/>
        </w:rPr>
      </w:pPr>
      <w:r w:rsidRPr="006E2012">
        <w:rPr>
          <w:rFonts w:ascii="Arial" w:hAnsi="Arial" w:cs="Arial"/>
        </w:rPr>
        <w:t>V průběhu III. čtvrtletí byl rozpočet kapitoly, na základě usnesení vlády č. 352 ze dne 6. června 2018 snížen o částku 2.000.000,- Kč ve prospěch rozpočtu kapitoly 333 – Ministerstvo školství, mládeže a tělovýchovy na dofinancování rozpočtu regionálního školství a podporu lékařských fakult.</w:t>
      </w:r>
    </w:p>
    <w:p w14:paraId="61EF2BAF" w14:textId="77777777" w:rsidR="0029470F" w:rsidRPr="006E2012" w:rsidRDefault="0029470F" w:rsidP="006E2012">
      <w:pPr>
        <w:pStyle w:val="Zkladntext"/>
        <w:tabs>
          <w:tab w:val="left" w:pos="720"/>
        </w:tabs>
        <w:spacing w:after="0" w:line="288" w:lineRule="auto"/>
        <w:jc w:val="both"/>
        <w:rPr>
          <w:rFonts w:ascii="Arial" w:hAnsi="Arial" w:cs="Arial"/>
        </w:rPr>
      </w:pPr>
    </w:p>
    <w:p w14:paraId="54D8B973" w14:textId="06A8EE2F" w:rsidR="0029470F" w:rsidRPr="006E2012" w:rsidRDefault="00861074" w:rsidP="006E2012">
      <w:pPr>
        <w:pStyle w:val="Zkladntext"/>
        <w:tabs>
          <w:tab w:val="left" w:pos="720"/>
        </w:tabs>
        <w:spacing w:after="0" w:line="288" w:lineRule="auto"/>
        <w:jc w:val="both"/>
        <w:rPr>
          <w:rFonts w:ascii="Arial" w:hAnsi="Arial" w:cs="Arial"/>
        </w:rPr>
      </w:pPr>
      <w:r w:rsidRPr="006E2012">
        <w:rPr>
          <w:rFonts w:ascii="Arial" w:hAnsi="Arial" w:cs="Arial"/>
        </w:rPr>
        <w:t xml:space="preserve">V průběhu IV. čtvrtletí byl rozpočet kapitoly navýšen o částku 12.342.000 Kč, na vrub kapitoly 398 – Všeobecná pokladní správa, položka Vládní rozpočtová rezerva, která byla účelově určena na „sociální dávky“. Konkrétně byly navýšeny výdaje na odchodné o částku 6.210.000 Kč a na výplatu výsluhového příspěvku o částku 6.132.000 Kč.    </w:t>
      </w:r>
    </w:p>
    <w:p w14:paraId="194F5D0D" w14:textId="314760A1" w:rsidR="0029470F" w:rsidRPr="006E2012" w:rsidRDefault="00861074" w:rsidP="00F1718F">
      <w:pPr>
        <w:pStyle w:val="Zkladntext"/>
        <w:tabs>
          <w:tab w:val="left" w:pos="720"/>
        </w:tabs>
        <w:spacing w:after="0" w:line="288" w:lineRule="auto"/>
        <w:jc w:val="both"/>
        <w:rPr>
          <w:rFonts w:ascii="Arial" w:hAnsi="Arial" w:cs="Arial"/>
        </w:rPr>
      </w:pPr>
      <w:r w:rsidRPr="006E2012">
        <w:rPr>
          <w:rFonts w:ascii="Arial" w:hAnsi="Arial" w:cs="Arial"/>
        </w:rPr>
        <w:t xml:space="preserve">V průběhu roku byly zapojeny nároky z nespotřebovaných výdajů ve výši 6.653.431,40 Kč, takže Konečný rozpočet výdajů byl ve výši </w:t>
      </w:r>
      <w:r w:rsidRPr="006E2012">
        <w:rPr>
          <w:rFonts w:ascii="Arial" w:hAnsi="Arial" w:cs="Arial"/>
          <w:b/>
        </w:rPr>
        <w:t>414.502.407,87 Kč</w:t>
      </w:r>
      <w:r w:rsidRPr="006E2012">
        <w:rPr>
          <w:rFonts w:ascii="Arial" w:hAnsi="Arial" w:cs="Arial"/>
        </w:rPr>
        <w:t>.</w:t>
      </w:r>
    </w:p>
    <w:p w14:paraId="14B18142" w14:textId="77777777" w:rsidR="0029470F" w:rsidRPr="006E2012" w:rsidRDefault="0029470F" w:rsidP="00F1718F">
      <w:pPr>
        <w:pStyle w:val="Zkladntext"/>
        <w:tabs>
          <w:tab w:val="left" w:pos="720"/>
        </w:tabs>
        <w:spacing w:after="0" w:line="288" w:lineRule="auto"/>
        <w:jc w:val="both"/>
        <w:rPr>
          <w:rFonts w:ascii="Arial" w:hAnsi="Arial" w:cs="Arial"/>
        </w:rPr>
      </w:pPr>
    </w:p>
    <w:p w14:paraId="08F19A4A" w14:textId="77777777" w:rsidR="00861074" w:rsidRPr="00381D6D" w:rsidRDefault="00861074" w:rsidP="00F1718F">
      <w:pPr>
        <w:pStyle w:val="Zkladntext"/>
        <w:tabs>
          <w:tab w:val="left" w:pos="720"/>
        </w:tabs>
        <w:spacing w:after="0" w:line="288" w:lineRule="auto"/>
        <w:jc w:val="both"/>
      </w:pPr>
      <w:r w:rsidRPr="006E2012">
        <w:rPr>
          <w:rFonts w:ascii="Arial" w:hAnsi="Arial" w:cs="Arial"/>
        </w:rPr>
        <w:lastRenderedPageBreak/>
        <w:t>Celkové výdaje za rok 2018 dosahují 108,36 % roku 2017, z toho běžné výdaje představují 113,64 % výše běžných výdajů roku 2017 a kapitálové</w:t>
      </w:r>
      <w:r w:rsidRPr="00F1718F">
        <w:rPr>
          <w:rFonts w:ascii="Arial" w:hAnsi="Arial"/>
        </w:rPr>
        <w:t xml:space="preserve"> výdaje dosahují 22,44 % kapitálových výdajů roku 2017.</w:t>
      </w:r>
    </w:p>
    <w:p w14:paraId="37B8B2D8" w14:textId="77777777" w:rsidR="00861074" w:rsidRPr="00A966B6" w:rsidRDefault="00861074" w:rsidP="00861074">
      <w:pPr>
        <w:shd w:val="clear" w:color="auto" w:fill="FDFDFE"/>
        <w:spacing w:after="0" w:line="264" w:lineRule="auto"/>
        <w:ind w:left="360"/>
        <w:jc w:val="both"/>
        <w:rPr>
          <w:rFonts w:cs="Arial"/>
          <w:szCs w:val="24"/>
        </w:rPr>
      </w:pPr>
    </w:p>
    <w:p w14:paraId="43B1D785" w14:textId="664CA77F" w:rsidR="00861074" w:rsidRPr="00A966B6" w:rsidRDefault="00861074" w:rsidP="00861074">
      <w:pPr>
        <w:shd w:val="clear" w:color="auto" w:fill="FDFDFE"/>
        <w:spacing w:after="251" w:line="300" w:lineRule="exact"/>
        <w:jc w:val="both"/>
        <w:rPr>
          <w:rFonts w:cs="Arial"/>
          <w:i/>
          <w:szCs w:val="24"/>
        </w:rPr>
      </w:pPr>
      <w:r w:rsidRPr="00A966B6">
        <w:rPr>
          <w:rFonts w:cs="Arial"/>
          <w:i/>
          <w:szCs w:val="24"/>
        </w:rPr>
        <w:t xml:space="preserve">Tabulka č. </w:t>
      </w:r>
      <w:r w:rsidR="00A52084">
        <w:rPr>
          <w:rFonts w:cs="Arial"/>
          <w:i/>
          <w:szCs w:val="24"/>
        </w:rPr>
        <w:t>6</w:t>
      </w:r>
      <w:r w:rsidRPr="00A966B6">
        <w:rPr>
          <w:rFonts w:cs="Arial"/>
          <w:i/>
          <w:szCs w:val="24"/>
        </w:rPr>
        <w:t xml:space="preserve">: </w:t>
      </w:r>
      <w:r w:rsidRPr="00A966B6">
        <w:rPr>
          <w:rFonts w:cs="Arial"/>
          <w:b/>
          <w:i/>
          <w:szCs w:val="24"/>
        </w:rPr>
        <w:t xml:space="preserve">Rozpočet GIBS v roce 2018 (Kapitola </w:t>
      </w:r>
      <w:proofErr w:type="gramStart"/>
      <w:r w:rsidRPr="00A966B6">
        <w:rPr>
          <w:rFonts w:cs="Arial"/>
          <w:b/>
          <w:i/>
          <w:szCs w:val="24"/>
        </w:rPr>
        <w:t>376)</w:t>
      </w:r>
      <w:r w:rsidRPr="00A966B6">
        <w:rPr>
          <w:rFonts w:cs="Arial"/>
          <w:i/>
          <w:szCs w:val="24"/>
        </w:rPr>
        <w:t>(</w:t>
      </w:r>
      <w:proofErr w:type="gramEnd"/>
      <w:r w:rsidRPr="00A966B6">
        <w:rPr>
          <w:rFonts w:cs="Arial"/>
          <w:i/>
          <w:szCs w:val="24"/>
        </w:rPr>
        <w:t>v tis. Kč)</w:t>
      </w:r>
    </w:p>
    <w:tbl>
      <w:tblPr>
        <w:tblW w:w="8866" w:type="dxa"/>
        <w:tblInd w:w="60" w:type="dxa"/>
        <w:tblCellMar>
          <w:left w:w="70" w:type="dxa"/>
          <w:right w:w="70" w:type="dxa"/>
        </w:tblCellMar>
        <w:tblLook w:val="04A0" w:firstRow="1" w:lastRow="0" w:firstColumn="1" w:lastColumn="0" w:noHBand="0" w:noVBand="1"/>
      </w:tblPr>
      <w:tblGrid>
        <w:gridCol w:w="2651"/>
        <w:gridCol w:w="1267"/>
        <w:gridCol w:w="1267"/>
        <w:gridCol w:w="1267"/>
        <w:gridCol w:w="1267"/>
        <w:gridCol w:w="1272"/>
      </w:tblGrid>
      <w:tr w:rsidR="00A966B6" w:rsidRPr="00A966B6" w14:paraId="63C61625" w14:textId="77777777" w:rsidTr="00A966B6">
        <w:trPr>
          <w:trHeight w:val="600"/>
        </w:trPr>
        <w:tc>
          <w:tcPr>
            <w:tcW w:w="2659" w:type="dxa"/>
            <w:tcBorders>
              <w:top w:val="single" w:sz="8" w:space="0" w:color="auto"/>
              <w:left w:val="single" w:sz="8" w:space="0" w:color="auto"/>
              <w:bottom w:val="double" w:sz="6" w:space="0" w:color="auto"/>
              <w:right w:val="single" w:sz="4" w:space="0" w:color="auto"/>
            </w:tcBorders>
            <w:noWrap/>
            <w:vAlign w:val="center"/>
            <w:hideMark/>
          </w:tcPr>
          <w:p w14:paraId="18A5D4FF" w14:textId="77777777" w:rsidR="00861074" w:rsidRPr="00A966B6" w:rsidRDefault="00861074" w:rsidP="00A966B6">
            <w:pPr>
              <w:spacing w:after="0" w:line="240" w:lineRule="auto"/>
              <w:rPr>
                <w:rFonts w:cs="Arial"/>
                <w:b/>
                <w:szCs w:val="24"/>
              </w:rPr>
            </w:pPr>
            <w:r w:rsidRPr="00A966B6">
              <w:rPr>
                <w:rFonts w:cs="Arial"/>
                <w:b/>
                <w:szCs w:val="24"/>
              </w:rPr>
              <w:t>Základní ukazatele</w:t>
            </w:r>
          </w:p>
        </w:tc>
        <w:tc>
          <w:tcPr>
            <w:tcW w:w="1270" w:type="dxa"/>
            <w:tcBorders>
              <w:top w:val="single" w:sz="8" w:space="0" w:color="auto"/>
              <w:left w:val="nil"/>
              <w:bottom w:val="double" w:sz="6" w:space="0" w:color="auto"/>
              <w:right w:val="single" w:sz="4" w:space="0" w:color="auto"/>
            </w:tcBorders>
            <w:noWrap/>
            <w:vAlign w:val="center"/>
            <w:hideMark/>
          </w:tcPr>
          <w:p w14:paraId="2CE8FFA6" w14:textId="77777777" w:rsidR="00861074" w:rsidRPr="00A966B6" w:rsidRDefault="00861074" w:rsidP="00A966B6">
            <w:pPr>
              <w:spacing w:after="0" w:line="240" w:lineRule="auto"/>
              <w:jc w:val="center"/>
              <w:rPr>
                <w:rFonts w:cs="Arial"/>
                <w:b/>
                <w:szCs w:val="24"/>
              </w:rPr>
            </w:pPr>
            <w:r w:rsidRPr="00A966B6">
              <w:rPr>
                <w:rFonts w:cs="Arial"/>
                <w:b/>
                <w:szCs w:val="24"/>
              </w:rPr>
              <w:t>2015</w:t>
            </w:r>
          </w:p>
        </w:tc>
        <w:tc>
          <w:tcPr>
            <w:tcW w:w="1270" w:type="dxa"/>
            <w:tcBorders>
              <w:top w:val="single" w:sz="8" w:space="0" w:color="auto"/>
              <w:left w:val="nil"/>
              <w:bottom w:val="double" w:sz="6" w:space="0" w:color="auto"/>
              <w:right w:val="single" w:sz="4" w:space="0" w:color="auto"/>
            </w:tcBorders>
            <w:noWrap/>
            <w:vAlign w:val="center"/>
            <w:hideMark/>
          </w:tcPr>
          <w:p w14:paraId="01A441F3" w14:textId="77777777" w:rsidR="00861074" w:rsidRPr="00A966B6" w:rsidRDefault="00861074" w:rsidP="00A966B6">
            <w:pPr>
              <w:spacing w:after="0" w:line="240" w:lineRule="auto"/>
              <w:jc w:val="center"/>
              <w:rPr>
                <w:rFonts w:cs="Arial"/>
                <w:b/>
                <w:szCs w:val="24"/>
              </w:rPr>
            </w:pPr>
            <w:r w:rsidRPr="00A966B6">
              <w:rPr>
                <w:rFonts w:cs="Arial"/>
                <w:b/>
                <w:szCs w:val="24"/>
              </w:rPr>
              <w:t>2016</w:t>
            </w:r>
          </w:p>
        </w:tc>
        <w:tc>
          <w:tcPr>
            <w:tcW w:w="1270" w:type="dxa"/>
            <w:tcBorders>
              <w:top w:val="single" w:sz="8" w:space="0" w:color="auto"/>
              <w:left w:val="nil"/>
              <w:bottom w:val="double" w:sz="6" w:space="0" w:color="auto"/>
              <w:right w:val="single" w:sz="4" w:space="0" w:color="auto"/>
            </w:tcBorders>
            <w:noWrap/>
            <w:vAlign w:val="center"/>
            <w:hideMark/>
          </w:tcPr>
          <w:p w14:paraId="1582B510" w14:textId="77777777" w:rsidR="00861074" w:rsidRPr="00A966B6" w:rsidRDefault="00861074" w:rsidP="00A966B6">
            <w:pPr>
              <w:spacing w:after="0" w:line="240" w:lineRule="auto"/>
              <w:jc w:val="center"/>
              <w:rPr>
                <w:rFonts w:cs="Arial"/>
                <w:b/>
                <w:szCs w:val="24"/>
              </w:rPr>
            </w:pPr>
            <w:r w:rsidRPr="00A966B6">
              <w:rPr>
                <w:rFonts w:cs="Arial"/>
                <w:b/>
                <w:szCs w:val="24"/>
              </w:rPr>
              <w:t>2017</w:t>
            </w:r>
          </w:p>
        </w:tc>
        <w:tc>
          <w:tcPr>
            <w:tcW w:w="1270" w:type="dxa"/>
            <w:tcBorders>
              <w:top w:val="single" w:sz="8" w:space="0" w:color="auto"/>
              <w:left w:val="nil"/>
              <w:bottom w:val="double" w:sz="6" w:space="0" w:color="auto"/>
              <w:right w:val="single" w:sz="4" w:space="0" w:color="auto"/>
            </w:tcBorders>
            <w:noWrap/>
            <w:vAlign w:val="center"/>
            <w:hideMark/>
          </w:tcPr>
          <w:p w14:paraId="5268D99D" w14:textId="77777777" w:rsidR="00861074" w:rsidRPr="00A966B6" w:rsidRDefault="00861074" w:rsidP="00A966B6">
            <w:pPr>
              <w:spacing w:after="0" w:line="240" w:lineRule="auto"/>
              <w:jc w:val="center"/>
              <w:rPr>
                <w:rFonts w:cs="Arial"/>
                <w:b/>
                <w:szCs w:val="24"/>
              </w:rPr>
            </w:pPr>
            <w:r w:rsidRPr="00A966B6">
              <w:rPr>
                <w:rFonts w:cs="Arial"/>
                <w:b/>
                <w:szCs w:val="24"/>
              </w:rPr>
              <w:t>2018</w:t>
            </w:r>
          </w:p>
        </w:tc>
        <w:tc>
          <w:tcPr>
            <w:tcW w:w="1127" w:type="dxa"/>
            <w:tcBorders>
              <w:top w:val="single" w:sz="8" w:space="0" w:color="auto"/>
              <w:left w:val="nil"/>
              <w:bottom w:val="double" w:sz="6" w:space="0" w:color="auto"/>
              <w:right w:val="single" w:sz="8" w:space="0" w:color="auto"/>
            </w:tcBorders>
            <w:vAlign w:val="center"/>
            <w:hideMark/>
          </w:tcPr>
          <w:p w14:paraId="1B714739" w14:textId="77777777" w:rsidR="00861074" w:rsidRPr="00A966B6" w:rsidRDefault="00861074" w:rsidP="00A966B6">
            <w:pPr>
              <w:spacing w:after="0" w:line="240" w:lineRule="auto"/>
              <w:jc w:val="center"/>
              <w:rPr>
                <w:rFonts w:cs="Arial"/>
                <w:b/>
                <w:szCs w:val="24"/>
              </w:rPr>
            </w:pPr>
            <w:r w:rsidRPr="00A966B6">
              <w:rPr>
                <w:rFonts w:cs="Arial"/>
                <w:b/>
                <w:szCs w:val="24"/>
              </w:rPr>
              <w:t>Index 2018/2017</w:t>
            </w:r>
          </w:p>
        </w:tc>
      </w:tr>
      <w:tr w:rsidR="00A966B6" w:rsidRPr="00A966B6" w14:paraId="7FD4172B" w14:textId="77777777" w:rsidTr="00A966B6">
        <w:trPr>
          <w:trHeight w:val="499"/>
        </w:trPr>
        <w:tc>
          <w:tcPr>
            <w:tcW w:w="2659" w:type="dxa"/>
            <w:tcBorders>
              <w:top w:val="nil"/>
              <w:left w:val="single" w:sz="8" w:space="0" w:color="auto"/>
              <w:bottom w:val="single" w:sz="4" w:space="0" w:color="auto"/>
              <w:right w:val="single" w:sz="4" w:space="0" w:color="auto"/>
            </w:tcBorders>
            <w:vAlign w:val="center"/>
            <w:hideMark/>
          </w:tcPr>
          <w:p w14:paraId="414C6B5F" w14:textId="77777777" w:rsidR="00861074" w:rsidRPr="00A966B6" w:rsidRDefault="00861074" w:rsidP="00A966B6">
            <w:pPr>
              <w:spacing w:after="0" w:line="240" w:lineRule="auto"/>
              <w:rPr>
                <w:rFonts w:cs="Arial"/>
                <w:szCs w:val="24"/>
              </w:rPr>
            </w:pPr>
            <w:r w:rsidRPr="00A966B6">
              <w:rPr>
                <w:rFonts w:cs="Arial"/>
                <w:szCs w:val="24"/>
              </w:rPr>
              <w:t>Příjmy celkem</w:t>
            </w:r>
          </w:p>
        </w:tc>
        <w:tc>
          <w:tcPr>
            <w:tcW w:w="1270" w:type="dxa"/>
            <w:tcBorders>
              <w:top w:val="nil"/>
              <w:left w:val="nil"/>
              <w:bottom w:val="single" w:sz="4" w:space="0" w:color="auto"/>
              <w:right w:val="single" w:sz="4" w:space="0" w:color="auto"/>
            </w:tcBorders>
            <w:noWrap/>
            <w:vAlign w:val="center"/>
            <w:hideMark/>
          </w:tcPr>
          <w:p w14:paraId="2BC004DD" w14:textId="77777777" w:rsidR="00861074" w:rsidRPr="00A966B6" w:rsidRDefault="00861074" w:rsidP="00A966B6">
            <w:pPr>
              <w:spacing w:after="0" w:line="240" w:lineRule="auto"/>
              <w:jc w:val="right"/>
              <w:rPr>
                <w:rFonts w:cs="Arial"/>
                <w:szCs w:val="24"/>
              </w:rPr>
            </w:pPr>
            <w:r w:rsidRPr="00A966B6">
              <w:rPr>
                <w:rFonts w:cs="Arial"/>
                <w:szCs w:val="24"/>
              </w:rPr>
              <w:t>43 486,87</w:t>
            </w:r>
          </w:p>
        </w:tc>
        <w:tc>
          <w:tcPr>
            <w:tcW w:w="1270" w:type="dxa"/>
            <w:tcBorders>
              <w:top w:val="nil"/>
              <w:left w:val="nil"/>
              <w:bottom w:val="single" w:sz="4" w:space="0" w:color="auto"/>
              <w:right w:val="single" w:sz="4" w:space="0" w:color="auto"/>
            </w:tcBorders>
            <w:noWrap/>
            <w:vAlign w:val="center"/>
            <w:hideMark/>
          </w:tcPr>
          <w:p w14:paraId="0087549A" w14:textId="77777777" w:rsidR="00861074" w:rsidRPr="00A966B6" w:rsidRDefault="00861074" w:rsidP="00A966B6">
            <w:pPr>
              <w:spacing w:after="0" w:line="240" w:lineRule="auto"/>
              <w:jc w:val="right"/>
              <w:rPr>
                <w:rFonts w:cs="Arial"/>
                <w:szCs w:val="24"/>
              </w:rPr>
            </w:pPr>
            <w:r w:rsidRPr="00A966B6">
              <w:rPr>
                <w:rFonts w:cs="Arial"/>
                <w:szCs w:val="24"/>
              </w:rPr>
              <w:t>44 834,48</w:t>
            </w:r>
          </w:p>
        </w:tc>
        <w:tc>
          <w:tcPr>
            <w:tcW w:w="1270" w:type="dxa"/>
            <w:tcBorders>
              <w:top w:val="nil"/>
              <w:left w:val="nil"/>
              <w:bottom w:val="single" w:sz="4" w:space="0" w:color="auto"/>
              <w:right w:val="single" w:sz="4" w:space="0" w:color="auto"/>
            </w:tcBorders>
            <w:noWrap/>
            <w:vAlign w:val="center"/>
            <w:hideMark/>
          </w:tcPr>
          <w:p w14:paraId="62C541E7" w14:textId="77777777" w:rsidR="00861074" w:rsidRPr="00A966B6" w:rsidRDefault="00861074" w:rsidP="00A966B6">
            <w:pPr>
              <w:spacing w:after="0" w:line="240" w:lineRule="auto"/>
              <w:jc w:val="right"/>
              <w:rPr>
                <w:rFonts w:cs="Arial"/>
                <w:szCs w:val="24"/>
              </w:rPr>
            </w:pPr>
            <w:r w:rsidRPr="00A966B6">
              <w:rPr>
                <w:rFonts w:cs="Arial"/>
                <w:szCs w:val="24"/>
              </w:rPr>
              <w:t>58 390,39</w:t>
            </w:r>
          </w:p>
        </w:tc>
        <w:tc>
          <w:tcPr>
            <w:tcW w:w="1270" w:type="dxa"/>
            <w:tcBorders>
              <w:top w:val="nil"/>
              <w:left w:val="nil"/>
              <w:bottom w:val="single" w:sz="4" w:space="0" w:color="auto"/>
              <w:right w:val="single" w:sz="4" w:space="0" w:color="auto"/>
            </w:tcBorders>
            <w:noWrap/>
            <w:vAlign w:val="center"/>
            <w:hideMark/>
          </w:tcPr>
          <w:p w14:paraId="447E3055" w14:textId="77777777" w:rsidR="00861074" w:rsidRPr="00A966B6" w:rsidRDefault="00861074" w:rsidP="00A966B6">
            <w:pPr>
              <w:spacing w:after="0" w:line="240" w:lineRule="auto"/>
              <w:jc w:val="right"/>
              <w:rPr>
                <w:rFonts w:cs="Arial"/>
                <w:szCs w:val="24"/>
              </w:rPr>
            </w:pPr>
            <w:r w:rsidRPr="00A966B6">
              <w:rPr>
                <w:rFonts w:cs="Arial"/>
                <w:szCs w:val="24"/>
              </w:rPr>
              <w:t>65 924,67</w:t>
            </w:r>
          </w:p>
        </w:tc>
        <w:tc>
          <w:tcPr>
            <w:tcW w:w="1127" w:type="dxa"/>
            <w:tcBorders>
              <w:top w:val="nil"/>
              <w:left w:val="nil"/>
              <w:bottom w:val="single" w:sz="4" w:space="0" w:color="auto"/>
              <w:right w:val="single" w:sz="8" w:space="0" w:color="auto"/>
            </w:tcBorders>
            <w:noWrap/>
            <w:vAlign w:val="center"/>
            <w:hideMark/>
          </w:tcPr>
          <w:p w14:paraId="38110405" w14:textId="77777777" w:rsidR="00861074" w:rsidRPr="00A966B6" w:rsidRDefault="00861074" w:rsidP="00A966B6">
            <w:pPr>
              <w:spacing w:after="0" w:line="240" w:lineRule="auto"/>
              <w:jc w:val="center"/>
              <w:rPr>
                <w:rFonts w:cs="Arial"/>
                <w:szCs w:val="24"/>
              </w:rPr>
            </w:pPr>
            <w:r w:rsidRPr="00A966B6">
              <w:rPr>
                <w:rFonts w:cs="Arial"/>
                <w:szCs w:val="24"/>
              </w:rPr>
              <w:t>112,90%</w:t>
            </w:r>
          </w:p>
        </w:tc>
      </w:tr>
      <w:tr w:rsidR="00A966B6" w:rsidRPr="00A966B6" w14:paraId="07B93055" w14:textId="77777777" w:rsidTr="00A966B6">
        <w:trPr>
          <w:trHeight w:val="499"/>
        </w:trPr>
        <w:tc>
          <w:tcPr>
            <w:tcW w:w="2659" w:type="dxa"/>
            <w:tcBorders>
              <w:top w:val="nil"/>
              <w:left w:val="single" w:sz="8" w:space="0" w:color="auto"/>
              <w:bottom w:val="single" w:sz="4" w:space="0" w:color="auto"/>
              <w:right w:val="single" w:sz="4" w:space="0" w:color="auto"/>
            </w:tcBorders>
            <w:vAlign w:val="center"/>
            <w:hideMark/>
          </w:tcPr>
          <w:p w14:paraId="0689C748" w14:textId="77777777" w:rsidR="00861074" w:rsidRPr="00A966B6" w:rsidRDefault="00861074" w:rsidP="00A966B6">
            <w:pPr>
              <w:spacing w:after="0" w:line="240" w:lineRule="auto"/>
              <w:rPr>
                <w:rFonts w:cs="Arial"/>
                <w:szCs w:val="24"/>
              </w:rPr>
            </w:pPr>
            <w:r w:rsidRPr="00A966B6">
              <w:rPr>
                <w:rFonts w:cs="Arial"/>
                <w:szCs w:val="24"/>
              </w:rPr>
              <w:t>Výdaje celkem</w:t>
            </w:r>
          </w:p>
        </w:tc>
        <w:tc>
          <w:tcPr>
            <w:tcW w:w="1270" w:type="dxa"/>
            <w:tcBorders>
              <w:top w:val="nil"/>
              <w:left w:val="nil"/>
              <w:bottom w:val="single" w:sz="4" w:space="0" w:color="auto"/>
              <w:right w:val="single" w:sz="4" w:space="0" w:color="auto"/>
            </w:tcBorders>
            <w:noWrap/>
            <w:vAlign w:val="center"/>
            <w:hideMark/>
          </w:tcPr>
          <w:p w14:paraId="6EAED5F7" w14:textId="77777777" w:rsidR="00861074" w:rsidRPr="00A966B6" w:rsidRDefault="00861074" w:rsidP="00A966B6">
            <w:pPr>
              <w:spacing w:after="0" w:line="240" w:lineRule="auto"/>
              <w:jc w:val="right"/>
              <w:rPr>
                <w:rFonts w:cs="Arial"/>
                <w:szCs w:val="24"/>
              </w:rPr>
            </w:pPr>
            <w:r w:rsidRPr="00A966B6">
              <w:rPr>
                <w:rFonts w:cs="Arial"/>
                <w:szCs w:val="24"/>
              </w:rPr>
              <w:t>270 490,91</w:t>
            </w:r>
          </w:p>
        </w:tc>
        <w:tc>
          <w:tcPr>
            <w:tcW w:w="1270" w:type="dxa"/>
            <w:tcBorders>
              <w:top w:val="nil"/>
              <w:left w:val="nil"/>
              <w:bottom w:val="single" w:sz="4" w:space="0" w:color="auto"/>
              <w:right w:val="single" w:sz="4" w:space="0" w:color="auto"/>
            </w:tcBorders>
            <w:noWrap/>
            <w:vAlign w:val="center"/>
            <w:hideMark/>
          </w:tcPr>
          <w:p w14:paraId="44536981" w14:textId="77777777" w:rsidR="00861074" w:rsidRPr="00A966B6" w:rsidRDefault="00861074" w:rsidP="00A966B6">
            <w:pPr>
              <w:spacing w:after="0" w:line="240" w:lineRule="auto"/>
              <w:jc w:val="right"/>
              <w:rPr>
                <w:rFonts w:cs="Arial"/>
                <w:szCs w:val="24"/>
              </w:rPr>
            </w:pPr>
            <w:r w:rsidRPr="00A966B6">
              <w:rPr>
                <w:rFonts w:cs="Arial"/>
                <w:szCs w:val="24"/>
              </w:rPr>
              <w:t>282 522,69</w:t>
            </w:r>
          </w:p>
        </w:tc>
        <w:tc>
          <w:tcPr>
            <w:tcW w:w="1270" w:type="dxa"/>
            <w:tcBorders>
              <w:top w:val="nil"/>
              <w:left w:val="nil"/>
              <w:bottom w:val="single" w:sz="4" w:space="0" w:color="auto"/>
              <w:right w:val="single" w:sz="4" w:space="0" w:color="auto"/>
            </w:tcBorders>
            <w:noWrap/>
            <w:vAlign w:val="center"/>
            <w:hideMark/>
          </w:tcPr>
          <w:p w14:paraId="4F034E9B" w14:textId="77777777" w:rsidR="00861074" w:rsidRPr="00A966B6" w:rsidRDefault="00861074" w:rsidP="00A966B6">
            <w:pPr>
              <w:spacing w:after="0" w:line="240" w:lineRule="auto"/>
              <w:jc w:val="right"/>
              <w:rPr>
                <w:rFonts w:cs="Arial"/>
                <w:szCs w:val="24"/>
              </w:rPr>
            </w:pPr>
            <w:r w:rsidRPr="00A966B6">
              <w:rPr>
                <w:rFonts w:cs="Arial"/>
                <w:szCs w:val="24"/>
              </w:rPr>
              <w:t>374 944,52</w:t>
            </w:r>
          </w:p>
        </w:tc>
        <w:tc>
          <w:tcPr>
            <w:tcW w:w="1270" w:type="dxa"/>
            <w:tcBorders>
              <w:top w:val="nil"/>
              <w:left w:val="nil"/>
              <w:bottom w:val="single" w:sz="4" w:space="0" w:color="auto"/>
              <w:right w:val="single" w:sz="4" w:space="0" w:color="auto"/>
            </w:tcBorders>
            <w:noWrap/>
            <w:vAlign w:val="center"/>
            <w:hideMark/>
          </w:tcPr>
          <w:p w14:paraId="4CEB7ADB" w14:textId="77777777" w:rsidR="00861074" w:rsidRPr="00A966B6" w:rsidRDefault="00861074" w:rsidP="00A966B6">
            <w:pPr>
              <w:spacing w:after="0" w:line="240" w:lineRule="auto"/>
              <w:jc w:val="right"/>
              <w:rPr>
                <w:rFonts w:cs="Arial"/>
                <w:szCs w:val="24"/>
              </w:rPr>
            </w:pPr>
            <w:r w:rsidRPr="00A966B6">
              <w:rPr>
                <w:rFonts w:cs="Arial"/>
                <w:szCs w:val="24"/>
              </w:rPr>
              <w:t>406 274,93</w:t>
            </w:r>
          </w:p>
        </w:tc>
        <w:tc>
          <w:tcPr>
            <w:tcW w:w="1127" w:type="dxa"/>
            <w:tcBorders>
              <w:top w:val="nil"/>
              <w:left w:val="nil"/>
              <w:bottom w:val="single" w:sz="4" w:space="0" w:color="auto"/>
              <w:right w:val="single" w:sz="8" w:space="0" w:color="auto"/>
            </w:tcBorders>
            <w:noWrap/>
            <w:vAlign w:val="center"/>
            <w:hideMark/>
          </w:tcPr>
          <w:p w14:paraId="00D508A4" w14:textId="77777777" w:rsidR="00861074" w:rsidRPr="00A966B6" w:rsidRDefault="00861074" w:rsidP="00A966B6">
            <w:pPr>
              <w:spacing w:after="0" w:line="240" w:lineRule="auto"/>
              <w:jc w:val="center"/>
              <w:rPr>
                <w:rFonts w:cs="Arial"/>
                <w:szCs w:val="24"/>
              </w:rPr>
            </w:pPr>
            <w:r w:rsidRPr="00A966B6">
              <w:rPr>
                <w:rFonts w:cs="Arial"/>
                <w:szCs w:val="24"/>
              </w:rPr>
              <w:t>108,36%</w:t>
            </w:r>
          </w:p>
        </w:tc>
      </w:tr>
      <w:tr w:rsidR="00A966B6" w:rsidRPr="00A966B6" w14:paraId="48B189B3" w14:textId="77777777" w:rsidTr="00A966B6">
        <w:trPr>
          <w:trHeight w:val="499"/>
        </w:trPr>
        <w:tc>
          <w:tcPr>
            <w:tcW w:w="2659" w:type="dxa"/>
            <w:tcBorders>
              <w:top w:val="nil"/>
              <w:left w:val="single" w:sz="8" w:space="0" w:color="auto"/>
              <w:bottom w:val="single" w:sz="4" w:space="0" w:color="auto"/>
              <w:right w:val="single" w:sz="4" w:space="0" w:color="auto"/>
            </w:tcBorders>
            <w:vAlign w:val="center"/>
            <w:hideMark/>
          </w:tcPr>
          <w:p w14:paraId="667FDB8F" w14:textId="77777777" w:rsidR="00861074" w:rsidRPr="00A966B6" w:rsidRDefault="00861074" w:rsidP="00A966B6">
            <w:pPr>
              <w:spacing w:after="0" w:line="240" w:lineRule="auto"/>
              <w:rPr>
                <w:rFonts w:cs="Arial"/>
                <w:szCs w:val="24"/>
              </w:rPr>
            </w:pPr>
            <w:r w:rsidRPr="00A966B6">
              <w:rPr>
                <w:rFonts w:cs="Arial"/>
                <w:szCs w:val="24"/>
              </w:rPr>
              <w:t>Z toho běžné výdaje</w:t>
            </w:r>
          </w:p>
        </w:tc>
        <w:tc>
          <w:tcPr>
            <w:tcW w:w="1270" w:type="dxa"/>
            <w:tcBorders>
              <w:top w:val="nil"/>
              <w:left w:val="nil"/>
              <w:bottom w:val="single" w:sz="4" w:space="0" w:color="auto"/>
              <w:right w:val="single" w:sz="4" w:space="0" w:color="auto"/>
            </w:tcBorders>
            <w:noWrap/>
            <w:vAlign w:val="center"/>
            <w:hideMark/>
          </w:tcPr>
          <w:p w14:paraId="5216E882" w14:textId="77777777" w:rsidR="00861074" w:rsidRPr="00A966B6" w:rsidRDefault="00861074" w:rsidP="00A966B6">
            <w:pPr>
              <w:spacing w:after="0" w:line="240" w:lineRule="auto"/>
              <w:jc w:val="right"/>
              <w:rPr>
                <w:rFonts w:cs="Arial"/>
                <w:szCs w:val="24"/>
              </w:rPr>
            </w:pPr>
            <w:r w:rsidRPr="00A966B6">
              <w:rPr>
                <w:rFonts w:cs="Arial"/>
                <w:szCs w:val="24"/>
              </w:rPr>
              <w:t>264 540,55</w:t>
            </w:r>
          </w:p>
        </w:tc>
        <w:tc>
          <w:tcPr>
            <w:tcW w:w="1270" w:type="dxa"/>
            <w:tcBorders>
              <w:top w:val="nil"/>
              <w:left w:val="nil"/>
              <w:bottom w:val="single" w:sz="4" w:space="0" w:color="auto"/>
              <w:right w:val="single" w:sz="4" w:space="0" w:color="auto"/>
            </w:tcBorders>
            <w:noWrap/>
            <w:vAlign w:val="center"/>
            <w:hideMark/>
          </w:tcPr>
          <w:p w14:paraId="53E2A66E" w14:textId="77777777" w:rsidR="00861074" w:rsidRPr="00A966B6" w:rsidRDefault="00861074" w:rsidP="00A966B6">
            <w:pPr>
              <w:spacing w:after="0" w:line="240" w:lineRule="auto"/>
              <w:jc w:val="right"/>
              <w:rPr>
                <w:rFonts w:cs="Arial"/>
                <w:szCs w:val="24"/>
              </w:rPr>
            </w:pPr>
            <w:r w:rsidRPr="00A966B6">
              <w:rPr>
                <w:rFonts w:cs="Arial"/>
                <w:szCs w:val="24"/>
              </w:rPr>
              <w:t>276 943,19</w:t>
            </w:r>
          </w:p>
        </w:tc>
        <w:tc>
          <w:tcPr>
            <w:tcW w:w="1270" w:type="dxa"/>
            <w:tcBorders>
              <w:top w:val="nil"/>
              <w:left w:val="nil"/>
              <w:bottom w:val="single" w:sz="4" w:space="0" w:color="auto"/>
              <w:right w:val="single" w:sz="4" w:space="0" w:color="auto"/>
            </w:tcBorders>
            <w:noWrap/>
            <w:vAlign w:val="center"/>
            <w:hideMark/>
          </w:tcPr>
          <w:p w14:paraId="3917B6AF" w14:textId="77777777" w:rsidR="00861074" w:rsidRPr="00A966B6" w:rsidRDefault="00861074" w:rsidP="00A966B6">
            <w:pPr>
              <w:spacing w:after="0" w:line="240" w:lineRule="auto"/>
              <w:jc w:val="right"/>
              <w:rPr>
                <w:rFonts w:cs="Arial"/>
                <w:szCs w:val="24"/>
              </w:rPr>
            </w:pPr>
            <w:r w:rsidRPr="00A966B6">
              <w:rPr>
                <w:rFonts w:cs="Arial"/>
                <w:szCs w:val="24"/>
              </w:rPr>
              <w:t>353 223,84</w:t>
            </w:r>
          </w:p>
        </w:tc>
        <w:tc>
          <w:tcPr>
            <w:tcW w:w="1270" w:type="dxa"/>
            <w:tcBorders>
              <w:top w:val="nil"/>
              <w:left w:val="nil"/>
              <w:bottom w:val="single" w:sz="4" w:space="0" w:color="auto"/>
              <w:right w:val="single" w:sz="4" w:space="0" w:color="auto"/>
            </w:tcBorders>
            <w:noWrap/>
            <w:vAlign w:val="center"/>
            <w:hideMark/>
          </w:tcPr>
          <w:p w14:paraId="5DC8208E" w14:textId="77777777" w:rsidR="00861074" w:rsidRPr="00A966B6" w:rsidRDefault="00861074" w:rsidP="00A966B6">
            <w:pPr>
              <w:spacing w:after="0" w:line="240" w:lineRule="auto"/>
              <w:jc w:val="right"/>
              <w:rPr>
                <w:rFonts w:cs="Arial"/>
                <w:szCs w:val="24"/>
              </w:rPr>
            </w:pPr>
            <w:r w:rsidRPr="00A966B6">
              <w:rPr>
                <w:rFonts w:cs="Arial"/>
                <w:szCs w:val="24"/>
              </w:rPr>
              <w:t>401 400,69</w:t>
            </w:r>
          </w:p>
        </w:tc>
        <w:tc>
          <w:tcPr>
            <w:tcW w:w="1127" w:type="dxa"/>
            <w:tcBorders>
              <w:top w:val="nil"/>
              <w:left w:val="nil"/>
              <w:bottom w:val="single" w:sz="4" w:space="0" w:color="auto"/>
              <w:right w:val="single" w:sz="8" w:space="0" w:color="auto"/>
            </w:tcBorders>
            <w:noWrap/>
            <w:vAlign w:val="center"/>
            <w:hideMark/>
          </w:tcPr>
          <w:p w14:paraId="6195BE47" w14:textId="77777777" w:rsidR="00861074" w:rsidRPr="00A966B6" w:rsidRDefault="00861074" w:rsidP="00A966B6">
            <w:pPr>
              <w:spacing w:after="0" w:line="240" w:lineRule="auto"/>
              <w:jc w:val="center"/>
              <w:rPr>
                <w:rFonts w:cs="Arial"/>
                <w:szCs w:val="24"/>
              </w:rPr>
            </w:pPr>
            <w:r w:rsidRPr="00A966B6">
              <w:rPr>
                <w:rFonts w:cs="Arial"/>
                <w:szCs w:val="24"/>
              </w:rPr>
              <w:t>113,64%</w:t>
            </w:r>
          </w:p>
        </w:tc>
      </w:tr>
      <w:tr w:rsidR="00861074" w:rsidRPr="00A966B6" w14:paraId="1B178E57" w14:textId="77777777" w:rsidTr="00A966B6">
        <w:trPr>
          <w:trHeight w:val="499"/>
        </w:trPr>
        <w:tc>
          <w:tcPr>
            <w:tcW w:w="2659" w:type="dxa"/>
            <w:tcBorders>
              <w:top w:val="single" w:sz="4" w:space="0" w:color="auto"/>
              <w:left w:val="single" w:sz="8" w:space="0" w:color="auto"/>
              <w:bottom w:val="single" w:sz="8" w:space="0" w:color="auto"/>
              <w:right w:val="single" w:sz="4" w:space="0" w:color="auto"/>
            </w:tcBorders>
            <w:vAlign w:val="center"/>
            <w:hideMark/>
          </w:tcPr>
          <w:p w14:paraId="5DFC850C" w14:textId="77777777" w:rsidR="00861074" w:rsidRPr="00A966B6" w:rsidRDefault="00861074" w:rsidP="00A966B6">
            <w:pPr>
              <w:spacing w:after="0" w:line="240" w:lineRule="auto"/>
              <w:rPr>
                <w:rFonts w:cs="Arial"/>
                <w:szCs w:val="24"/>
              </w:rPr>
            </w:pPr>
            <w:r w:rsidRPr="00A966B6">
              <w:rPr>
                <w:rFonts w:cs="Arial"/>
                <w:szCs w:val="24"/>
              </w:rPr>
              <w:t>Z toho kapitálové výdaje</w:t>
            </w:r>
          </w:p>
        </w:tc>
        <w:tc>
          <w:tcPr>
            <w:tcW w:w="1270" w:type="dxa"/>
            <w:tcBorders>
              <w:top w:val="single" w:sz="4" w:space="0" w:color="auto"/>
              <w:left w:val="nil"/>
              <w:bottom w:val="single" w:sz="8" w:space="0" w:color="auto"/>
              <w:right w:val="single" w:sz="4" w:space="0" w:color="auto"/>
            </w:tcBorders>
            <w:noWrap/>
            <w:vAlign w:val="center"/>
            <w:hideMark/>
          </w:tcPr>
          <w:p w14:paraId="3B890237" w14:textId="77777777" w:rsidR="00861074" w:rsidRPr="00A966B6" w:rsidRDefault="00861074" w:rsidP="00A966B6">
            <w:pPr>
              <w:spacing w:after="0" w:line="240" w:lineRule="auto"/>
              <w:jc w:val="right"/>
              <w:rPr>
                <w:rFonts w:cs="Arial"/>
                <w:szCs w:val="24"/>
              </w:rPr>
            </w:pPr>
            <w:r w:rsidRPr="00A966B6">
              <w:rPr>
                <w:rFonts w:cs="Arial"/>
                <w:szCs w:val="24"/>
              </w:rPr>
              <w:t>5 950,36</w:t>
            </w:r>
          </w:p>
        </w:tc>
        <w:tc>
          <w:tcPr>
            <w:tcW w:w="1270" w:type="dxa"/>
            <w:tcBorders>
              <w:top w:val="single" w:sz="4" w:space="0" w:color="auto"/>
              <w:left w:val="nil"/>
              <w:bottom w:val="single" w:sz="8" w:space="0" w:color="auto"/>
              <w:right w:val="single" w:sz="4" w:space="0" w:color="auto"/>
            </w:tcBorders>
            <w:noWrap/>
            <w:vAlign w:val="center"/>
            <w:hideMark/>
          </w:tcPr>
          <w:p w14:paraId="1226BE31" w14:textId="77777777" w:rsidR="00861074" w:rsidRPr="00A966B6" w:rsidRDefault="00861074" w:rsidP="00A966B6">
            <w:pPr>
              <w:spacing w:after="0" w:line="240" w:lineRule="auto"/>
              <w:jc w:val="right"/>
              <w:rPr>
                <w:rFonts w:cs="Arial"/>
                <w:szCs w:val="24"/>
              </w:rPr>
            </w:pPr>
            <w:r w:rsidRPr="00A966B6">
              <w:rPr>
                <w:rFonts w:cs="Arial"/>
                <w:szCs w:val="24"/>
              </w:rPr>
              <w:t>5 579,50</w:t>
            </w:r>
          </w:p>
        </w:tc>
        <w:tc>
          <w:tcPr>
            <w:tcW w:w="1270" w:type="dxa"/>
            <w:tcBorders>
              <w:top w:val="single" w:sz="4" w:space="0" w:color="auto"/>
              <w:left w:val="nil"/>
              <w:bottom w:val="single" w:sz="8" w:space="0" w:color="auto"/>
              <w:right w:val="single" w:sz="4" w:space="0" w:color="auto"/>
            </w:tcBorders>
            <w:noWrap/>
            <w:vAlign w:val="center"/>
            <w:hideMark/>
          </w:tcPr>
          <w:p w14:paraId="735B18D7" w14:textId="77777777" w:rsidR="00861074" w:rsidRPr="00A966B6" w:rsidRDefault="00861074" w:rsidP="00A966B6">
            <w:pPr>
              <w:spacing w:after="0" w:line="240" w:lineRule="auto"/>
              <w:jc w:val="right"/>
              <w:rPr>
                <w:rFonts w:cs="Arial"/>
                <w:szCs w:val="24"/>
              </w:rPr>
            </w:pPr>
            <w:r w:rsidRPr="00A966B6">
              <w:rPr>
                <w:rFonts w:cs="Arial"/>
                <w:szCs w:val="24"/>
              </w:rPr>
              <w:t>21 720,68</w:t>
            </w:r>
          </w:p>
        </w:tc>
        <w:tc>
          <w:tcPr>
            <w:tcW w:w="1270" w:type="dxa"/>
            <w:tcBorders>
              <w:top w:val="single" w:sz="4" w:space="0" w:color="auto"/>
              <w:left w:val="nil"/>
              <w:bottom w:val="single" w:sz="8" w:space="0" w:color="auto"/>
              <w:right w:val="single" w:sz="4" w:space="0" w:color="auto"/>
            </w:tcBorders>
            <w:noWrap/>
            <w:vAlign w:val="center"/>
            <w:hideMark/>
          </w:tcPr>
          <w:p w14:paraId="08D4F568" w14:textId="77777777" w:rsidR="00861074" w:rsidRPr="00A966B6" w:rsidRDefault="00861074" w:rsidP="00A966B6">
            <w:pPr>
              <w:spacing w:after="0" w:line="240" w:lineRule="auto"/>
              <w:jc w:val="right"/>
              <w:rPr>
                <w:rFonts w:cs="Arial"/>
                <w:szCs w:val="24"/>
              </w:rPr>
            </w:pPr>
            <w:r w:rsidRPr="00A966B6">
              <w:rPr>
                <w:rFonts w:cs="Arial"/>
                <w:szCs w:val="24"/>
              </w:rPr>
              <w:t>4 874,24</w:t>
            </w:r>
          </w:p>
        </w:tc>
        <w:tc>
          <w:tcPr>
            <w:tcW w:w="1127" w:type="dxa"/>
            <w:tcBorders>
              <w:top w:val="single" w:sz="4" w:space="0" w:color="auto"/>
              <w:left w:val="nil"/>
              <w:bottom w:val="single" w:sz="8" w:space="0" w:color="auto"/>
              <w:right w:val="single" w:sz="8" w:space="0" w:color="auto"/>
            </w:tcBorders>
            <w:noWrap/>
            <w:vAlign w:val="center"/>
            <w:hideMark/>
          </w:tcPr>
          <w:p w14:paraId="6CD74FA6" w14:textId="77777777" w:rsidR="00861074" w:rsidRPr="00A966B6" w:rsidRDefault="00861074" w:rsidP="00A966B6">
            <w:pPr>
              <w:spacing w:after="0" w:line="240" w:lineRule="auto"/>
              <w:jc w:val="center"/>
              <w:rPr>
                <w:rFonts w:cs="Arial"/>
                <w:szCs w:val="24"/>
              </w:rPr>
            </w:pPr>
            <w:r w:rsidRPr="00A966B6">
              <w:rPr>
                <w:rFonts w:cs="Arial"/>
                <w:szCs w:val="24"/>
              </w:rPr>
              <w:t>22,44%</w:t>
            </w:r>
          </w:p>
        </w:tc>
      </w:tr>
    </w:tbl>
    <w:p w14:paraId="4096D68B" w14:textId="77777777" w:rsidR="0029470F" w:rsidRPr="00A966B6" w:rsidRDefault="0029470F" w:rsidP="009928B8">
      <w:pPr>
        <w:shd w:val="clear" w:color="auto" w:fill="FDFDFE"/>
        <w:spacing w:after="251" w:line="300" w:lineRule="exact"/>
        <w:jc w:val="both"/>
        <w:rPr>
          <w:rFonts w:cs="Arial"/>
          <w:szCs w:val="24"/>
        </w:rPr>
      </w:pPr>
    </w:p>
    <w:p w14:paraId="6EB9CE90" w14:textId="77777777" w:rsidR="00F1718F" w:rsidRDefault="00861074" w:rsidP="00F1718F">
      <w:pPr>
        <w:spacing w:after="0" w:line="288" w:lineRule="auto"/>
        <w:jc w:val="both"/>
        <w:rPr>
          <w:rFonts w:cs="Arial"/>
          <w:szCs w:val="24"/>
        </w:rPr>
      </w:pPr>
      <w:r w:rsidRPr="00A966B6">
        <w:rPr>
          <w:rFonts w:cs="Arial"/>
          <w:b/>
          <w:szCs w:val="24"/>
        </w:rPr>
        <w:t xml:space="preserve">Příjmy kapitoly 376 </w:t>
      </w:r>
      <w:r w:rsidRPr="00A966B6">
        <w:rPr>
          <w:rFonts w:cs="Arial"/>
          <w:szCs w:val="24"/>
        </w:rPr>
        <w:t>dosáhly celkové výše 65.924,67 tis. Kč. Z této částky připadá na pojistné na sociální zabezpečení a příspěvek na státní politiku zaměstnanosti GIBS částka 64.602,59 tis. Kč oproti rozpočtu po změnách ve výši 65.519,24 tis. Kč. Tyto příjmy tedy byly plněny na 98,60 %. Na tuto skutečnost měl vliv zejména odečet úhrnu zúčtovaných dávek nemocenského pojištění od pojistného dle § 25, odst. 6 zákona č. 589/1992 S. o pojistném na sociálním zabezpečení či zohlednění dle § 15a) téhož zákona a dále i objem vyplacených mzdových prostředků příslušníků GIBS za měsíc prosinec 2017, který byl nižší, než objem za měsíc prosinec 2018. Příjmy z pojistného jsou rozpočtovány z objemu mzdových prostředků příslušníků za příslušný rok, ale odvod za měsíc prosinec je příjmem roku následujícího.</w:t>
      </w:r>
    </w:p>
    <w:p w14:paraId="650359E8" w14:textId="77777777" w:rsidR="00F1718F" w:rsidRDefault="00F1718F" w:rsidP="00F1718F">
      <w:pPr>
        <w:spacing w:after="0" w:line="288" w:lineRule="auto"/>
        <w:jc w:val="both"/>
        <w:rPr>
          <w:rFonts w:cs="Arial"/>
          <w:szCs w:val="24"/>
        </w:rPr>
      </w:pPr>
    </w:p>
    <w:p w14:paraId="5B50FBE4" w14:textId="77777777" w:rsidR="00F1718F" w:rsidRDefault="00861074" w:rsidP="00F1718F">
      <w:pPr>
        <w:spacing w:after="0" w:line="288" w:lineRule="auto"/>
        <w:jc w:val="both"/>
        <w:rPr>
          <w:rFonts w:cs="Arial"/>
          <w:b/>
          <w:szCs w:val="24"/>
        </w:rPr>
      </w:pPr>
      <w:r w:rsidRPr="00A966B6">
        <w:rPr>
          <w:rFonts w:cs="Arial"/>
          <w:szCs w:val="24"/>
        </w:rPr>
        <w:t>Nedaňové příjmy</w:t>
      </w:r>
      <w:r w:rsidRPr="00A966B6">
        <w:rPr>
          <w:rFonts w:cs="Arial"/>
          <w:b/>
          <w:szCs w:val="24"/>
        </w:rPr>
        <w:t xml:space="preserve"> </w:t>
      </w:r>
      <w:r w:rsidRPr="00A966B6">
        <w:rPr>
          <w:rFonts w:cs="Arial"/>
          <w:szCs w:val="24"/>
        </w:rPr>
        <w:t xml:space="preserve">byly vykázány v celkové výši 832,97 tis. Kč. Z nich připadá na příjmy za pořizování kopií spisů dle trestního řádu částka ve výši 3,93 tis. Kč, na příjmy za úhradu nákladů za provoz ve služebních bytech částka ve výši 58,63 tis. Kč a na příjmy obdržené jako úhrada nákladů v souvislosti s poskytováním informací dle zákona 106/1999 Sb., o svobodném přístupu k informacím částka ve výši 8,23 tis. Kč. Na příjmy z pronájmu majetku (zejména se jedná o ubytování „cizích rekreantů“ v rekreačním zařízení) připadá částka ve výši 150,98 tis. Kč. Za pokutu uloženou v trestním řízení bylo vybráno 5,00 tis. Kč a částka 0,21 tis. Kč představuje smluvní pokutu. Přijatá plnění od pojišťoven za škody na služebních dopravních prostředcích byla přijata částka ve výši 278,34 tis. Kč a ostatní nekapitálové náhrady, zejména za inkasované dobropisy a náhrady za škody způsobené příslušníky či zaměstnanci GIBS, byly ve výši 327,65 tis. Kč. V kapitálových příjmech je zařazena částka 371,00 tis. Kč za odprodej deseti služebních dopravních prostředků. V rámci neinvestičních přijatých transferů je zařazena částka 118,11 tis. Kč, která představuje zbylou část </w:t>
      </w:r>
      <w:r w:rsidRPr="00A966B6">
        <w:rPr>
          <w:rFonts w:cs="Arial"/>
          <w:szCs w:val="24"/>
        </w:rPr>
        <w:lastRenderedPageBreak/>
        <w:t>nevyčerpaných mzdových prostředků, včetně výdajů s nimi souvisejících, za prosinec roku 2017.</w:t>
      </w:r>
    </w:p>
    <w:p w14:paraId="3A2C50F6" w14:textId="77777777" w:rsidR="00F1718F" w:rsidRDefault="00F1718F" w:rsidP="00F1718F">
      <w:pPr>
        <w:spacing w:after="0" w:line="288" w:lineRule="auto"/>
        <w:jc w:val="both"/>
        <w:rPr>
          <w:rFonts w:cs="Arial"/>
          <w:b/>
          <w:szCs w:val="24"/>
        </w:rPr>
      </w:pPr>
    </w:p>
    <w:p w14:paraId="6541C80F" w14:textId="4CDC4ABF" w:rsidR="0029470F" w:rsidRDefault="00861074" w:rsidP="00F1718F">
      <w:pPr>
        <w:spacing w:after="0" w:line="288" w:lineRule="auto"/>
        <w:jc w:val="both"/>
        <w:rPr>
          <w:rFonts w:cs="Arial"/>
          <w:szCs w:val="24"/>
        </w:rPr>
      </w:pPr>
      <w:r w:rsidRPr="00381D6D">
        <w:rPr>
          <w:b/>
        </w:rPr>
        <w:t>Výdaje kapitoly 376</w:t>
      </w:r>
      <w:r w:rsidRPr="00802E88">
        <w:t xml:space="preserve"> byly čerpány částkou ve výši 406.274,93 tis. Kč. Z této částky připadá na běžné výdaje 401.400,69 tis. Kč a na kapitálové výdaje částka 4.874,24 tis. Kč</w:t>
      </w:r>
      <w:r w:rsidRPr="00A966B6">
        <w:rPr>
          <w:rFonts w:cs="Arial"/>
          <w:szCs w:val="24"/>
        </w:rPr>
        <w:t>.</w:t>
      </w:r>
    </w:p>
    <w:p w14:paraId="27E62426" w14:textId="77777777" w:rsidR="00E066D8" w:rsidRDefault="00E066D8" w:rsidP="00F1718F">
      <w:pPr>
        <w:spacing w:after="0" w:line="288" w:lineRule="auto"/>
        <w:jc w:val="both"/>
        <w:rPr>
          <w:rFonts w:cs="Arial"/>
          <w:szCs w:val="24"/>
        </w:rPr>
      </w:pPr>
    </w:p>
    <w:p w14:paraId="2AFCF0F8" w14:textId="77777777" w:rsidR="00F1718F" w:rsidRDefault="00E066D8" w:rsidP="00F1718F">
      <w:pPr>
        <w:spacing w:after="0" w:line="288" w:lineRule="auto"/>
        <w:jc w:val="both"/>
        <w:rPr>
          <w:rFonts w:cs="Arial"/>
          <w:szCs w:val="24"/>
        </w:rPr>
      </w:pPr>
      <w:r>
        <w:rPr>
          <w:rFonts w:cs="Arial"/>
          <w:szCs w:val="24"/>
        </w:rPr>
        <w:t>Největší podíl na výdajích, přes ¾ tvořily náklady na platy a ostatní provedenou práci, včetně příslušenství pro příslušníky a zaměstnance. Tento poměr zcela odpovídá významu, který pro GIBS mají lidské zdroje.</w:t>
      </w:r>
    </w:p>
    <w:p w14:paraId="7476E1F0" w14:textId="77777777" w:rsidR="00F1718F" w:rsidRDefault="00F1718F" w:rsidP="00F1718F">
      <w:pPr>
        <w:spacing w:after="0" w:line="288" w:lineRule="auto"/>
        <w:jc w:val="both"/>
        <w:rPr>
          <w:rFonts w:cs="Arial"/>
          <w:szCs w:val="24"/>
        </w:rPr>
      </w:pPr>
    </w:p>
    <w:p w14:paraId="3BC1868C" w14:textId="77777777" w:rsidR="00C91333" w:rsidRDefault="00861074" w:rsidP="00C91333">
      <w:pPr>
        <w:spacing w:after="0" w:line="288" w:lineRule="auto"/>
        <w:jc w:val="both"/>
        <w:rPr>
          <w:rFonts w:cs="Arial"/>
          <w:szCs w:val="24"/>
        </w:rPr>
      </w:pPr>
      <w:r w:rsidRPr="00A966B6">
        <w:rPr>
          <w:rFonts w:cs="Arial"/>
          <w:szCs w:val="24"/>
        </w:rPr>
        <w:t>V</w:t>
      </w:r>
      <w:r w:rsidRPr="00381D6D">
        <w:t xml:space="preserve"> rámci běžných výdajů bylo na </w:t>
      </w:r>
      <w:r w:rsidRPr="00802E88">
        <w:rPr>
          <w:b/>
        </w:rPr>
        <w:t>platy a ostatní provedenou</w:t>
      </w:r>
      <w:r w:rsidRPr="00A966B6">
        <w:rPr>
          <w:rFonts w:cs="Arial"/>
          <w:b/>
          <w:szCs w:val="24"/>
        </w:rPr>
        <w:t xml:space="preserve"> práci</w:t>
      </w:r>
      <w:r w:rsidRPr="00A966B6">
        <w:rPr>
          <w:rFonts w:cs="Arial"/>
          <w:szCs w:val="24"/>
        </w:rPr>
        <w:t xml:space="preserve">, včetně příslušenství vynaloženo </w:t>
      </w:r>
      <w:r w:rsidRPr="00A966B6">
        <w:rPr>
          <w:rFonts w:cs="Arial"/>
          <w:b/>
          <w:szCs w:val="24"/>
        </w:rPr>
        <w:t>318.906,41 tis. Kč</w:t>
      </w:r>
      <w:r w:rsidRPr="00A966B6">
        <w:rPr>
          <w:rFonts w:cs="Arial"/>
          <w:szCs w:val="24"/>
        </w:rPr>
        <w:t xml:space="preserve">. Oproti minulému roku bylo čerpání vyšší o 27.685,39 tis. Kč. Tento nárůst je způsoben navýšením objemu mzdových prostředků z důvodu navýšení tarifních platů od 1. 11. 2017. Z celkově vyčerpané částky 318.906,41 tis. Kč připadla na platy zaměstnanců částka 26.351,98 tis. Kč a na platy příslušníků GIBS částka 206.527,60 tis. Kč. Na odměny za práci podle dohod uzavíraných podle zákoníku práce mimo pracovní poměr bylo vynaloženo 561,86 tis. Kč včetně částky 159,05 tis. Kč, která představuje zapojené </w:t>
      </w:r>
      <w:r w:rsidRPr="00A966B6">
        <w:rPr>
          <w:rFonts w:eastAsia="Calibri" w:cs="Arial"/>
          <w:szCs w:val="24"/>
        </w:rPr>
        <w:t>nároky z nespotřebovaných výdajů, které byly čerpány v souladu s ustanovením § 47 zákona č. 218/2000 Sb., o rozpočtových pravidlech. Z</w:t>
      </w:r>
      <w:r w:rsidRPr="00A966B6">
        <w:rPr>
          <w:rFonts w:cs="Arial"/>
          <w:szCs w:val="24"/>
        </w:rPr>
        <w:t> důvodu menšího rozsahu provedených prací mimo pracovní poměr tak došlo k nedočerpání částky 756,97 tis. Kč. Na kázeňské odměny příslušníků, vyplácené dle § 49, zákona č. 361/2003 Sb., o služebním poměru příslušníků bezpečnostních sborů, byla vynaložena částka 1.234,00 tis. Kč. Na související povinné pojistné placené zaměstnavatelem bylo vyčerpáno 72.146,71 tis. Kč.</w:t>
      </w:r>
    </w:p>
    <w:p w14:paraId="3DADA286" w14:textId="77777777" w:rsidR="00C91333" w:rsidRDefault="00C91333" w:rsidP="00C91333">
      <w:pPr>
        <w:spacing w:after="0" w:line="288" w:lineRule="auto"/>
        <w:jc w:val="both"/>
        <w:rPr>
          <w:rFonts w:cs="Arial"/>
          <w:szCs w:val="24"/>
        </w:rPr>
      </w:pPr>
    </w:p>
    <w:p w14:paraId="7F0688EF" w14:textId="0A536DF2" w:rsidR="00861074" w:rsidRPr="00A966B6" w:rsidRDefault="00861074" w:rsidP="00C91333">
      <w:pPr>
        <w:spacing w:after="0" w:line="288" w:lineRule="auto"/>
        <w:jc w:val="both"/>
        <w:rPr>
          <w:rFonts w:cs="Arial"/>
          <w:szCs w:val="24"/>
        </w:rPr>
      </w:pPr>
      <w:r w:rsidRPr="00A966B6">
        <w:rPr>
          <w:rFonts w:cs="Arial"/>
          <w:szCs w:val="24"/>
        </w:rPr>
        <w:t>Na povinné pojistné na sociální zabezpečení a příspěvek na státní politiku zaměstnanosti byla vyčerpána částka ve výši 79.573,38 tis. Kč a na převody FKSP pak částka 4.657,59 tis. Kč. Zvýšené čerpání v roce 2018 vychází z navýšení mzdové základny pro výpočet těchto příslušenství.</w:t>
      </w:r>
    </w:p>
    <w:p w14:paraId="38C03CC6" w14:textId="77777777" w:rsidR="00861074" w:rsidRPr="00A966B6" w:rsidRDefault="00861074" w:rsidP="00861074">
      <w:pPr>
        <w:shd w:val="clear" w:color="auto" w:fill="FDFDFE"/>
        <w:spacing w:after="0" w:line="264" w:lineRule="auto"/>
        <w:jc w:val="both"/>
        <w:rPr>
          <w:rFonts w:cs="Arial"/>
          <w:i/>
          <w:szCs w:val="24"/>
        </w:rPr>
      </w:pPr>
    </w:p>
    <w:p w14:paraId="41E84CD3" w14:textId="539A6CCC" w:rsidR="00861074" w:rsidRPr="00A966B6" w:rsidRDefault="00861074" w:rsidP="00861074">
      <w:pPr>
        <w:shd w:val="clear" w:color="auto" w:fill="FDFDFE"/>
        <w:spacing w:after="0" w:line="264" w:lineRule="auto"/>
        <w:jc w:val="both"/>
        <w:rPr>
          <w:rFonts w:cs="Arial"/>
          <w:i/>
          <w:szCs w:val="24"/>
        </w:rPr>
      </w:pPr>
      <w:r w:rsidRPr="00A966B6">
        <w:rPr>
          <w:rFonts w:cs="Arial"/>
          <w:i/>
          <w:szCs w:val="24"/>
        </w:rPr>
        <w:t xml:space="preserve">Tabulka č. </w:t>
      </w:r>
      <w:r w:rsidR="00A52084">
        <w:rPr>
          <w:rFonts w:cs="Arial"/>
          <w:i/>
          <w:szCs w:val="24"/>
        </w:rPr>
        <w:t>7</w:t>
      </w:r>
      <w:r w:rsidRPr="00A966B6">
        <w:rPr>
          <w:rFonts w:cs="Arial"/>
          <w:i/>
          <w:szCs w:val="24"/>
        </w:rPr>
        <w:t xml:space="preserve">: </w:t>
      </w:r>
      <w:r w:rsidRPr="00A966B6">
        <w:rPr>
          <w:rFonts w:cs="Arial"/>
          <w:b/>
          <w:i/>
          <w:szCs w:val="24"/>
        </w:rPr>
        <w:t>Výdaje na lidské zdroje</w:t>
      </w:r>
      <w:r w:rsidRPr="00A966B6">
        <w:rPr>
          <w:rFonts w:cs="Arial"/>
          <w:i/>
          <w:szCs w:val="24"/>
        </w:rPr>
        <w:t xml:space="preserve"> </w:t>
      </w:r>
      <w:r w:rsidRPr="00A966B6">
        <w:rPr>
          <w:rFonts w:cs="Arial"/>
          <w:b/>
          <w:i/>
          <w:szCs w:val="24"/>
        </w:rPr>
        <w:t>v roce 2018 (Kapitola 376)</w:t>
      </w:r>
      <w:r w:rsidR="00160717">
        <w:rPr>
          <w:rFonts w:cs="Arial"/>
          <w:i/>
          <w:szCs w:val="24"/>
        </w:rPr>
        <w:tab/>
      </w:r>
      <w:r w:rsidRPr="00A966B6">
        <w:rPr>
          <w:rFonts w:cs="Arial"/>
          <w:i/>
          <w:szCs w:val="24"/>
        </w:rPr>
        <w:t>(v tis. Kč)</w:t>
      </w:r>
    </w:p>
    <w:p w14:paraId="07D80CC7" w14:textId="77777777" w:rsidR="00861074" w:rsidRPr="00A966B6" w:rsidRDefault="00861074" w:rsidP="00861074">
      <w:pPr>
        <w:shd w:val="clear" w:color="auto" w:fill="FDFDFE"/>
        <w:spacing w:after="0" w:line="264" w:lineRule="auto"/>
        <w:jc w:val="both"/>
        <w:rPr>
          <w:rFonts w:cs="Arial"/>
          <w:szCs w:val="24"/>
        </w:rPr>
      </w:pPr>
    </w:p>
    <w:tbl>
      <w:tblPr>
        <w:tblW w:w="9034" w:type="dxa"/>
        <w:tblInd w:w="50" w:type="dxa"/>
        <w:tblCellMar>
          <w:left w:w="70" w:type="dxa"/>
          <w:right w:w="70" w:type="dxa"/>
        </w:tblCellMar>
        <w:tblLook w:val="04A0" w:firstRow="1" w:lastRow="0" w:firstColumn="1" w:lastColumn="0" w:noHBand="0" w:noVBand="1"/>
      </w:tblPr>
      <w:tblGrid>
        <w:gridCol w:w="2720"/>
        <w:gridCol w:w="1283"/>
        <w:gridCol w:w="1283"/>
        <w:gridCol w:w="1283"/>
        <w:gridCol w:w="1342"/>
        <w:gridCol w:w="1275"/>
      </w:tblGrid>
      <w:tr w:rsidR="00A966B6" w:rsidRPr="00A966B6" w14:paraId="66B10A88" w14:textId="77777777" w:rsidTr="00A966B6">
        <w:trPr>
          <w:trHeight w:val="479"/>
        </w:trPr>
        <w:tc>
          <w:tcPr>
            <w:tcW w:w="2720" w:type="dxa"/>
            <w:tcBorders>
              <w:top w:val="single" w:sz="4" w:space="0" w:color="auto"/>
              <w:left w:val="single" w:sz="4" w:space="0" w:color="auto"/>
              <w:bottom w:val="double" w:sz="4" w:space="0" w:color="auto"/>
              <w:right w:val="single" w:sz="4" w:space="0" w:color="auto"/>
            </w:tcBorders>
            <w:noWrap/>
            <w:vAlign w:val="center"/>
            <w:hideMark/>
          </w:tcPr>
          <w:p w14:paraId="066EE4C5" w14:textId="77777777" w:rsidR="00861074" w:rsidRPr="00A966B6" w:rsidRDefault="00861074" w:rsidP="00A966B6">
            <w:pPr>
              <w:spacing w:after="0" w:line="240" w:lineRule="auto"/>
              <w:rPr>
                <w:rFonts w:cs="Arial"/>
                <w:b/>
                <w:bCs/>
                <w:szCs w:val="24"/>
              </w:rPr>
            </w:pPr>
            <w:r w:rsidRPr="00A966B6">
              <w:rPr>
                <w:rFonts w:cs="Arial"/>
                <w:b/>
                <w:bCs/>
                <w:szCs w:val="24"/>
              </w:rPr>
              <w:t>Základní ukazatele</w:t>
            </w:r>
          </w:p>
        </w:tc>
        <w:tc>
          <w:tcPr>
            <w:tcW w:w="1283" w:type="dxa"/>
            <w:tcBorders>
              <w:top w:val="single" w:sz="4" w:space="0" w:color="auto"/>
              <w:left w:val="nil"/>
              <w:bottom w:val="double" w:sz="4" w:space="0" w:color="auto"/>
              <w:right w:val="nil"/>
            </w:tcBorders>
            <w:noWrap/>
            <w:vAlign w:val="center"/>
            <w:hideMark/>
          </w:tcPr>
          <w:p w14:paraId="674B0F10" w14:textId="77777777" w:rsidR="00861074" w:rsidRPr="00A966B6" w:rsidRDefault="00861074" w:rsidP="00A966B6">
            <w:pPr>
              <w:spacing w:after="0" w:line="240" w:lineRule="auto"/>
              <w:jc w:val="center"/>
              <w:rPr>
                <w:rFonts w:cs="Arial"/>
                <w:b/>
                <w:bCs/>
                <w:szCs w:val="24"/>
              </w:rPr>
            </w:pPr>
            <w:r w:rsidRPr="00A966B6">
              <w:rPr>
                <w:rFonts w:cs="Arial"/>
                <w:b/>
                <w:bCs/>
                <w:szCs w:val="24"/>
              </w:rPr>
              <w:t>2015</w:t>
            </w:r>
          </w:p>
        </w:tc>
        <w:tc>
          <w:tcPr>
            <w:tcW w:w="1283" w:type="dxa"/>
            <w:tcBorders>
              <w:top w:val="single" w:sz="4" w:space="0" w:color="auto"/>
              <w:left w:val="single" w:sz="4" w:space="0" w:color="auto"/>
              <w:bottom w:val="double" w:sz="4" w:space="0" w:color="auto"/>
              <w:right w:val="nil"/>
            </w:tcBorders>
            <w:noWrap/>
            <w:vAlign w:val="center"/>
            <w:hideMark/>
          </w:tcPr>
          <w:p w14:paraId="458DCD2D" w14:textId="77777777" w:rsidR="00861074" w:rsidRPr="00A966B6" w:rsidRDefault="00861074" w:rsidP="00A966B6">
            <w:pPr>
              <w:spacing w:after="0" w:line="240" w:lineRule="auto"/>
              <w:jc w:val="center"/>
              <w:rPr>
                <w:rFonts w:cs="Arial"/>
                <w:b/>
                <w:bCs/>
                <w:szCs w:val="24"/>
              </w:rPr>
            </w:pPr>
            <w:r w:rsidRPr="00A966B6">
              <w:rPr>
                <w:rFonts w:cs="Arial"/>
                <w:b/>
                <w:bCs/>
                <w:szCs w:val="24"/>
              </w:rPr>
              <w:t>2016</w:t>
            </w:r>
          </w:p>
        </w:tc>
        <w:tc>
          <w:tcPr>
            <w:tcW w:w="1283" w:type="dxa"/>
            <w:tcBorders>
              <w:top w:val="single" w:sz="4" w:space="0" w:color="auto"/>
              <w:left w:val="single" w:sz="4" w:space="0" w:color="auto"/>
              <w:bottom w:val="double" w:sz="4" w:space="0" w:color="auto"/>
              <w:right w:val="nil"/>
            </w:tcBorders>
            <w:noWrap/>
            <w:vAlign w:val="center"/>
            <w:hideMark/>
          </w:tcPr>
          <w:p w14:paraId="6C05148E" w14:textId="77777777" w:rsidR="00861074" w:rsidRPr="00A966B6" w:rsidRDefault="00861074" w:rsidP="00A966B6">
            <w:pPr>
              <w:spacing w:after="0" w:line="240" w:lineRule="auto"/>
              <w:jc w:val="center"/>
              <w:rPr>
                <w:rFonts w:cs="Arial"/>
                <w:b/>
                <w:bCs/>
                <w:szCs w:val="24"/>
              </w:rPr>
            </w:pPr>
            <w:r w:rsidRPr="00A966B6">
              <w:rPr>
                <w:rFonts w:cs="Arial"/>
                <w:b/>
                <w:bCs/>
                <w:szCs w:val="24"/>
              </w:rPr>
              <w:t>2017</w:t>
            </w:r>
          </w:p>
        </w:tc>
        <w:tc>
          <w:tcPr>
            <w:tcW w:w="1283" w:type="dxa"/>
            <w:tcBorders>
              <w:top w:val="single" w:sz="4" w:space="0" w:color="auto"/>
              <w:left w:val="single" w:sz="4" w:space="0" w:color="auto"/>
              <w:bottom w:val="double" w:sz="4" w:space="0" w:color="auto"/>
              <w:right w:val="nil"/>
            </w:tcBorders>
            <w:noWrap/>
            <w:vAlign w:val="center"/>
            <w:hideMark/>
          </w:tcPr>
          <w:p w14:paraId="19F28A4B" w14:textId="77777777" w:rsidR="00861074" w:rsidRPr="00A966B6" w:rsidRDefault="00861074" w:rsidP="00A966B6">
            <w:pPr>
              <w:spacing w:after="0" w:line="240" w:lineRule="auto"/>
              <w:jc w:val="center"/>
              <w:rPr>
                <w:rFonts w:cs="Arial"/>
                <w:b/>
                <w:bCs/>
                <w:szCs w:val="24"/>
              </w:rPr>
            </w:pPr>
            <w:r w:rsidRPr="00A966B6">
              <w:rPr>
                <w:rFonts w:cs="Arial"/>
                <w:b/>
                <w:bCs/>
                <w:szCs w:val="24"/>
              </w:rPr>
              <w:t>2018</w:t>
            </w:r>
          </w:p>
        </w:tc>
        <w:tc>
          <w:tcPr>
            <w:tcW w:w="1182" w:type="dxa"/>
            <w:tcBorders>
              <w:top w:val="single" w:sz="4" w:space="0" w:color="auto"/>
              <w:left w:val="single" w:sz="4" w:space="0" w:color="auto"/>
              <w:bottom w:val="double" w:sz="4" w:space="0" w:color="auto"/>
              <w:right w:val="single" w:sz="4" w:space="0" w:color="auto"/>
            </w:tcBorders>
            <w:vAlign w:val="center"/>
            <w:hideMark/>
          </w:tcPr>
          <w:p w14:paraId="08B018B8" w14:textId="77777777" w:rsidR="00861074" w:rsidRPr="00A966B6" w:rsidRDefault="00861074" w:rsidP="00A966B6">
            <w:pPr>
              <w:spacing w:after="0" w:line="240" w:lineRule="auto"/>
              <w:jc w:val="center"/>
              <w:rPr>
                <w:rFonts w:cs="Arial"/>
                <w:b/>
                <w:szCs w:val="24"/>
              </w:rPr>
            </w:pPr>
            <w:r w:rsidRPr="00A966B6">
              <w:rPr>
                <w:rFonts w:cs="Arial"/>
                <w:b/>
                <w:szCs w:val="24"/>
              </w:rPr>
              <w:t>Index 2018/2017</w:t>
            </w:r>
          </w:p>
        </w:tc>
      </w:tr>
      <w:tr w:rsidR="00A966B6" w:rsidRPr="00A966B6" w14:paraId="7AEB7298" w14:textId="77777777" w:rsidTr="00A966B6">
        <w:trPr>
          <w:trHeight w:val="479"/>
        </w:trPr>
        <w:tc>
          <w:tcPr>
            <w:tcW w:w="2720" w:type="dxa"/>
            <w:tcBorders>
              <w:top w:val="double" w:sz="4" w:space="0" w:color="auto"/>
              <w:left w:val="single" w:sz="4" w:space="0" w:color="auto"/>
              <w:bottom w:val="single" w:sz="4" w:space="0" w:color="auto"/>
              <w:right w:val="single" w:sz="4" w:space="0" w:color="auto"/>
            </w:tcBorders>
            <w:vAlign w:val="center"/>
            <w:hideMark/>
          </w:tcPr>
          <w:p w14:paraId="30EDEC62" w14:textId="77777777" w:rsidR="00861074" w:rsidRPr="00A966B6" w:rsidRDefault="00861074" w:rsidP="00A966B6">
            <w:pPr>
              <w:spacing w:after="0" w:line="240" w:lineRule="auto"/>
              <w:rPr>
                <w:rFonts w:cs="Arial"/>
                <w:szCs w:val="24"/>
              </w:rPr>
            </w:pPr>
            <w:r w:rsidRPr="00A966B6">
              <w:rPr>
                <w:rFonts w:cs="Arial"/>
                <w:szCs w:val="24"/>
              </w:rPr>
              <w:t>Mzdové náklady vč. souvisejících výdajů</w:t>
            </w:r>
          </w:p>
        </w:tc>
        <w:tc>
          <w:tcPr>
            <w:tcW w:w="1283" w:type="dxa"/>
            <w:tcBorders>
              <w:top w:val="double" w:sz="4" w:space="0" w:color="auto"/>
              <w:left w:val="nil"/>
              <w:bottom w:val="single" w:sz="4" w:space="0" w:color="auto"/>
              <w:right w:val="single" w:sz="4" w:space="0" w:color="auto"/>
            </w:tcBorders>
            <w:noWrap/>
            <w:vAlign w:val="center"/>
            <w:hideMark/>
          </w:tcPr>
          <w:p w14:paraId="32923170" w14:textId="77777777" w:rsidR="00861074" w:rsidRPr="00A966B6" w:rsidRDefault="00861074" w:rsidP="00A966B6">
            <w:pPr>
              <w:spacing w:after="0" w:line="240" w:lineRule="auto"/>
              <w:jc w:val="right"/>
              <w:rPr>
                <w:rFonts w:cs="Arial"/>
                <w:szCs w:val="24"/>
              </w:rPr>
            </w:pPr>
            <w:r w:rsidRPr="00A966B6">
              <w:rPr>
                <w:rFonts w:cs="Arial"/>
                <w:szCs w:val="24"/>
              </w:rPr>
              <w:t>211 315,87</w:t>
            </w:r>
          </w:p>
        </w:tc>
        <w:tc>
          <w:tcPr>
            <w:tcW w:w="1283" w:type="dxa"/>
            <w:tcBorders>
              <w:top w:val="double" w:sz="4" w:space="0" w:color="auto"/>
              <w:left w:val="nil"/>
              <w:bottom w:val="single" w:sz="4" w:space="0" w:color="auto"/>
              <w:right w:val="single" w:sz="4" w:space="0" w:color="auto"/>
            </w:tcBorders>
            <w:noWrap/>
            <w:vAlign w:val="center"/>
            <w:hideMark/>
          </w:tcPr>
          <w:p w14:paraId="2D7F5441" w14:textId="77777777" w:rsidR="00861074" w:rsidRPr="00A966B6" w:rsidRDefault="00861074" w:rsidP="00A966B6">
            <w:pPr>
              <w:spacing w:after="0" w:line="240" w:lineRule="auto"/>
              <w:jc w:val="right"/>
              <w:rPr>
                <w:rFonts w:cs="Arial"/>
                <w:szCs w:val="24"/>
              </w:rPr>
            </w:pPr>
            <w:r w:rsidRPr="00A966B6">
              <w:rPr>
                <w:rFonts w:cs="Arial"/>
                <w:szCs w:val="24"/>
              </w:rPr>
              <w:t>218 404,03</w:t>
            </w:r>
          </w:p>
        </w:tc>
        <w:tc>
          <w:tcPr>
            <w:tcW w:w="1283" w:type="dxa"/>
            <w:tcBorders>
              <w:top w:val="double" w:sz="4" w:space="0" w:color="auto"/>
              <w:left w:val="nil"/>
              <w:bottom w:val="single" w:sz="4" w:space="0" w:color="auto"/>
              <w:right w:val="single" w:sz="4" w:space="0" w:color="auto"/>
            </w:tcBorders>
            <w:noWrap/>
            <w:vAlign w:val="center"/>
            <w:hideMark/>
          </w:tcPr>
          <w:p w14:paraId="08D00ECB" w14:textId="77777777" w:rsidR="00861074" w:rsidRPr="00A966B6" w:rsidRDefault="00861074" w:rsidP="00A966B6">
            <w:pPr>
              <w:spacing w:after="0" w:line="240" w:lineRule="auto"/>
              <w:jc w:val="right"/>
              <w:rPr>
                <w:rFonts w:cs="Arial"/>
                <w:szCs w:val="24"/>
              </w:rPr>
            </w:pPr>
            <w:r w:rsidRPr="00A966B6">
              <w:rPr>
                <w:rFonts w:cs="Arial"/>
                <w:szCs w:val="24"/>
              </w:rPr>
              <w:t>291 221,03</w:t>
            </w:r>
          </w:p>
        </w:tc>
        <w:tc>
          <w:tcPr>
            <w:tcW w:w="1283" w:type="dxa"/>
            <w:tcBorders>
              <w:top w:val="double" w:sz="4" w:space="0" w:color="auto"/>
              <w:left w:val="nil"/>
              <w:bottom w:val="single" w:sz="4" w:space="0" w:color="auto"/>
              <w:right w:val="single" w:sz="4" w:space="0" w:color="auto"/>
            </w:tcBorders>
            <w:noWrap/>
            <w:vAlign w:val="center"/>
            <w:hideMark/>
          </w:tcPr>
          <w:p w14:paraId="30D438AB" w14:textId="77777777" w:rsidR="00861074" w:rsidRPr="00A966B6" w:rsidRDefault="00861074" w:rsidP="00A966B6">
            <w:pPr>
              <w:spacing w:after="0" w:line="240" w:lineRule="auto"/>
              <w:jc w:val="right"/>
              <w:rPr>
                <w:rFonts w:cs="Arial"/>
                <w:szCs w:val="24"/>
              </w:rPr>
            </w:pPr>
            <w:r w:rsidRPr="00A966B6">
              <w:rPr>
                <w:rFonts w:cs="Arial"/>
                <w:szCs w:val="24"/>
              </w:rPr>
              <w:t>318 906,41</w:t>
            </w:r>
          </w:p>
        </w:tc>
        <w:tc>
          <w:tcPr>
            <w:tcW w:w="1182" w:type="dxa"/>
            <w:tcBorders>
              <w:top w:val="double" w:sz="4" w:space="0" w:color="auto"/>
              <w:left w:val="nil"/>
              <w:bottom w:val="single" w:sz="4" w:space="0" w:color="auto"/>
              <w:right w:val="single" w:sz="4" w:space="0" w:color="auto"/>
            </w:tcBorders>
            <w:noWrap/>
            <w:vAlign w:val="center"/>
            <w:hideMark/>
          </w:tcPr>
          <w:p w14:paraId="588ED76E" w14:textId="77777777" w:rsidR="00861074" w:rsidRPr="00A966B6" w:rsidRDefault="00861074" w:rsidP="00A966B6">
            <w:pPr>
              <w:spacing w:after="0" w:line="240" w:lineRule="auto"/>
              <w:jc w:val="right"/>
              <w:rPr>
                <w:rFonts w:cs="Arial"/>
                <w:szCs w:val="24"/>
              </w:rPr>
            </w:pPr>
            <w:r w:rsidRPr="00A966B6">
              <w:rPr>
                <w:rFonts w:cs="Arial"/>
                <w:szCs w:val="24"/>
              </w:rPr>
              <w:t>109,51%</w:t>
            </w:r>
          </w:p>
        </w:tc>
      </w:tr>
      <w:tr w:rsidR="00861074" w:rsidRPr="00A966B6" w14:paraId="6CD46D30" w14:textId="77777777" w:rsidTr="00A966B6">
        <w:trPr>
          <w:trHeight w:val="479"/>
        </w:trPr>
        <w:tc>
          <w:tcPr>
            <w:tcW w:w="2720" w:type="dxa"/>
            <w:tcBorders>
              <w:top w:val="single" w:sz="4" w:space="0" w:color="auto"/>
              <w:left w:val="single" w:sz="4" w:space="0" w:color="auto"/>
              <w:bottom w:val="single" w:sz="4" w:space="0" w:color="auto"/>
              <w:right w:val="single" w:sz="4" w:space="0" w:color="auto"/>
            </w:tcBorders>
            <w:vAlign w:val="center"/>
            <w:hideMark/>
          </w:tcPr>
          <w:p w14:paraId="3598370B" w14:textId="77777777" w:rsidR="00861074" w:rsidRPr="00A966B6" w:rsidRDefault="00861074" w:rsidP="00A966B6">
            <w:pPr>
              <w:spacing w:after="0" w:line="240" w:lineRule="auto"/>
              <w:rPr>
                <w:rFonts w:cs="Arial"/>
                <w:szCs w:val="24"/>
              </w:rPr>
            </w:pPr>
            <w:r w:rsidRPr="00A966B6">
              <w:rPr>
                <w:rFonts w:cs="Arial"/>
                <w:szCs w:val="24"/>
              </w:rPr>
              <w:t>Sociální dávky</w:t>
            </w:r>
          </w:p>
        </w:tc>
        <w:tc>
          <w:tcPr>
            <w:tcW w:w="1283" w:type="dxa"/>
            <w:tcBorders>
              <w:top w:val="single" w:sz="4" w:space="0" w:color="auto"/>
              <w:left w:val="nil"/>
              <w:bottom w:val="single" w:sz="4" w:space="0" w:color="auto"/>
              <w:right w:val="single" w:sz="4" w:space="0" w:color="auto"/>
            </w:tcBorders>
            <w:noWrap/>
            <w:vAlign w:val="center"/>
            <w:hideMark/>
          </w:tcPr>
          <w:p w14:paraId="2B84645C" w14:textId="77777777" w:rsidR="00861074" w:rsidRPr="00A966B6" w:rsidRDefault="00861074" w:rsidP="00A966B6">
            <w:pPr>
              <w:spacing w:after="0" w:line="240" w:lineRule="auto"/>
              <w:jc w:val="right"/>
              <w:rPr>
                <w:rFonts w:cs="Arial"/>
                <w:szCs w:val="24"/>
              </w:rPr>
            </w:pPr>
            <w:r w:rsidRPr="00A966B6">
              <w:rPr>
                <w:rFonts w:cs="Arial"/>
                <w:szCs w:val="24"/>
              </w:rPr>
              <w:t>8 038,44</w:t>
            </w:r>
          </w:p>
        </w:tc>
        <w:tc>
          <w:tcPr>
            <w:tcW w:w="1283" w:type="dxa"/>
            <w:tcBorders>
              <w:top w:val="single" w:sz="4" w:space="0" w:color="auto"/>
              <w:left w:val="nil"/>
              <w:bottom w:val="single" w:sz="4" w:space="0" w:color="auto"/>
              <w:right w:val="single" w:sz="4" w:space="0" w:color="auto"/>
            </w:tcBorders>
            <w:noWrap/>
            <w:vAlign w:val="center"/>
            <w:hideMark/>
          </w:tcPr>
          <w:p w14:paraId="110ADC37" w14:textId="77777777" w:rsidR="00861074" w:rsidRPr="00A966B6" w:rsidRDefault="00861074" w:rsidP="00A966B6">
            <w:pPr>
              <w:spacing w:after="0" w:line="240" w:lineRule="auto"/>
              <w:jc w:val="right"/>
              <w:rPr>
                <w:rFonts w:cs="Arial"/>
                <w:szCs w:val="24"/>
              </w:rPr>
            </w:pPr>
            <w:r w:rsidRPr="00A966B6">
              <w:rPr>
                <w:rFonts w:cs="Arial"/>
                <w:szCs w:val="24"/>
              </w:rPr>
              <w:t>15 488,19</w:t>
            </w:r>
          </w:p>
        </w:tc>
        <w:tc>
          <w:tcPr>
            <w:tcW w:w="1283" w:type="dxa"/>
            <w:tcBorders>
              <w:top w:val="single" w:sz="4" w:space="0" w:color="auto"/>
              <w:left w:val="nil"/>
              <w:bottom w:val="single" w:sz="4" w:space="0" w:color="auto"/>
              <w:right w:val="single" w:sz="4" w:space="0" w:color="auto"/>
            </w:tcBorders>
            <w:noWrap/>
            <w:vAlign w:val="center"/>
            <w:hideMark/>
          </w:tcPr>
          <w:p w14:paraId="68AEE5B2" w14:textId="77777777" w:rsidR="00861074" w:rsidRPr="00A966B6" w:rsidRDefault="00861074" w:rsidP="00A966B6">
            <w:pPr>
              <w:spacing w:after="0" w:line="240" w:lineRule="auto"/>
              <w:jc w:val="right"/>
              <w:rPr>
                <w:rFonts w:cs="Arial"/>
                <w:szCs w:val="24"/>
              </w:rPr>
            </w:pPr>
            <w:r w:rsidRPr="00A966B6">
              <w:rPr>
                <w:rFonts w:cs="Arial"/>
                <w:szCs w:val="24"/>
              </w:rPr>
              <w:t>15 770,37</w:t>
            </w:r>
          </w:p>
        </w:tc>
        <w:tc>
          <w:tcPr>
            <w:tcW w:w="1283" w:type="dxa"/>
            <w:tcBorders>
              <w:top w:val="single" w:sz="4" w:space="0" w:color="auto"/>
              <w:left w:val="nil"/>
              <w:bottom w:val="single" w:sz="4" w:space="0" w:color="auto"/>
              <w:right w:val="single" w:sz="4" w:space="0" w:color="auto"/>
            </w:tcBorders>
            <w:noWrap/>
            <w:vAlign w:val="center"/>
            <w:hideMark/>
          </w:tcPr>
          <w:p w14:paraId="18AED4F4" w14:textId="77777777" w:rsidR="00861074" w:rsidRPr="00A966B6" w:rsidRDefault="00861074" w:rsidP="00A966B6">
            <w:pPr>
              <w:spacing w:after="0" w:line="240" w:lineRule="auto"/>
              <w:jc w:val="right"/>
              <w:rPr>
                <w:rFonts w:cs="Arial"/>
                <w:szCs w:val="24"/>
              </w:rPr>
            </w:pPr>
            <w:r w:rsidRPr="00A966B6">
              <w:rPr>
                <w:rFonts w:cs="Arial"/>
                <w:szCs w:val="24"/>
              </w:rPr>
              <w:t>37 066,94</w:t>
            </w:r>
          </w:p>
        </w:tc>
        <w:tc>
          <w:tcPr>
            <w:tcW w:w="1182" w:type="dxa"/>
            <w:tcBorders>
              <w:top w:val="single" w:sz="4" w:space="0" w:color="auto"/>
              <w:left w:val="nil"/>
              <w:bottom w:val="single" w:sz="4" w:space="0" w:color="auto"/>
              <w:right w:val="single" w:sz="4" w:space="0" w:color="auto"/>
            </w:tcBorders>
            <w:noWrap/>
            <w:vAlign w:val="center"/>
            <w:hideMark/>
          </w:tcPr>
          <w:p w14:paraId="062C4EB7" w14:textId="77777777" w:rsidR="00861074" w:rsidRPr="00A966B6" w:rsidRDefault="00861074" w:rsidP="00A966B6">
            <w:pPr>
              <w:spacing w:after="0" w:line="240" w:lineRule="auto"/>
              <w:jc w:val="right"/>
              <w:rPr>
                <w:rFonts w:cs="Arial"/>
                <w:szCs w:val="24"/>
              </w:rPr>
            </w:pPr>
            <w:r w:rsidRPr="00A966B6">
              <w:rPr>
                <w:rFonts w:cs="Arial"/>
                <w:szCs w:val="24"/>
              </w:rPr>
              <w:t>235,04%</w:t>
            </w:r>
          </w:p>
        </w:tc>
      </w:tr>
    </w:tbl>
    <w:p w14:paraId="2C6DB8CF" w14:textId="77777777" w:rsidR="00861074" w:rsidRPr="00A966B6" w:rsidRDefault="00861074" w:rsidP="00861074">
      <w:pPr>
        <w:shd w:val="clear" w:color="auto" w:fill="FDFDFE"/>
        <w:spacing w:after="0" w:line="264" w:lineRule="auto"/>
        <w:jc w:val="both"/>
        <w:rPr>
          <w:rFonts w:cs="Arial"/>
          <w:szCs w:val="24"/>
        </w:rPr>
      </w:pPr>
    </w:p>
    <w:p w14:paraId="0857A61C" w14:textId="77777777" w:rsidR="00861074" w:rsidRPr="00A966B6" w:rsidRDefault="00861074" w:rsidP="00861074">
      <w:pPr>
        <w:spacing w:after="251" w:line="300" w:lineRule="exact"/>
        <w:jc w:val="both"/>
        <w:rPr>
          <w:rFonts w:cs="Arial"/>
          <w:szCs w:val="24"/>
        </w:rPr>
      </w:pPr>
      <w:r w:rsidRPr="00A966B6">
        <w:rPr>
          <w:rFonts w:cs="Arial"/>
          <w:szCs w:val="24"/>
        </w:rPr>
        <w:lastRenderedPageBreak/>
        <w:t>Na oblast osobních výdajů navazují vyplacené sociální dávky, které tvoří zejména výsluhové náležitosti (odchodné a výsluhový příspěvek), tj. mandatorní výdaje vyplácené příslušníkům při ukončení služebního poměru.</w:t>
      </w:r>
    </w:p>
    <w:p w14:paraId="0B0915D9" w14:textId="40DDBC5D" w:rsidR="00861074" w:rsidRPr="00A966B6" w:rsidRDefault="00861074" w:rsidP="00160717">
      <w:pPr>
        <w:spacing w:line="288" w:lineRule="auto"/>
        <w:jc w:val="both"/>
        <w:rPr>
          <w:rFonts w:cs="Arial"/>
          <w:szCs w:val="24"/>
        </w:rPr>
      </w:pPr>
      <w:r w:rsidRPr="00A966B6">
        <w:rPr>
          <w:rFonts w:cs="Arial"/>
          <w:szCs w:val="24"/>
        </w:rPr>
        <w:t xml:space="preserve">Na sociální dávky bylo celkem vyčerpáno 37.066,94 tis. Kč. Z této celkové částky připadá na nemocenské, které je vyplácené nad 30. den trvání pracovní neschopnosti příslušníků GIBS částka ve výši 365,70 tis. Kč a na peněžitou pomoc v mateřství připadá částka ve výši 314,29 tis. Kč. Čerpání obou těchto dávek vykazuje oproti minulým létům nárůst, který byl dán jak vyšší nemocností příslušníků GIBS v roce 2018 než v předcházejících letech, tak i vyšším počtem osob čerpajících peněžitou pomoc v mateřství. Za ostatní běžné výdaje bylo uhrazeno celkem 45.427,34 tis. Kč. </w:t>
      </w:r>
    </w:p>
    <w:p w14:paraId="7697D795" w14:textId="77777777" w:rsidR="00861074" w:rsidRPr="00A966B6" w:rsidRDefault="00861074" w:rsidP="00861074">
      <w:pPr>
        <w:spacing w:after="0" w:line="288" w:lineRule="auto"/>
        <w:ind w:firstLine="709"/>
        <w:jc w:val="both"/>
        <w:rPr>
          <w:rFonts w:cs="Arial"/>
          <w:szCs w:val="24"/>
        </w:rPr>
      </w:pPr>
    </w:p>
    <w:p w14:paraId="53E0D8EE" w14:textId="77777777" w:rsidR="00C91333" w:rsidRDefault="00861074" w:rsidP="00C91333">
      <w:pPr>
        <w:spacing w:after="0" w:line="288" w:lineRule="auto"/>
        <w:jc w:val="both"/>
        <w:rPr>
          <w:rFonts w:cs="Arial"/>
          <w:szCs w:val="24"/>
        </w:rPr>
      </w:pPr>
      <w:r w:rsidRPr="00A966B6">
        <w:rPr>
          <w:rFonts w:cs="Arial"/>
          <w:szCs w:val="24"/>
        </w:rPr>
        <w:t>Z výdajů na odměny za užití duševního vlastnictví bylo vyčerpáno 297,74 tis. Kč zejména na odměny za užití počítačových programů.</w:t>
      </w:r>
    </w:p>
    <w:p w14:paraId="32AB03A3" w14:textId="77777777" w:rsidR="00C91333" w:rsidRDefault="00C91333" w:rsidP="00C91333">
      <w:pPr>
        <w:spacing w:after="0" w:line="288" w:lineRule="auto"/>
        <w:jc w:val="both"/>
        <w:rPr>
          <w:rFonts w:cs="Arial"/>
          <w:szCs w:val="24"/>
        </w:rPr>
      </w:pPr>
    </w:p>
    <w:p w14:paraId="7732D63E" w14:textId="77777777" w:rsidR="00C91333" w:rsidRDefault="00861074" w:rsidP="00C91333">
      <w:pPr>
        <w:spacing w:after="0" w:line="288" w:lineRule="auto"/>
        <w:jc w:val="both"/>
        <w:rPr>
          <w:rFonts w:cs="Arial"/>
          <w:szCs w:val="24"/>
        </w:rPr>
      </w:pPr>
      <w:r w:rsidRPr="00A966B6">
        <w:rPr>
          <w:rFonts w:cs="Arial"/>
          <w:szCs w:val="24"/>
        </w:rPr>
        <w:t>V seskupení Výdaje na některé úpravy hmotných věcí bylo vyčerpáno 69,23 tis. Kč na podlimitní technické zhodnocení dlouhodobého hmotného majetku, kdy objemově nejvýznamnější akcí byla úprava vstupu do areálu ve Skokanské ulici v Praze.</w:t>
      </w:r>
    </w:p>
    <w:p w14:paraId="0859AE03" w14:textId="77777777" w:rsidR="00C91333" w:rsidRDefault="00C91333" w:rsidP="00C91333">
      <w:pPr>
        <w:spacing w:after="0" w:line="288" w:lineRule="auto"/>
        <w:jc w:val="both"/>
        <w:rPr>
          <w:rFonts w:cs="Arial"/>
          <w:szCs w:val="24"/>
        </w:rPr>
      </w:pPr>
    </w:p>
    <w:p w14:paraId="784BFDC3" w14:textId="448F90D3" w:rsidR="00C91333" w:rsidRDefault="00861074" w:rsidP="00C91333">
      <w:pPr>
        <w:spacing w:after="0" w:line="288" w:lineRule="auto"/>
        <w:jc w:val="both"/>
        <w:rPr>
          <w:rFonts w:cs="Arial"/>
          <w:szCs w:val="24"/>
        </w:rPr>
      </w:pPr>
      <w:r w:rsidRPr="00A966B6">
        <w:rPr>
          <w:rFonts w:cs="Arial"/>
          <w:szCs w:val="24"/>
        </w:rPr>
        <w:t>Za nákup materiálu byla v rámci celého seskupení položek uhrazena částka ve výši 8.812,66 tis. Kč, finanční prostředky byly použity zejména na nákup drobného hmotného dlouhodobého majetku (6.288,40 tis. Kč) a ostatního materiálu (2.373,76 tis. Kč). Z položky drobného hmotného dlouhodobého majetku byl uhrazen nákup „30 ks PC a notebooků s certifikací „V“ a „D“ ve výši 656,43 tis. Kč, nákup výpočetní techniky ve výši 1.066,94 tis. Kč, nákup přenosné výpočetní techniky ve výši 1.635,22 tis. Kč, nákup spojovací techniky v celkové výši 816,16 tis. Kč, nákup monitorů ve výši 207,11 tis. Kč a nákup kancelářského nábytku ve výši 248,41 tis. Kč, kterým byl částečně obměněn a doplněn kancelářský nábytek v objektech Praha – Skokanská, dále pak na pracovišti pro Prahu a Středočeský kraj v Praze v objektu areálu Na Dračkách či v expoziturách v Hradci Králové, Pardubicích, Brně, Ústí nad Labem a v Karlových Varech. Dále byl doplněn početní stav služebních zbraní ve výši 62,40 tis. Kč či prostředků nutných k zadržení pachatelů ve výši 36,00 tis. Kč. Ze zbývajících prostředků byla pořízena jak kriminalistická a výpočetní techniky pro přímý výkon služby, tak i ostatní vybavení sloužící k zajištění podpory výkonu služby.</w:t>
      </w:r>
    </w:p>
    <w:p w14:paraId="0FB241B6" w14:textId="77777777" w:rsidR="00C91333" w:rsidRDefault="00C91333" w:rsidP="00C91333">
      <w:pPr>
        <w:spacing w:after="0" w:line="288" w:lineRule="auto"/>
        <w:jc w:val="both"/>
        <w:rPr>
          <w:rFonts w:cs="Arial"/>
          <w:szCs w:val="24"/>
        </w:rPr>
      </w:pPr>
    </w:p>
    <w:p w14:paraId="6E0AA9E3" w14:textId="77777777" w:rsidR="00F53FC4" w:rsidRDefault="00861074" w:rsidP="00F53FC4">
      <w:pPr>
        <w:spacing w:after="0" w:line="288" w:lineRule="auto"/>
        <w:jc w:val="both"/>
        <w:rPr>
          <w:rFonts w:cs="Arial"/>
          <w:szCs w:val="24"/>
        </w:rPr>
      </w:pPr>
      <w:r w:rsidRPr="00A966B6">
        <w:rPr>
          <w:rFonts w:cs="Arial"/>
          <w:szCs w:val="24"/>
        </w:rPr>
        <w:t xml:space="preserve">Nákup materiálu zahrnoval zejména nákup střeliva do služebních zbraní ve výši 617,10 tis. Kč, nákup tonerů pro výpočetní techniku ve výši 502,74 tis. Kč a nákup komponentů k výpočetní technice ve výši 385,04 tis. Kč, které slouží jak k navýšení výkonu stávající kriminalistické a výpočetní techniky, tak i k jejím opravám. Významnou položkou je i nákup pneumatik pro služební dopravní prostředky ve výši 175,63 tis. Kč. Zbylé finanční prostředky byly spotřebovány za výdaje nutné k zajištění jak vlastního výkonu služby, tak i k zajištění provozu jednotlivých expozitur. Zbývající </w:t>
      </w:r>
      <w:r w:rsidRPr="00A966B6">
        <w:rPr>
          <w:rFonts w:cs="Arial"/>
          <w:szCs w:val="24"/>
        </w:rPr>
        <w:lastRenderedPageBreak/>
        <w:t>výdaje představují nákup potravin k zajištění stravování při celostátních služebních poradách, nákup ochranných pomůcek, zdravotnického materiálu k doplnění lékárniček na jednotlivých expoziturách, autolékárniček, pracovních oděvů a obuvi pro zaměstnance GIBS a odborných knih a publikací.</w:t>
      </w:r>
    </w:p>
    <w:p w14:paraId="50B1C58E" w14:textId="77777777" w:rsidR="00F53FC4" w:rsidRDefault="00F53FC4" w:rsidP="00F53FC4">
      <w:pPr>
        <w:spacing w:after="0" w:line="288" w:lineRule="auto"/>
        <w:jc w:val="both"/>
        <w:rPr>
          <w:rFonts w:cs="Arial"/>
          <w:szCs w:val="24"/>
        </w:rPr>
      </w:pPr>
    </w:p>
    <w:p w14:paraId="7403829F" w14:textId="77777777" w:rsidR="00F53FC4" w:rsidRDefault="00861074" w:rsidP="00F53FC4">
      <w:pPr>
        <w:spacing w:after="0" w:line="288" w:lineRule="auto"/>
        <w:jc w:val="both"/>
        <w:rPr>
          <w:rFonts w:cs="Arial"/>
          <w:szCs w:val="24"/>
        </w:rPr>
      </w:pPr>
      <w:r w:rsidRPr="00A966B6">
        <w:rPr>
          <w:rFonts w:cs="Arial"/>
          <w:szCs w:val="24"/>
        </w:rPr>
        <w:t>Úroky a ostatní finanční výdaje byly čerpány ve výši 1,52 tis. Kč za realizované kurzové ztráty při zpětném prodeji valut v souvislosti se služebními cestami do zahraničí.</w:t>
      </w:r>
    </w:p>
    <w:p w14:paraId="1846C996" w14:textId="77777777" w:rsidR="00F53FC4" w:rsidRDefault="00F53FC4" w:rsidP="00F53FC4">
      <w:pPr>
        <w:spacing w:after="0" w:line="288" w:lineRule="auto"/>
        <w:jc w:val="both"/>
        <w:rPr>
          <w:rFonts w:cs="Arial"/>
          <w:szCs w:val="24"/>
        </w:rPr>
      </w:pPr>
    </w:p>
    <w:p w14:paraId="1CE86BE0" w14:textId="77777777" w:rsidR="000D7CBE" w:rsidRDefault="00861074" w:rsidP="00F53FC4">
      <w:pPr>
        <w:spacing w:after="0" w:line="288" w:lineRule="auto"/>
        <w:jc w:val="both"/>
        <w:rPr>
          <w:rFonts w:cs="Arial"/>
          <w:szCs w:val="24"/>
        </w:rPr>
      </w:pPr>
      <w:r w:rsidRPr="00A966B6">
        <w:rPr>
          <w:rFonts w:cs="Arial"/>
          <w:szCs w:val="24"/>
        </w:rPr>
        <w:t xml:space="preserve">Za nákup vody, energie a paliv bylo vyčerpáno 9.846,22 tis. Kč, což je srovnatelné čerpání jako v loňském roce. Největší část spotřebovaných finančních prostředků připadá na nákup pohonných hmot do služebních dopravních prostředků ve výši 5.517,69 tis. Kč. Čerpání těchto výdajů je, při srovnatelném počtu ujetých kilometrů, stejné jako v roce 2017. Zbylou část výdajů tvoří finanční prostředky vynaložené </w:t>
      </w:r>
      <w:r w:rsidR="00E066D8">
        <w:rPr>
          <w:rFonts w:cs="Arial"/>
          <w:szCs w:val="24"/>
        </w:rPr>
        <w:br/>
      </w:r>
      <w:r w:rsidRPr="00A966B6">
        <w:rPr>
          <w:rFonts w:cs="Arial"/>
          <w:szCs w:val="24"/>
        </w:rPr>
        <w:t xml:space="preserve">na zajištění provozu jak hlavní budovy ve Skokanské ulici, tak i jednotlivých expozitur </w:t>
      </w:r>
      <w:r w:rsidR="00E066D8">
        <w:rPr>
          <w:rFonts w:cs="Arial"/>
          <w:szCs w:val="24"/>
        </w:rPr>
        <w:br/>
      </w:r>
      <w:r w:rsidRPr="00A966B6">
        <w:rPr>
          <w:rFonts w:cs="Arial"/>
          <w:szCs w:val="24"/>
        </w:rPr>
        <w:t>a služebních bytů, kdy největší objem tvoří výdaje za spotřebu elektrické energie a plynu.</w:t>
      </w:r>
    </w:p>
    <w:p w14:paraId="7AB40FA7" w14:textId="77777777" w:rsidR="000D7CBE" w:rsidRDefault="000D7CBE" w:rsidP="00F53FC4">
      <w:pPr>
        <w:spacing w:after="0" w:line="288" w:lineRule="auto"/>
        <w:jc w:val="both"/>
        <w:rPr>
          <w:rFonts w:cs="Arial"/>
          <w:szCs w:val="24"/>
        </w:rPr>
      </w:pPr>
    </w:p>
    <w:p w14:paraId="06AFD586" w14:textId="77777777" w:rsidR="000D7CBE" w:rsidRDefault="00861074" w:rsidP="000D7CBE">
      <w:pPr>
        <w:spacing w:after="0" w:line="288" w:lineRule="auto"/>
        <w:jc w:val="both"/>
        <w:rPr>
          <w:rFonts w:cs="Arial"/>
          <w:szCs w:val="24"/>
        </w:rPr>
      </w:pPr>
      <w:r w:rsidRPr="00A966B6">
        <w:rPr>
          <w:rFonts w:cs="Arial"/>
          <w:szCs w:val="24"/>
        </w:rPr>
        <w:t xml:space="preserve">Za nákup služeb bylo vyčerpáno 12.416,37 tis. Kč. Největší objem finančních prostředků ve výši 3.481,72 tis. Kč připadá na úhradu nájemného za prostor v objektech, které nejsou ve vlastnictví České republiky. Jedná se zejména </w:t>
      </w:r>
      <w:r w:rsidR="00E066D8">
        <w:rPr>
          <w:rFonts w:cs="Arial"/>
          <w:szCs w:val="24"/>
        </w:rPr>
        <w:br/>
      </w:r>
      <w:r w:rsidRPr="00A966B6">
        <w:rPr>
          <w:rFonts w:cs="Arial"/>
          <w:szCs w:val="24"/>
        </w:rPr>
        <w:t>o pracoviště pro Prahu a Středočeský kraj v Praze v objektu areálu Na Dračkách, dále o prostory expozitur v Liberci a Plzni. Za ostatní služby bylo celkem uhrazeno 3.034,85 tis. Kč a objemově největší položku představují výdaje za služby spojené s užíváním prostor v objektu areálu Na Dračkách ve výši 842,16 tis. Kč. V ostatních službách jsou, mimo jiné, zařazeny výdaje na provedení STK u služebních dopravních prostředků či revize spojené s provozem a zabezpečením jednotlivých budov. Za služby radiokomunikací a telekomunikací bylo uhrazeno 2.453,11 tis. Kč. Další významnou položkou jsou výdaje za podporu užívání softwarových produktů ve výši 2.932,54 tis. Kč. Zde došlo oproti loňskému roku k výraznému nárůstu čerpání, který byl způsoben větším množstvím užívaných produktů pro přímý výkon služby. Zbývající část výdajů tvoří poštovné, poplatky za služby spojené se správou budov a služebních bytů, školení a vzdělávání pracovníků a další související služby.</w:t>
      </w:r>
    </w:p>
    <w:p w14:paraId="4E345E20" w14:textId="77777777" w:rsidR="000D7CBE" w:rsidRDefault="000D7CBE" w:rsidP="000D7CBE">
      <w:pPr>
        <w:spacing w:after="0" w:line="288" w:lineRule="auto"/>
        <w:jc w:val="both"/>
        <w:rPr>
          <w:rFonts w:cs="Arial"/>
          <w:szCs w:val="24"/>
        </w:rPr>
      </w:pPr>
    </w:p>
    <w:p w14:paraId="6A8E667D" w14:textId="14BB769C" w:rsidR="000D7CBE" w:rsidRDefault="00861074">
      <w:pPr>
        <w:spacing w:after="0" w:line="288" w:lineRule="auto"/>
        <w:jc w:val="both"/>
        <w:rPr>
          <w:rFonts w:cs="Arial"/>
          <w:szCs w:val="24"/>
        </w:rPr>
      </w:pPr>
      <w:r w:rsidRPr="00A966B6">
        <w:rPr>
          <w:rFonts w:cs="Arial"/>
          <w:szCs w:val="24"/>
        </w:rPr>
        <w:t xml:space="preserve">V rámci ostatních nákupů bylo vyčerpáno 7.691,65 tis. Kč, což je srovnatelné s rokem předchozím. Finanční prostředky byly použity zejména na zajištění oprav a údržby služebních dopravních prostředků ve výši 3.094,23 tis. Kč. V rámci stavebních oprav a udržovacích prací byly z objemově významnějších prací provedeny opravy vjezdových závor a potrubí kanalizace v areálu Praha, Skokanská, oprava odvodnění v objektu expozitury v Ústí nad Labem a oprava hromosvodů a výměna radiátorů v účelovém zařízení Barrandov. Do čerpání výdajů tohoto seskupení se výrazně promítá i výplata náhrady za neposkytnutí služební výstroje příslušníkům GIBS, vyplácená dle § 134, odst. 5 zákona č. 361/2003 Sb., o služebním poměru příslušníků </w:t>
      </w:r>
      <w:r w:rsidRPr="00A966B6">
        <w:rPr>
          <w:rFonts w:cs="Arial"/>
          <w:szCs w:val="24"/>
        </w:rPr>
        <w:lastRenderedPageBreak/>
        <w:t>bezpečnostních sborů ve výši 1.770,81 tis. Kč, výdaje spojené s tuzemským i zahraničním cestovným ve výši 590,87 tis. Kč a uhrazeny byly též licence k programovému vybavení ve výši 817,59 tis. Kč. Zbylé výdaje představují výdaje na pohoštění a účastnické poplatky na tuzemských konferencích.</w:t>
      </w:r>
    </w:p>
    <w:p w14:paraId="0F7849FF" w14:textId="77777777" w:rsidR="000D7CBE" w:rsidRDefault="000D7CBE">
      <w:pPr>
        <w:spacing w:after="0" w:line="288" w:lineRule="auto"/>
        <w:jc w:val="both"/>
        <w:rPr>
          <w:rFonts w:cs="Arial"/>
          <w:szCs w:val="24"/>
        </w:rPr>
      </w:pPr>
    </w:p>
    <w:p w14:paraId="5FF2E311" w14:textId="29AFD3B2" w:rsidR="005A3805" w:rsidRDefault="00861074" w:rsidP="005A3805">
      <w:pPr>
        <w:spacing w:after="0" w:line="288" w:lineRule="auto"/>
        <w:jc w:val="both"/>
        <w:rPr>
          <w:rFonts w:cs="Arial"/>
          <w:szCs w:val="24"/>
        </w:rPr>
      </w:pPr>
      <w:r w:rsidRPr="00A966B6">
        <w:rPr>
          <w:rFonts w:cs="Arial"/>
          <w:szCs w:val="24"/>
        </w:rPr>
        <w:t>Výdaje související s neinvestičními nákupy byly vyčerpány ve výši 3.087,18 tis. Kč a použity byly zejména na úhradu znalečného, výplatu odměn advokátům ex-offo a svědečného v souvislosti se služební činností GIBS v celkové výši 2.790,21 tis. Kč. Dále byly v tomto seskupení zařazeny výdaje na platby společenství vlastníků na výdaje spojené se správou, provozem a opravami společných částí budovy, kde jsou umístěny služební byty GIBS ve výši 205,75 tis. Kč a výdaje na nákup věcných darů, zahrnující například předměty, které jsou následně předávány příslušníkům GIBS jakožto kázeňská odměna podle § 49 odst. 2, písm. b) zákona č. 361/2003 Sb., o služebním poměru příslušníků bezpečnostních sborů či jsou předávány příslušníkům jiných bezpečnostních sborů nebo jiným osobám v celkové výši 91,22 tis. Kč.</w:t>
      </w:r>
    </w:p>
    <w:p w14:paraId="3D960E4E" w14:textId="77777777" w:rsidR="005A3805" w:rsidRDefault="005A3805" w:rsidP="005A3805">
      <w:pPr>
        <w:spacing w:after="0" w:line="288" w:lineRule="auto"/>
        <w:jc w:val="both"/>
        <w:rPr>
          <w:rFonts w:cs="Arial"/>
          <w:szCs w:val="24"/>
        </w:rPr>
      </w:pPr>
    </w:p>
    <w:p w14:paraId="7462447F" w14:textId="77777777" w:rsidR="005A3805" w:rsidRDefault="00861074" w:rsidP="005A3805">
      <w:pPr>
        <w:spacing w:after="0" w:line="288" w:lineRule="auto"/>
        <w:jc w:val="both"/>
        <w:rPr>
          <w:rFonts w:cs="Arial"/>
          <w:szCs w:val="24"/>
        </w:rPr>
      </w:pPr>
      <w:r w:rsidRPr="00A966B6">
        <w:rPr>
          <w:rFonts w:cs="Arial"/>
          <w:szCs w:val="24"/>
        </w:rPr>
        <w:t>Z výdajů seskupení „Neinvestiční transfery veřejným rozpočtům“ ve výši 5,12 tis. Kč byly uhrazeny manipulační poplatky za vydání parkovacích karet.</w:t>
      </w:r>
    </w:p>
    <w:p w14:paraId="5CB8F06C" w14:textId="77777777" w:rsidR="005A3805" w:rsidRDefault="005A3805" w:rsidP="005A3805">
      <w:pPr>
        <w:spacing w:after="0" w:line="288" w:lineRule="auto"/>
        <w:jc w:val="both"/>
        <w:rPr>
          <w:rFonts w:cs="Arial"/>
          <w:szCs w:val="24"/>
        </w:rPr>
      </w:pPr>
    </w:p>
    <w:p w14:paraId="0FB488F7" w14:textId="0970FC7C" w:rsidR="005A3805" w:rsidRDefault="00861074" w:rsidP="005A3805">
      <w:pPr>
        <w:spacing w:after="0" w:line="288" w:lineRule="auto"/>
        <w:jc w:val="both"/>
        <w:rPr>
          <w:rFonts w:cs="Arial"/>
          <w:szCs w:val="24"/>
        </w:rPr>
      </w:pPr>
      <w:r w:rsidRPr="00A966B6">
        <w:rPr>
          <w:rFonts w:cs="Arial"/>
          <w:szCs w:val="24"/>
        </w:rPr>
        <w:t>Finanční prostředky ve výši 89,61 tis. Kč byly, v souladu s ustanoveními §</w:t>
      </w:r>
      <w:r w:rsidR="004738AC">
        <w:rPr>
          <w:rFonts w:cs="Arial"/>
          <w:szCs w:val="24"/>
        </w:rPr>
        <w:t>§</w:t>
      </w:r>
      <w:r w:rsidRPr="00A966B6">
        <w:rPr>
          <w:rFonts w:cs="Arial"/>
          <w:szCs w:val="24"/>
        </w:rPr>
        <w:t xml:space="preserve"> 19</w:t>
      </w:r>
      <w:r w:rsidR="004738AC">
        <w:rPr>
          <w:rFonts w:cs="Arial"/>
          <w:szCs w:val="24"/>
        </w:rPr>
        <w:t xml:space="preserve">2 </w:t>
      </w:r>
      <w:proofErr w:type="gramStart"/>
      <w:r w:rsidR="004738AC">
        <w:rPr>
          <w:rFonts w:cs="Arial"/>
          <w:szCs w:val="24"/>
        </w:rPr>
        <w:t xml:space="preserve">až </w:t>
      </w:r>
      <w:r w:rsidRPr="00A966B6">
        <w:rPr>
          <w:rFonts w:cs="Arial"/>
          <w:szCs w:val="24"/>
        </w:rPr>
        <w:t xml:space="preserve"> 194</w:t>
      </w:r>
      <w:proofErr w:type="gramEnd"/>
      <w:r w:rsidRPr="00A966B6">
        <w:rPr>
          <w:rFonts w:cs="Arial"/>
          <w:szCs w:val="24"/>
        </w:rPr>
        <w:t xml:space="preserve"> zákona č. 262/2006 Sb., zákoníku práce, ve znění pozdějších předpisů, čerpány na výplatu náhrady mzdy zaměstnancům GIBS za prvních 21 dnů dočasné pracovní neschopnosti.</w:t>
      </w:r>
    </w:p>
    <w:p w14:paraId="71FF2B3A" w14:textId="77777777" w:rsidR="005A3805" w:rsidRDefault="005A3805" w:rsidP="005A3805">
      <w:pPr>
        <w:spacing w:after="0" w:line="288" w:lineRule="auto"/>
        <w:jc w:val="both"/>
        <w:rPr>
          <w:rFonts w:cs="Arial"/>
          <w:szCs w:val="24"/>
        </w:rPr>
      </w:pPr>
    </w:p>
    <w:p w14:paraId="79266F15" w14:textId="77777777" w:rsidR="005A3805" w:rsidRDefault="00861074" w:rsidP="005A3805">
      <w:pPr>
        <w:spacing w:after="0" w:line="288" w:lineRule="auto"/>
        <w:jc w:val="both"/>
        <w:rPr>
          <w:rFonts w:cs="Arial"/>
          <w:szCs w:val="24"/>
        </w:rPr>
      </w:pPr>
      <w:r w:rsidRPr="00A966B6">
        <w:rPr>
          <w:rFonts w:cs="Arial"/>
          <w:szCs w:val="24"/>
        </w:rPr>
        <w:t>Částka 3.000,00 tis. Kč byla vyčerpána na Zvláštní finanční prostředky, které jsou používány v souladu s § 77 zákona č. 273/2008 Sb., o Policii ČR, a jsou používány k úhradě některých výdajů v souvislosti se získáváním poznatků o trestné činnosti, s používáním podpůrných operativně pátracích prostředků, používáním operativně pátracích prostředků podle trestního řádu a v souvislosti se zajišťováním krátkodobé ochrany osob. Výdaje určené na Zvláštní finanční prostředky jsou utajovanou informací ve smyslu přílohy č. 20, bodu 11, nařízení vlády ČR č. 522/2005 Sb., kterým se stanoví seznam utajovaných informací, v platném znění, proto zde nejsou podrobněji rozepsány.</w:t>
      </w:r>
    </w:p>
    <w:p w14:paraId="234CB049" w14:textId="77777777" w:rsidR="005A3805" w:rsidRDefault="005A3805" w:rsidP="005A3805">
      <w:pPr>
        <w:spacing w:after="0" w:line="288" w:lineRule="auto"/>
        <w:jc w:val="both"/>
        <w:rPr>
          <w:rFonts w:cs="Arial"/>
          <w:szCs w:val="24"/>
        </w:rPr>
      </w:pPr>
    </w:p>
    <w:p w14:paraId="2A90D683" w14:textId="77777777" w:rsidR="005A3805" w:rsidRDefault="00861074" w:rsidP="005A3805">
      <w:pPr>
        <w:spacing w:after="0" w:line="288" w:lineRule="auto"/>
        <w:jc w:val="both"/>
        <w:rPr>
          <w:rFonts w:cs="Arial"/>
          <w:szCs w:val="24"/>
        </w:rPr>
      </w:pPr>
      <w:r w:rsidRPr="00A966B6">
        <w:rPr>
          <w:rFonts w:cs="Arial"/>
          <w:szCs w:val="24"/>
        </w:rPr>
        <w:t>Schválený rozpočet kapitálových výdajů byl čerpán částkou ve výši 4.874,24 tis. Kč a jednalo se o výdaje zaregistrované v informačním systému programového financování (EDS/SMVS), v rámci titulu „Rozvoj a obnova materiálně technické základny GIBS II.“</w:t>
      </w:r>
    </w:p>
    <w:p w14:paraId="4C4F3DB8" w14:textId="77777777" w:rsidR="005A3805" w:rsidRDefault="005A3805" w:rsidP="005A3805">
      <w:pPr>
        <w:spacing w:after="0" w:line="288" w:lineRule="auto"/>
        <w:jc w:val="both"/>
        <w:rPr>
          <w:rFonts w:cs="Arial"/>
          <w:szCs w:val="24"/>
        </w:rPr>
      </w:pPr>
    </w:p>
    <w:p w14:paraId="72AB8C1E" w14:textId="77777777" w:rsidR="005A3805" w:rsidRDefault="00861074" w:rsidP="005A3805">
      <w:pPr>
        <w:spacing w:after="0" w:line="288" w:lineRule="auto"/>
        <w:jc w:val="both"/>
        <w:rPr>
          <w:rFonts w:cs="Arial"/>
          <w:szCs w:val="24"/>
        </w:rPr>
      </w:pPr>
      <w:r w:rsidRPr="00A966B6">
        <w:rPr>
          <w:rFonts w:cs="Arial"/>
          <w:szCs w:val="24"/>
        </w:rPr>
        <w:t>Za „Programové vybavení“ bylo uhrazeno celkem 145,08 tis. Kč a jednalo se o pořízení „Softwaru pro analýzu dat“.</w:t>
      </w:r>
    </w:p>
    <w:p w14:paraId="2C4D0674" w14:textId="77777777" w:rsidR="005A3805" w:rsidRDefault="005A3805" w:rsidP="005A3805">
      <w:pPr>
        <w:spacing w:after="0" w:line="288" w:lineRule="auto"/>
        <w:jc w:val="both"/>
        <w:rPr>
          <w:rFonts w:cs="Arial"/>
          <w:szCs w:val="24"/>
        </w:rPr>
      </w:pPr>
    </w:p>
    <w:p w14:paraId="72D2D061" w14:textId="0DA43A32" w:rsidR="005A3805" w:rsidRDefault="00861074" w:rsidP="005A3805">
      <w:pPr>
        <w:spacing w:after="0" w:line="288" w:lineRule="auto"/>
        <w:jc w:val="both"/>
        <w:rPr>
          <w:rFonts w:cs="Arial"/>
          <w:szCs w:val="24"/>
        </w:rPr>
      </w:pPr>
      <w:r w:rsidRPr="00A966B6">
        <w:rPr>
          <w:rFonts w:cs="Arial"/>
          <w:szCs w:val="24"/>
        </w:rPr>
        <w:lastRenderedPageBreak/>
        <w:t>V rámci položky „Budovy, haly a stavby“ bylo vyčerpáno 50,45 tis. Kč a jednalo se o nákupy projektových dokumentací k akcím „Praha, Skokanská – vybudování přístřešku“ ve výši 28,50 tis. Kč a „Jihlava – zpevněná plocha pro parkování vozidel“ ve výši 21,95 tis. Kč.</w:t>
      </w:r>
    </w:p>
    <w:p w14:paraId="048CE12F" w14:textId="77777777" w:rsidR="005A3805" w:rsidRDefault="005A3805" w:rsidP="005A3805">
      <w:pPr>
        <w:spacing w:after="0" w:line="288" w:lineRule="auto"/>
        <w:jc w:val="both"/>
        <w:rPr>
          <w:rFonts w:cs="Arial"/>
          <w:szCs w:val="24"/>
        </w:rPr>
      </w:pPr>
    </w:p>
    <w:p w14:paraId="7DA75637" w14:textId="77777777" w:rsidR="005A3805" w:rsidRDefault="00861074" w:rsidP="005A3805">
      <w:pPr>
        <w:spacing w:after="0" w:line="288" w:lineRule="auto"/>
        <w:jc w:val="both"/>
        <w:rPr>
          <w:rFonts w:cs="Arial"/>
          <w:szCs w:val="24"/>
        </w:rPr>
      </w:pPr>
      <w:r w:rsidRPr="00A966B6">
        <w:rPr>
          <w:rFonts w:cs="Arial"/>
          <w:szCs w:val="24"/>
        </w:rPr>
        <w:t>Za položky „Stroje, přístroje a zařízení“ bylo uhrazeno 1.574,41 tis. Kč. Jednalo se o akci „Modernizace systému centralizované ochrany“ v objektu Na Dračkách ve výši 84,37 tis. Kč a nákup speciálních zařízení a techniky pro úsek speciálních služeb v celkové výši 1.490,04 tis. Kč.</w:t>
      </w:r>
    </w:p>
    <w:p w14:paraId="77E271BE" w14:textId="77777777" w:rsidR="005A3805" w:rsidRDefault="005A3805" w:rsidP="005A3805">
      <w:pPr>
        <w:spacing w:after="0" w:line="288" w:lineRule="auto"/>
        <w:jc w:val="both"/>
        <w:rPr>
          <w:rFonts w:cs="Arial"/>
          <w:szCs w:val="24"/>
        </w:rPr>
      </w:pPr>
    </w:p>
    <w:p w14:paraId="2F29BB4A" w14:textId="77777777" w:rsidR="005A3805" w:rsidRDefault="00861074">
      <w:pPr>
        <w:spacing w:after="251" w:line="300" w:lineRule="exact"/>
        <w:jc w:val="both"/>
        <w:rPr>
          <w:rFonts w:cs="Arial"/>
          <w:szCs w:val="24"/>
        </w:rPr>
      </w:pPr>
      <w:r w:rsidRPr="00A966B6">
        <w:rPr>
          <w:rFonts w:cs="Arial"/>
          <w:szCs w:val="24"/>
        </w:rPr>
        <w:t>Za nákup dopravních prostředků bylo uhrazeno 1.188,00 tis. Kč a jednalo se o služební dopravní prostředky pro úsek speciálních služeb.</w:t>
      </w:r>
    </w:p>
    <w:p w14:paraId="3B83DCA1" w14:textId="77777777" w:rsidR="007C46C0" w:rsidRDefault="00861074" w:rsidP="007C46C0">
      <w:pPr>
        <w:jc w:val="both"/>
      </w:pPr>
      <w:r w:rsidRPr="00A966B6">
        <w:t>Výpočetní technika byla pořízena v částce 1.916,30 tis. Kč a jednalo se o nákup „Rackové skříně“ ve výši 276,79 tis. Kč, pořízení „Systému detekce kybernetických událostí“ ve výši 738,83 tis. Kč, nákup „Serverů“ ve výši 383,02 tis. Kč a „Rozšíření diskového pole“ ve výši 517,66 tis. Kč.</w:t>
      </w:r>
      <w:bookmarkStart w:id="244" w:name="_Toc2085186"/>
      <w:bookmarkStart w:id="245" w:name="_Toc2085267"/>
      <w:bookmarkStart w:id="246" w:name="_Toc2103593"/>
      <w:bookmarkStart w:id="247" w:name="_Toc2085187"/>
      <w:bookmarkStart w:id="248" w:name="_Toc2085268"/>
      <w:bookmarkStart w:id="249" w:name="_Toc2103594"/>
      <w:bookmarkStart w:id="250" w:name="_Toc2085188"/>
      <w:bookmarkEnd w:id="244"/>
      <w:bookmarkEnd w:id="245"/>
      <w:bookmarkEnd w:id="246"/>
      <w:bookmarkEnd w:id="247"/>
      <w:bookmarkEnd w:id="248"/>
      <w:bookmarkEnd w:id="249"/>
    </w:p>
    <w:p w14:paraId="399C925C" w14:textId="4CB3D2C5" w:rsidR="00861074" w:rsidRPr="00A966B6" w:rsidRDefault="00861074" w:rsidP="007C46C0">
      <w:pPr>
        <w:pStyle w:val="Nadpis2"/>
      </w:pPr>
      <w:bookmarkStart w:id="251" w:name="_Toc2682567"/>
      <w:r w:rsidRPr="00A966B6">
        <w:t>Veřejné zakázky</w:t>
      </w:r>
      <w:bookmarkEnd w:id="250"/>
      <w:bookmarkEnd w:id="251"/>
    </w:p>
    <w:p w14:paraId="46A7AF95" w14:textId="77777777" w:rsidR="00861074" w:rsidRPr="00A966B6" w:rsidRDefault="00861074" w:rsidP="00861074">
      <w:pPr>
        <w:pStyle w:val="Odstavecseseznamem"/>
        <w:spacing w:after="251" w:line="300" w:lineRule="exact"/>
        <w:ind w:left="0"/>
        <w:jc w:val="both"/>
        <w:rPr>
          <w:rFonts w:cs="Arial"/>
          <w:szCs w:val="24"/>
        </w:rPr>
      </w:pPr>
      <w:r w:rsidRPr="00A966B6">
        <w:rPr>
          <w:rFonts w:cs="Arial"/>
          <w:szCs w:val="24"/>
        </w:rPr>
        <w:t>V roce 2018 GIBS realizovala celkem 436 veřejných zakázek, prostřednictvím svého oddělení správy majetku. Na jejich realizaci se podílí nejen pracoviště veřejných zakázek, ale i odborní pracovníci skupiny movitého a nemovitého majetku.</w:t>
      </w:r>
    </w:p>
    <w:p w14:paraId="2F48DBFB" w14:textId="77777777" w:rsidR="00F907ED" w:rsidRDefault="00F907ED" w:rsidP="00861074">
      <w:pPr>
        <w:pStyle w:val="Odstavecseseznamem"/>
        <w:spacing w:after="251" w:line="300" w:lineRule="exact"/>
        <w:ind w:left="0"/>
        <w:jc w:val="both"/>
        <w:rPr>
          <w:rFonts w:cs="Arial"/>
          <w:szCs w:val="24"/>
        </w:rPr>
      </w:pPr>
    </w:p>
    <w:p w14:paraId="2A07D101" w14:textId="77777777" w:rsidR="00861074" w:rsidRPr="00A966B6" w:rsidRDefault="00861074" w:rsidP="00861074">
      <w:pPr>
        <w:pStyle w:val="Odstavecseseznamem"/>
        <w:spacing w:after="251" w:line="300" w:lineRule="exact"/>
        <w:ind w:left="0"/>
        <w:jc w:val="both"/>
        <w:rPr>
          <w:rFonts w:cs="Arial"/>
          <w:szCs w:val="24"/>
        </w:rPr>
      </w:pPr>
      <w:r w:rsidRPr="00A966B6">
        <w:rPr>
          <w:rFonts w:cs="Arial"/>
          <w:szCs w:val="24"/>
        </w:rPr>
        <w:t xml:space="preserve">Veřejné zakázky byly zadány a realizovány podle zákona č. 134/2016 Sb., </w:t>
      </w:r>
      <w:r w:rsidRPr="00A966B6">
        <w:rPr>
          <w:rFonts w:cs="Arial"/>
          <w:szCs w:val="24"/>
        </w:rPr>
        <w:br/>
        <w:t xml:space="preserve">o zadávání veřejných zakázek, ve znění pozdějších předpisů a souvisejících prováděcích předpisů.  </w:t>
      </w:r>
    </w:p>
    <w:p w14:paraId="08E9E018" w14:textId="70593FD1" w:rsidR="00861074" w:rsidRPr="00A966B6" w:rsidRDefault="00861074" w:rsidP="00861074">
      <w:pPr>
        <w:spacing w:after="120" w:line="240" w:lineRule="auto"/>
        <w:rPr>
          <w:rFonts w:cs="Arial"/>
          <w:i/>
          <w:szCs w:val="24"/>
        </w:rPr>
      </w:pPr>
      <w:r w:rsidRPr="00A966B6">
        <w:rPr>
          <w:rFonts w:cs="Arial"/>
          <w:i/>
          <w:szCs w:val="24"/>
        </w:rPr>
        <w:t xml:space="preserve">Tabulka č. </w:t>
      </w:r>
      <w:r w:rsidR="00A52084">
        <w:rPr>
          <w:rFonts w:cs="Arial"/>
          <w:i/>
          <w:szCs w:val="24"/>
        </w:rPr>
        <w:t>8</w:t>
      </w:r>
      <w:r w:rsidRPr="00A966B6">
        <w:rPr>
          <w:rFonts w:cs="Arial"/>
          <w:i/>
          <w:szCs w:val="24"/>
        </w:rPr>
        <w:t>:</w:t>
      </w:r>
      <w:r w:rsidRPr="00A966B6">
        <w:rPr>
          <w:rFonts w:cs="Arial"/>
          <w:b/>
          <w:i/>
          <w:szCs w:val="24"/>
        </w:rPr>
        <w:t xml:space="preserve"> Struktura veřejných zakázek GIBS </w:t>
      </w:r>
    </w:p>
    <w:tbl>
      <w:tblPr>
        <w:tblW w:w="9072" w:type="dxa"/>
        <w:tblInd w:w="-5" w:type="dxa"/>
        <w:tblCellMar>
          <w:left w:w="70" w:type="dxa"/>
          <w:right w:w="70" w:type="dxa"/>
        </w:tblCellMar>
        <w:tblLook w:val="04A0" w:firstRow="1" w:lastRow="0" w:firstColumn="1" w:lastColumn="0" w:noHBand="0" w:noVBand="1"/>
      </w:tblPr>
      <w:tblGrid>
        <w:gridCol w:w="3261"/>
        <w:gridCol w:w="781"/>
        <w:gridCol w:w="5030"/>
      </w:tblGrid>
      <w:tr w:rsidR="00A966B6" w:rsidRPr="00A966B6" w14:paraId="74C0AA21" w14:textId="77777777" w:rsidTr="00A966B6">
        <w:trPr>
          <w:trHeight w:val="315"/>
        </w:trPr>
        <w:tc>
          <w:tcPr>
            <w:tcW w:w="3261" w:type="dxa"/>
            <w:vMerge w:val="restart"/>
            <w:tcBorders>
              <w:top w:val="single" w:sz="4" w:space="0" w:color="auto"/>
              <w:left w:val="single" w:sz="4" w:space="0" w:color="auto"/>
              <w:bottom w:val="single" w:sz="8" w:space="0" w:color="000000"/>
              <w:right w:val="single" w:sz="4" w:space="0" w:color="auto"/>
            </w:tcBorders>
            <w:vAlign w:val="center"/>
            <w:hideMark/>
          </w:tcPr>
          <w:p w14:paraId="0F46AC33" w14:textId="77777777" w:rsidR="00861074" w:rsidRPr="00A966B6" w:rsidRDefault="00861074" w:rsidP="00A966B6">
            <w:pPr>
              <w:spacing w:after="0" w:line="240" w:lineRule="auto"/>
              <w:jc w:val="center"/>
              <w:rPr>
                <w:b/>
                <w:bCs/>
                <w:szCs w:val="24"/>
              </w:rPr>
            </w:pPr>
            <w:r w:rsidRPr="00A966B6">
              <w:rPr>
                <w:b/>
                <w:bCs/>
                <w:szCs w:val="24"/>
              </w:rPr>
              <w:t>druh zadání podle hodnoty veřejné zakázky</w:t>
            </w:r>
          </w:p>
        </w:tc>
        <w:tc>
          <w:tcPr>
            <w:tcW w:w="5811" w:type="dxa"/>
            <w:gridSpan w:val="2"/>
            <w:tcBorders>
              <w:top w:val="single" w:sz="4" w:space="0" w:color="auto"/>
              <w:left w:val="nil"/>
              <w:bottom w:val="single" w:sz="4" w:space="0" w:color="auto"/>
              <w:right w:val="single" w:sz="4" w:space="0" w:color="auto"/>
            </w:tcBorders>
            <w:noWrap/>
            <w:vAlign w:val="bottom"/>
            <w:hideMark/>
          </w:tcPr>
          <w:p w14:paraId="2548CBD6" w14:textId="77777777" w:rsidR="00861074" w:rsidRPr="00A966B6" w:rsidRDefault="00861074" w:rsidP="00A966B6">
            <w:pPr>
              <w:spacing w:after="0" w:line="240" w:lineRule="auto"/>
              <w:jc w:val="center"/>
              <w:rPr>
                <w:b/>
                <w:bCs/>
                <w:szCs w:val="24"/>
              </w:rPr>
            </w:pPr>
            <w:r w:rsidRPr="00A966B6">
              <w:rPr>
                <w:b/>
                <w:bCs/>
                <w:szCs w:val="24"/>
              </w:rPr>
              <w:t>2018</w:t>
            </w:r>
          </w:p>
        </w:tc>
      </w:tr>
      <w:tr w:rsidR="00A966B6" w:rsidRPr="00A966B6" w14:paraId="639C7920" w14:textId="77777777" w:rsidTr="00A966B6">
        <w:trPr>
          <w:trHeight w:val="525"/>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1E4BA894" w14:textId="77777777" w:rsidR="00861074" w:rsidRPr="00A966B6" w:rsidRDefault="00861074" w:rsidP="00A966B6">
            <w:pPr>
              <w:spacing w:after="0"/>
              <w:rPr>
                <w:b/>
                <w:bCs/>
                <w:szCs w:val="24"/>
              </w:rPr>
            </w:pPr>
          </w:p>
        </w:tc>
        <w:tc>
          <w:tcPr>
            <w:tcW w:w="781" w:type="dxa"/>
            <w:tcBorders>
              <w:top w:val="nil"/>
              <w:left w:val="nil"/>
              <w:bottom w:val="single" w:sz="8" w:space="0" w:color="auto"/>
              <w:right w:val="single" w:sz="4" w:space="0" w:color="auto"/>
            </w:tcBorders>
            <w:noWrap/>
            <w:vAlign w:val="center"/>
            <w:hideMark/>
          </w:tcPr>
          <w:p w14:paraId="578F0184" w14:textId="77777777" w:rsidR="00861074" w:rsidRPr="00A966B6" w:rsidRDefault="00861074" w:rsidP="00A966B6">
            <w:pPr>
              <w:spacing w:after="0" w:line="240" w:lineRule="auto"/>
              <w:jc w:val="center"/>
              <w:rPr>
                <w:b/>
                <w:bCs/>
                <w:szCs w:val="24"/>
              </w:rPr>
            </w:pPr>
            <w:r w:rsidRPr="00A966B6">
              <w:rPr>
                <w:b/>
                <w:bCs/>
                <w:szCs w:val="24"/>
              </w:rPr>
              <w:t>počet</w:t>
            </w:r>
          </w:p>
        </w:tc>
        <w:tc>
          <w:tcPr>
            <w:tcW w:w="5030" w:type="dxa"/>
            <w:tcBorders>
              <w:top w:val="nil"/>
              <w:left w:val="nil"/>
              <w:bottom w:val="single" w:sz="8" w:space="0" w:color="auto"/>
              <w:right w:val="single" w:sz="4" w:space="0" w:color="auto"/>
            </w:tcBorders>
            <w:vAlign w:val="center"/>
            <w:hideMark/>
          </w:tcPr>
          <w:p w14:paraId="243A174C" w14:textId="2A79A793" w:rsidR="00861074" w:rsidRPr="00A966B6" w:rsidRDefault="00861074" w:rsidP="00A966B6">
            <w:pPr>
              <w:spacing w:after="0" w:line="240" w:lineRule="auto"/>
              <w:jc w:val="center"/>
              <w:rPr>
                <w:b/>
                <w:bCs/>
                <w:szCs w:val="24"/>
              </w:rPr>
            </w:pPr>
            <w:r w:rsidRPr="00A966B6">
              <w:rPr>
                <w:b/>
                <w:bCs/>
                <w:szCs w:val="24"/>
              </w:rPr>
              <w:t>objem v</w:t>
            </w:r>
            <w:r w:rsidR="00011B9C">
              <w:rPr>
                <w:b/>
                <w:bCs/>
                <w:szCs w:val="24"/>
              </w:rPr>
              <w:t> </w:t>
            </w:r>
            <w:r w:rsidRPr="00A966B6">
              <w:rPr>
                <w:b/>
                <w:bCs/>
                <w:szCs w:val="24"/>
              </w:rPr>
              <w:t>Kč</w:t>
            </w:r>
          </w:p>
        </w:tc>
      </w:tr>
      <w:tr w:rsidR="00A966B6" w:rsidRPr="00A966B6" w14:paraId="31C36158" w14:textId="77777777" w:rsidTr="00A966B6">
        <w:trPr>
          <w:trHeight w:val="300"/>
        </w:trPr>
        <w:tc>
          <w:tcPr>
            <w:tcW w:w="3261" w:type="dxa"/>
            <w:tcBorders>
              <w:top w:val="nil"/>
              <w:left w:val="single" w:sz="4" w:space="0" w:color="auto"/>
              <w:bottom w:val="single" w:sz="4" w:space="0" w:color="auto"/>
              <w:right w:val="single" w:sz="4" w:space="0" w:color="auto"/>
            </w:tcBorders>
            <w:noWrap/>
            <w:vAlign w:val="bottom"/>
            <w:hideMark/>
          </w:tcPr>
          <w:p w14:paraId="04DFBB83" w14:textId="77777777" w:rsidR="00861074" w:rsidRPr="00A966B6" w:rsidRDefault="00861074" w:rsidP="00A966B6">
            <w:pPr>
              <w:spacing w:after="0" w:line="240" w:lineRule="auto"/>
              <w:rPr>
                <w:szCs w:val="24"/>
              </w:rPr>
            </w:pPr>
            <w:r w:rsidRPr="00A966B6">
              <w:rPr>
                <w:szCs w:val="24"/>
              </w:rPr>
              <w:t>podlimitní veřejné zakázky</w:t>
            </w:r>
          </w:p>
        </w:tc>
        <w:tc>
          <w:tcPr>
            <w:tcW w:w="781" w:type="dxa"/>
            <w:tcBorders>
              <w:top w:val="nil"/>
              <w:left w:val="nil"/>
              <w:bottom w:val="single" w:sz="4" w:space="0" w:color="auto"/>
              <w:right w:val="single" w:sz="4" w:space="0" w:color="auto"/>
            </w:tcBorders>
            <w:noWrap/>
            <w:vAlign w:val="bottom"/>
            <w:hideMark/>
          </w:tcPr>
          <w:p w14:paraId="16293FDF" w14:textId="77777777" w:rsidR="00861074" w:rsidRPr="00A966B6" w:rsidRDefault="00861074" w:rsidP="00A966B6">
            <w:pPr>
              <w:spacing w:after="0" w:line="240" w:lineRule="auto"/>
              <w:jc w:val="center"/>
              <w:rPr>
                <w:szCs w:val="24"/>
              </w:rPr>
            </w:pPr>
            <w:r w:rsidRPr="00A966B6">
              <w:rPr>
                <w:szCs w:val="24"/>
              </w:rPr>
              <w:t>1</w:t>
            </w:r>
          </w:p>
        </w:tc>
        <w:tc>
          <w:tcPr>
            <w:tcW w:w="5030" w:type="dxa"/>
            <w:tcBorders>
              <w:top w:val="nil"/>
              <w:left w:val="nil"/>
              <w:bottom w:val="single" w:sz="4" w:space="0" w:color="auto"/>
              <w:right w:val="single" w:sz="4" w:space="0" w:color="auto"/>
            </w:tcBorders>
            <w:noWrap/>
            <w:vAlign w:val="bottom"/>
            <w:hideMark/>
          </w:tcPr>
          <w:p w14:paraId="47841917" w14:textId="77777777" w:rsidR="00861074" w:rsidRPr="00A966B6" w:rsidRDefault="00861074" w:rsidP="00A966B6">
            <w:pPr>
              <w:spacing w:after="0" w:line="240" w:lineRule="auto"/>
              <w:jc w:val="center"/>
              <w:rPr>
                <w:szCs w:val="24"/>
              </w:rPr>
            </w:pPr>
            <w:r w:rsidRPr="00A966B6">
              <w:rPr>
                <w:szCs w:val="24"/>
              </w:rPr>
              <w:t>2 448 900</w:t>
            </w:r>
          </w:p>
        </w:tc>
      </w:tr>
      <w:tr w:rsidR="00A966B6" w:rsidRPr="00A966B6" w14:paraId="59737542" w14:textId="77777777" w:rsidTr="00A966B6">
        <w:trPr>
          <w:trHeight w:val="315"/>
        </w:trPr>
        <w:tc>
          <w:tcPr>
            <w:tcW w:w="3261" w:type="dxa"/>
            <w:tcBorders>
              <w:top w:val="nil"/>
              <w:left w:val="single" w:sz="4" w:space="0" w:color="auto"/>
              <w:bottom w:val="nil"/>
              <w:right w:val="single" w:sz="4" w:space="0" w:color="auto"/>
            </w:tcBorders>
            <w:noWrap/>
            <w:vAlign w:val="bottom"/>
            <w:hideMark/>
          </w:tcPr>
          <w:p w14:paraId="2F7A4C94" w14:textId="77777777" w:rsidR="00861074" w:rsidRPr="00A966B6" w:rsidRDefault="00861074" w:rsidP="00A966B6">
            <w:pPr>
              <w:spacing w:after="0" w:line="240" w:lineRule="auto"/>
              <w:rPr>
                <w:szCs w:val="24"/>
              </w:rPr>
            </w:pPr>
            <w:r w:rsidRPr="00A966B6">
              <w:rPr>
                <w:szCs w:val="24"/>
              </w:rPr>
              <w:t>veř. zakázky malého rozsahu</w:t>
            </w:r>
          </w:p>
        </w:tc>
        <w:tc>
          <w:tcPr>
            <w:tcW w:w="781" w:type="dxa"/>
            <w:tcBorders>
              <w:top w:val="nil"/>
              <w:left w:val="nil"/>
              <w:bottom w:val="nil"/>
              <w:right w:val="single" w:sz="4" w:space="0" w:color="auto"/>
            </w:tcBorders>
            <w:noWrap/>
            <w:vAlign w:val="bottom"/>
            <w:hideMark/>
          </w:tcPr>
          <w:p w14:paraId="01D89AEB" w14:textId="77777777" w:rsidR="00861074" w:rsidRPr="00A966B6" w:rsidRDefault="00861074" w:rsidP="00A966B6">
            <w:pPr>
              <w:spacing w:after="0" w:line="240" w:lineRule="auto"/>
              <w:jc w:val="center"/>
              <w:rPr>
                <w:szCs w:val="24"/>
              </w:rPr>
            </w:pPr>
            <w:r w:rsidRPr="00A966B6">
              <w:rPr>
                <w:szCs w:val="24"/>
              </w:rPr>
              <w:t>435</w:t>
            </w:r>
          </w:p>
        </w:tc>
        <w:tc>
          <w:tcPr>
            <w:tcW w:w="5030" w:type="dxa"/>
            <w:tcBorders>
              <w:top w:val="nil"/>
              <w:left w:val="nil"/>
              <w:bottom w:val="nil"/>
              <w:right w:val="single" w:sz="4" w:space="0" w:color="auto"/>
            </w:tcBorders>
            <w:noWrap/>
            <w:vAlign w:val="bottom"/>
            <w:hideMark/>
          </w:tcPr>
          <w:p w14:paraId="6DBBD1FB" w14:textId="77777777" w:rsidR="00861074" w:rsidRPr="00A966B6" w:rsidRDefault="00861074" w:rsidP="00A966B6">
            <w:pPr>
              <w:spacing w:after="0" w:line="240" w:lineRule="auto"/>
              <w:jc w:val="center"/>
              <w:rPr>
                <w:szCs w:val="24"/>
              </w:rPr>
            </w:pPr>
            <w:r w:rsidRPr="00A966B6">
              <w:rPr>
                <w:szCs w:val="24"/>
              </w:rPr>
              <w:t>22 104 386</w:t>
            </w:r>
          </w:p>
        </w:tc>
      </w:tr>
      <w:tr w:rsidR="00A966B6" w:rsidRPr="00A966B6" w14:paraId="118D0EB8" w14:textId="77777777" w:rsidTr="00A966B6">
        <w:trPr>
          <w:trHeight w:val="315"/>
        </w:trPr>
        <w:tc>
          <w:tcPr>
            <w:tcW w:w="3261" w:type="dxa"/>
            <w:tcBorders>
              <w:top w:val="single" w:sz="8" w:space="0" w:color="auto"/>
              <w:left w:val="single" w:sz="4" w:space="0" w:color="auto"/>
              <w:bottom w:val="double" w:sz="6" w:space="0" w:color="auto"/>
              <w:right w:val="single" w:sz="4" w:space="0" w:color="auto"/>
            </w:tcBorders>
            <w:noWrap/>
            <w:vAlign w:val="bottom"/>
            <w:hideMark/>
          </w:tcPr>
          <w:p w14:paraId="3D66451C" w14:textId="77777777" w:rsidR="00861074" w:rsidRPr="00A966B6" w:rsidRDefault="00861074" w:rsidP="00A966B6">
            <w:pPr>
              <w:spacing w:after="0" w:line="240" w:lineRule="auto"/>
              <w:rPr>
                <w:b/>
                <w:bCs/>
                <w:szCs w:val="24"/>
              </w:rPr>
            </w:pPr>
            <w:r w:rsidRPr="00A966B6">
              <w:rPr>
                <w:b/>
                <w:bCs/>
                <w:szCs w:val="24"/>
              </w:rPr>
              <w:t>CELKEM</w:t>
            </w:r>
          </w:p>
        </w:tc>
        <w:tc>
          <w:tcPr>
            <w:tcW w:w="781" w:type="dxa"/>
            <w:tcBorders>
              <w:top w:val="single" w:sz="8" w:space="0" w:color="auto"/>
              <w:left w:val="nil"/>
              <w:bottom w:val="double" w:sz="6" w:space="0" w:color="auto"/>
              <w:right w:val="single" w:sz="4" w:space="0" w:color="auto"/>
            </w:tcBorders>
            <w:noWrap/>
            <w:vAlign w:val="bottom"/>
            <w:hideMark/>
          </w:tcPr>
          <w:p w14:paraId="17761EBD" w14:textId="77777777" w:rsidR="00861074" w:rsidRPr="00A966B6" w:rsidRDefault="00861074" w:rsidP="00A966B6">
            <w:pPr>
              <w:spacing w:after="0" w:line="240" w:lineRule="auto"/>
              <w:jc w:val="center"/>
              <w:rPr>
                <w:b/>
                <w:bCs/>
                <w:szCs w:val="24"/>
              </w:rPr>
            </w:pPr>
            <w:r w:rsidRPr="00A966B6">
              <w:rPr>
                <w:b/>
                <w:bCs/>
                <w:szCs w:val="24"/>
              </w:rPr>
              <w:t>436</w:t>
            </w:r>
          </w:p>
        </w:tc>
        <w:tc>
          <w:tcPr>
            <w:tcW w:w="5030" w:type="dxa"/>
            <w:tcBorders>
              <w:top w:val="single" w:sz="8" w:space="0" w:color="auto"/>
              <w:left w:val="nil"/>
              <w:bottom w:val="double" w:sz="6" w:space="0" w:color="auto"/>
              <w:right w:val="single" w:sz="4" w:space="0" w:color="auto"/>
            </w:tcBorders>
            <w:noWrap/>
            <w:vAlign w:val="bottom"/>
            <w:hideMark/>
          </w:tcPr>
          <w:p w14:paraId="2985EACA" w14:textId="77777777" w:rsidR="00861074" w:rsidRPr="00A966B6" w:rsidRDefault="00861074" w:rsidP="00A966B6">
            <w:pPr>
              <w:spacing w:after="0" w:line="240" w:lineRule="auto"/>
              <w:jc w:val="center"/>
              <w:rPr>
                <w:b/>
                <w:bCs/>
                <w:szCs w:val="24"/>
              </w:rPr>
            </w:pPr>
            <w:r w:rsidRPr="00A966B6">
              <w:rPr>
                <w:b/>
                <w:bCs/>
                <w:szCs w:val="24"/>
              </w:rPr>
              <w:t>24 553 286</w:t>
            </w:r>
          </w:p>
        </w:tc>
      </w:tr>
    </w:tbl>
    <w:p w14:paraId="6B7A5952" w14:textId="77777777" w:rsidR="00861074" w:rsidRPr="00A966B6" w:rsidRDefault="00861074" w:rsidP="00861074">
      <w:pPr>
        <w:pStyle w:val="Odstavecseseznamem"/>
        <w:spacing w:after="120" w:line="240" w:lineRule="auto"/>
        <w:ind w:left="0"/>
        <w:jc w:val="both"/>
        <w:rPr>
          <w:rFonts w:cs="Arial"/>
          <w:szCs w:val="24"/>
        </w:rPr>
      </w:pPr>
    </w:p>
    <w:p w14:paraId="4FC18CA2" w14:textId="77777777" w:rsidR="00861074" w:rsidRPr="00A966B6" w:rsidRDefault="00861074" w:rsidP="00861074">
      <w:pPr>
        <w:pStyle w:val="Odstavecseseznamem"/>
        <w:spacing w:after="251" w:line="300" w:lineRule="exact"/>
        <w:ind w:left="0"/>
        <w:jc w:val="both"/>
        <w:rPr>
          <w:rFonts w:cs="Arial"/>
          <w:szCs w:val="24"/>
        </w:rPr>
      </w:pPr>
      <w:r w:rsidRPr="00A966B6">
        <w:rPr>
          <w:rFonts w:cs="Arial"/>
          <w:szCs w:val="24"/>
        </w:rPr>
        <w:t>Nákupy komodit určených usnesením vlády č. 451 ze dne 15. 6. 2011, a od 1. 7. 2017 podle usnesení vlády č. 467 ze dne 21. června 2017 byly provedeny s využitím elektronického nástroje NEN. Celkem bylo pracovištěm veřejných zakázek tímto způsobem realizováno 54 zakázek.</w:t>
      </w:r>
    </w:p>
    <w:p w14:paraId="4F3D07C8" w14:textId="77777777" w:rsidR="00861074" w:rsidRPr="00A966B6" w:rsidRDefault="00861074" w:rsidP="00861074">
      <w:pPr>
        <w:spacing w:after="251" w:line="300" w:lineRule="exact"/>
        <w:jc w:val="both"/>
        <w:rPr>
          <w:rFonts w:cs="Arial"/>
          <w:b/>
          <w:szCs w:val="24"/>
        </w:rPr>
      </w:pPr>
      <w:r w:rsidRPr="00A966B6">
        <w:rPr>
          <w:rFonts w:cs="Arial"/>
          <w:b/>
          <w:szCs w:val="24"/>
        </w:rPr>
        <w:t xml:space="preserve">Oblast movitého majetku </w:t>
      </w:r>
    </w:p>
    <w:p w14:paraId="736050D4" w14:textId="77777777" w:rsidR="00861074" w:rsidRPr="00A966B6" w:rsidRDefault="00861074" w:rsidP="00861074">
      <w:pPr>
        <w:spacing w:after="251" w:line="300" w:lineRule="exact"/>
        <w:jc w:val="both"/>
        <w:rPr>
          <w:rFonts w:cs="Arial"/>
          <w:szCs w:val="24"/>
        </w:rPr>
      </w:pPr>
      <w:r w:rsidRPr="00A966B6">
        <w:rPr>
          <w:rFonts w:cs="Arial"/>
          <w:szCs w:val="24"/>
        </w:rPr>
        <w:t xml:space="preserve">Vozový park GIBS činil na začátku roku celkem 160 dopravních prostředků. V průběhu roku došlo k nákupu 2 vozidel a bezúplatnému převodu 1 vozidla ke GIBS a 1 vozidla </w:t>
      </w:r>
      <w:r w:rsidRPr="00A966B6">
        <w:rPr>
          <w:rFonts w:cs="Arial"/>
          <w:szCs w:val="24"/>
        </w:rPr>
        <w:lastRenderedPageBreak/>
        <w:t>od GIBS. Současně bylo odprodáno 10 vozidel jako nepotřebných. Celkem bylo ujeto 2.409.772 km s celkovými náklady na nákup pohonných hmot ve výši 5.404.729 Kč a opravy a údržbu ve výši 3.605.791Kč.</w:t>
      </w:r>
    </w:p>
    <w:p w14:paraId="5109D8AA" w14:textId="77777777" w:rsidR="00861074" w:rsidRPr="00A966B6" w:rsidRDefault="00861074" w:rsidP="00861074">
      <w:pPr>
        <w:spacing w:after="251" w:line="300" w:lineRule="exact"/>
        <w:jc w:val="both"/>
        <w:rPr>
          <w:rFonts w:cs="Arial"/>
          <w:szCs w:val="24"/>
        </w:rPr>
      </w:pPr>
      <w:r w:rsidRPr="00A966B6">
        <w:rPr>
          <w:rFonts w:cs="Arial"/>
          <w:szCs w:val="24"/>
        </w:rPr>
        <w:t xml:space="preserve">V oblasti výstrojního a výzbrojního majetku bylo zajištěno dovybavení GIBS ke služební přípravě nákupem pout a pouzder, reflexních vest a pásek, svítilen a střeliva.  V oblasti stavebně-ubytovacího majetku došlo v roce 2018 k běžné obměně majetku např. dovybavení pracovišť kancelářským nábytkem prostřednictvím výroby nábytku u VS ČR, obměna varných konvic, regálů atd.  </w:t>
      </w:r>
    </w:p>
    <w:p w14:paraId="01C9D125" w14:textId="77777777" w:rsidR="00861074" w:rsidRPr="00A966B6" w:rsidRDefault="00861074" w:rsidP="00861074">
      <w:pPr>
        <w:spacing w:after="251" w:line="300" w:lineRule="exact"/>
        <w:jc w:val="both"/>
        <w:rPr>
          <w:rFonts w:cs="Arial"/>
          <w:szCs w:val="24"/>
        </w:rPr>
      </w:pPr>
      <w:r w:rsidRPr="00A966B6">
        <w:rPr>
          <w:rFonts w:cs="Arial"/>
          <w:szCs w:val="24"/>
        </w:rPr>
        <w:t>Každodenní činností bylo zásobování kancelářským a ostatním spotřebním materiálem, evidence všech skupin majetku v systému VEMA, a správa movitého majetku včetně zajišťování oprav a údržby majetku.</w:t>
      </w:r>
    </w:p>
    <w:p w14:paraId="7D16F8E9" w14:textId="0AB3621A" w:rsidR="00861074" w:rsidRPr="00A966B6" w:rsidRDefault="00861074" w:rsidP="00861074">
      <w:pPr>
        <w:spacing w:after="251" w:line="300" w:lineRule="exact"/>
        <w:jc w:val="both"/>
        <w:rPr>
          <w:rFonts w:cs="Arial"/>
          <w:b/>
          <w:szCs w:val="24"/>
        </w:rPr>
      </w:pPr>
      <w:r w:rsidRPr="00A966B6">
        <w:rPr>
          <w:rFonts w:cs="Arial"/>
          <w:szCs w:val="24"/>
        </w:rPr>
        <w:t>Důležitým úkolem bylo každoroční provedení fyzické inventarizace majetku, na kterém se podíleli všichni pracovníci oddělení správy majetku.</w:t>
      </w:r>
    </w:p>
    <w:p w14:paraId="75580398" w14:textId="77777777" w:rsidR="00861074" w:rsidRPr="00A966B6" w:rsidRDefault="00861074" w:rsidP="00861074">
      <w:pPr>
        <w:spacing w:after="251" w:line="300" w:lineRule="exact"/>
        <w:jc w:val="both"/>
        <w:rPr>
          <w:rFonts w:cs="Arial"/>
          <w:b/>
          <w:szCs w:val="24"/>
        </w:rPr>
      </w:pPr>
      <w:r w:rsidRPr="00A966B6">
        <w:rPr>
          <w:rFonts w:cs="Arial"/>
          <w:b/>
          <w:szCs w:val="24"/>
        </w:rPr>
        <w:t xml:space="preserve">Oblast nemovitého majetku </w:t>
      </w:r>
    </w:p>
    <w:p w14:paraId="4C8ECF49" w14:textId="77777777" w:rsidR="00861074" w:rsidRPr="00A966B6" w:rsidRDefault="00861074" w:rsidP="00861074">
      <w:pPr>
        <w:spacing w:after="251" w:line="300" w:lineRule="exact"/>
        <w:jc w:val="both"/>
        <w:rPr>
          <w:rFonts w:cs="Arial"/>
          <w:szCs w:val="24"/>
        </w:rPr>
      </w:pPr>
      <w:r w:rsidRPr="00A966B6">
        <w:rPr>
          <w:rFonts w:cs="Arial"/>
          <w:szCs w:val="24"/>
        </w:rPr>
        <w:t>GIBS hospodaří celkem s 20 vlastními objekty dislokovanými v Praze, Karlových Varech, Ústí  n/L, Hradci Králové, Jihlavě, Zlíně, Olomouci a Ostravě. Další 3 objekty, které GIBS využívá, jsou nájemní a 5 objektů užívá formou výpůjčky od ostatních organizačních složek státu.</w:t>
      </w:r>
    </w:p>
    <w:p w14:paraId="1DB3011B" w14:textId="77777777" w:rsidR="00861074" w:rsidRPr="00A966B6" w:rsidRDefault="00861074" w:rsidP="00861074">
      <w:pPr>
        <w:spacing w:after="251" w:line="300" w:lineRule="exact"/>
        <w:jc w:val="both"/>
        <w:rPr>
          <w:rFonts w:cs="Arial"/>
          <w:szCs w:val="24"/>
        </w:rPr>
      </w:pPr>
      <w:r w:rsidRPr="00A966B6">
        <w:rPr>
          <w:rFonts w:cs="Arial"/>
          <w:szCs w:val="24"/>
        </w:rPr>
        <w:t>Od září 2018 začaly intenzivní práce na hledání nových prostor pro oddělení Praha a Středočeský kraj z důvodu obdržení výpovědi z nájemních prostor k 31. 7. 2019. Bylo požádáno o převod nevyužívaného objektu státu uvedeného v CRAB. V době zpracování výroční zprávy zatím nebylo o převodu rozhodnuto. Do doby jeho převodu a případné rekonstrukce bude nutné organizační součásti přestěhovat do jiných nájemních prostor.</w:t>
      </w:r>
    </w:p>
    <w:p w14:paraId="773E3DA0" w14:textId="77777777" w:rsidR="00861074" w:rsidRPr="00A966B6" w:rsidRDefault="00861074" w:rsidP="00621F94">
      <w:pPr>
        <w:spacing w:after="251" w:line="300" w:lineRule="exact"/>
        <w:jc w:val="both"/>
        <w:rPr>
          <w:rFonts w:cs="Arial"/>
          <w:szCs w:val="24"/>
        </w:rPr>
      </w:pPr>
      <w:r w:rsidRPr="00A966B6">
        <w:rPr>
          <w:rFonts w:cs="Arial"/>
          <w:szCs w:val="24"/>
        </w:rPr>
        <w:t xml:space="preserve">Celkové náklady na zajištění provozu objektů (nájmy, energie, revize atd.) činily celkem 8.491 tis. Kč, náklady na opravy, údržbu a investice celkem 2.475 tis. Kč </w:t>
      </w:r>
    </w:p>
    <w:p w14:paraId="5224ED0A" w14:textId="5DC7F913" w:rsidR="0029470F" w:rsidRPr="009928B8" w:rsidRDefault="00861074" w:rsidP="00621F94">
      <w:pPr>
        <w:jc w:val="both"/>
      </w:pPr>
      <w:r w:rsidRPr="00A966B6">
        <w:rPr>
          <w:rFonts w:cs="Arial"/>
          <w:szCs w:val="24"/>
        </w:rPr>
        <w:t xml:space="preserve">Další činností byla správa všech objektů GIBS, provádění drobné údržby vlastními pracovníky údržby a správci objektů, vedení agendy pro vodohospodářskou, energetickou a ekologickou činnost, zajišťování úklidu všech objektů (vč. nájmů </w:t>
      </w:r>
      <w:r w:rsidRPr="00A966B6">
        <w:rPr>
          <w:rFonts w:cs="Arial"/>
          <w:szCs w:val="24"/>
        </w:rPr>
        <w:br/>
        <w:t>a výpůjček), dodávky energií a médií, zajištění likvidace odpadu, zpracování faktur, prohlídky a odstranění závad zjištěných při prověrkách Bezpečnosti a ochrany zdraví při práci a požární bezpečnosti.</w:t>
      </w:r>
    </w:p>
    <w:p w14:paraId="28521B21" w14:textId="77777777" w:rsidR="007240FE" w:rsidRPr="00A966B6" w:rsidRDefault="007240FE" w:rsidP="001664A3">
      <w:pPr>
        <w:pStyle w:val="Nadpis2"/>
      </w:pPr>
      <w:bookmarkStart w:id="252" w:name="_Toc2085189"/>
      <w:bookmarkStart w:id="253" w:name="_Toc2682568"/>
      <w:r w:rsidRPr="00A966B6">
        <w:t>Personální záležitosti a vzdělávání</w:t>
      </w:r>
      <w:bookmarkEnd w:id="252"/>
      <w:bookmarkEnd w:id="253"/>
    </w:p>
    <w:p w14:paraId="70E78E63" w14:textId="77777777" w:rsidR="00861074" w:rsidRPr="00A966B6" w:rsidRDefault="00861074" w:rsidP="00861074">
      <w:pPr>
        <w:spacing w:after="251" w:line="300" w:lineRule="exact"/>
        <w:jc w:val="both"/>
        <w:rPr>
          <w:rFonts w:cs="Arial"/>
          <w:szCs w:val="24"/>
        </w:rPr>
      </w:pPr>
      <w:r w:rsidRPr="00A966B6">
        <w:rPr>
          <w:rFonts w:cs="Arial"/>
          <w:szCs w:val="24"/>
        </w:rPr>
        <w:t>Plánované početní stavy GIBS se pro rok 2018 nezměnily, tzn., že bylo k dispozici 279 systemizovaných služebních míst a 56 systemizovaných pracovních míst. Celkem tedy 335 míst.</w:t>
      </w:r>
    </w:p>
    <w:p w14:paraId="5A40A528" w14:textId="63E47D60" w:rsidR="00822432" w:rsidRPr="00203E3A" w:rsidRDefault="00861074" w:rsidP="002D05B4">
      <w:pPr>
        <w:spacing w:after="251" w:line="300" w:lineRule="exact"/>
        <w:jc w:val="both"/>
        <w:rPr>
          <w:rFonts w:cs="Arial"/>
          <w:szCs w:val="24"/>
        </w:rPr>
      </w:pPr>
      <w:r w:rsidRPr="00A966B6">
        <w:rPr>
          <w:rFonts w:cs="Arial"/>
          <w:szCs w:val="24"/>
        </w:rPr>
        <w:lastRenderedPageBreak/>
        <w:t>V</w:t>
      </w:r>
      <w:r w:rsidR="00F5495B">
        <w:rPr>
          <w:rFonts w:cs="Arial"/>
          <w:szCs w:val="24"/>
        </w:rPr>
        <w:t>  loňském</w:t>
      </w:r>
      <w:r w:rsidRPr="00A966B6">
        <w:rPr>
          <w:rFonts w:cs="Arial"/>
          <w:szCs w:val="24"/>
        </w:rPr>
        <w:t xml:space="preserve"> roce, oproti let minulým, bohužel došlo k výraznému odchodu příslušníků do civilního sektoru nebo převedení k jinému bezpečnostnímu sboru. </w:t>
      </w:r>
      <w:r w:rsidR="003F37E7" w:rsidRPr="003F37E7">
        <w:rPr>
          <w:rFonts w:cs="Arial"/>
          <w:szCs w:val="24"/>
        </w:rPr>
        <w:t xml:space="preserve">Jednalo se o </w:t>
      </w:r>
      <w:r w:rsidRPr="003F37E7">
        <w:rPr>
          <w:rFonts w:cs="Arial"/>
          <w:szCs w:val="24"/>
        </w:rPr>
        <w:t>45 příslušníků</w:t>
      </w:r>
      <w:r w:rsidR="003F37E7" w:rsidRPr="003F37E7">
        <w:rPr>
          <w:rFonts w:cs="Arial"/>
          <w:szCs w:val="24"/>
        </w:rPr>
        <w:t xml:space="preserve">. </w:t>
      </w:r>
      <w:r w:rsidR="003F37E7" w:rsidRPr="00203E3A">
        <w:rPr>
          <w:rFonts w:cs="Arial"/>
          <w:szCs w:val="24"/>
        </w:rPr>
        <w:t>Od</w:t>
      </w:r>
      <w:r w:rsidR="007F5A6E" w:rsidRPr="00203E3A">
        <w:rPr>
          <w:rFonts w:cs="Arial"/>
          <w:szCs w:val="24"/>
        </w:rPr>
        <w:t xml:space="preserve"> </w:t>
      </w:r>
      <w:r w:rsidR="001D0F4B" w:rsidRPr="00203E3A">
        <w:rPr>
          <w:rFonts w:cs="Arial"/>
          <w:szCs w:val="24"/>
        </w:rPr>
        <w:t xml:space="preserve">1. ledna do 30. dubna </w:t>
      </w:r>
      <w:r w:rsidR="00203E3A" w:rsidRPr="00203E3A">
        <w:rPr>
          <w:rFonts w:cs="Arial"/>
          <w:szCs w:val="24"/>
        </w:rPr>
        <w:t xml:space="preserve">2018 </w:t>
      </w:r>
      <w:r w:rsidR="00BB0CB8" w:rsidRPr="00203E3A">
        <w:rPr>
          <w:rFonts w:cs="Arial"/>
          <w:szCs w:val="24"/>
        </w:rPr>
        <w:t xml:space="preserve">podalo žádost o uvolnění ze služebního poměru </w:t>
      </w:r>
      <w:r w:rsidR="001D0F4B" w:rsidRPr="00203E3A">
        <w:rPr>
          <w:rFonts w:cs="Arial"/>
          <w:szCs w:val="24"/>
        </w:rPr>
        <w:t xml:space="preserve">8 příslušníků, od 1.5.2018 do 31.8.2018 </w:t>
      </w:r>
      <w:r w:rsidR="00BB0CB8" w:rsidRPr="00203E3A">
        <w:rPr>
          <w:rFonts w:cs="Arial"/>
          <w:szCs w:val="24"/>
        </w:rPr>
        <w:t xml:space="preserve">tak učinilo </w:t>
      </w:r>
      <w:r w:rsidR="001D0F4B" w:rsidRPr="00203E3A">
        <w:rPr>
          <w:rFonts w:cs="Arial"/>
          <w:szCs w:val="24"/>
        </w:rPr>
        <w:t>29 příslušníků (z toho 6 příslušníků po 1.9.2018 svoji žádost vzalo zpět)</w:t>
      </w:r>
      <w:r w:rsidR="00822432" w:rsidRPr="00203E3A">
        <w:rPr>
          <w:rFonts w:cs="Arial"/>
          <w:szCs w:val="24"/>
        </w:rPr>
        <w:t xml:space="preserve"> a</w:t>
      </w:r>
      <w:r w:rsidR="001D0F4B" w:rsidRPr="00203E3A">
        <w:rPr>
          <w:rFonts w:cs="Arial"/>
          <w:szCs w:val="24"/>
        </w:rPr>
        <w:t xml:space="preserve"> od </w:t>
      </w:r>
      <w:r w:rsidR="007F5A6E" w:rsidRPr="00203E3A">
        <w:rPr>
          <w:rFonts w:cs="Arial"/>
          <w:szCs w:val="24"/>
        </w:rPr>
        <w:t>1.</w:t>
      </w:r>
      <w:r w:rsidR="00E23541" w:rsidRPr="00203E3A">
        <w:rPr>
          <w:rFonts w:cs="Arial"/>
          <w:szCs w:val="24"/>
        </w:rPr>
        <w:t xml:space="preserve"> září </w:t>
      </w:r>
      <w:r w:rsidR="007F5A6E" w:rsidRPr="00203E3A">
        <w:rPr>
          <w:rFonts w:cs="Arial"/>
          <w:szCs w:val="24"/>
        </w:rPr>
        <w:t xml:space="preserve">2018 </w:t>
      </w:r>
      <w:r w:rsidR="001D0F4B" w:rsidRPr="00203E3A">
        <w:rPr>
          <w:rFonts w:cs="Arial"/>
          <w:szCs w:val="24"/>
        </w:rPr>
        <w:t xml:space="preserve">do 31.12.2018 </w:t>
      </w:r>
      <w:r w:rsidR="00011B9C" w:rsidRPr="00203E3A">
        <w:rPr>
          <w:rFonts w:cs="Arial"/>
          <w:szCs w:val="24"/>
        </w:rPr>
        <w:t>podalo žádost o uvolnění</w:t>
      </w:r>
      <w:r w:rsidR="005C65C1" w:rsidRPr="00203E3A">
        <w:rPr>
          <w:rFonts w:cs="Arial"/>
          <w:szCs w:val="24"/>
        </w:rPr>
        <w:t xml:space="preserve"> ze služebního poměru</w:t>
      </w:r>
      <w:r w:rsidR="007F5A6E" w:rsidRPr="00203E3A">
        <w:rPr>
          <w:rFonts w:cs="Arial"/>
          <w:szCs w:val="24"/>
        </w:rPr>
        <w:t xml:space="preserve"> 1</w:t>
      </w:r>
      <w:r w:rsidR="00822432" w:rsidRPr="00203E3A">
        <w:rPr>
          <w:rFonts w:cs="Arial"/>
          <w:szCs w:val="24"/>
        </w:rPr>
        <w:t>4 příslušníků.</w:t>
      </w:r>
    </w:p>
    <w:p w14:paraId="1F7EF77B" w14:textId="1E91AC49" w:rsidR="00861074" w:rsidRPr="00A966B6" w:rsidRDefault="00861074" w:rsidP="00861074">
      <w:pPr>
        <w:spacing w:after="251" w:line="300" w:lineRule="exact"/>
        <w:jc w:val="both"/>
        <w:rPr>
          <w:rFonts w:cs="Arial"/>
          <w:szCs w:val="24"/>
        </w:rPr>
      </w:pPr>
      <w:r w:rsidRPr="00A966B6">
        <w:rPr>
          <w:rFonts w:cs="Arial"/>
          <w:szCs w:val="24"/>
        </w:rPr>
        <w:t>Oproti tomu bylo přijato</w:t>
      </w:r>
      <w:r w:rsidR="00954823">
        <w:rPr>
          <w:rFonts w:cs="Arial"/>
          <w:szCs w:val="24"/>
        </w:rPr>
        <w:t xml:space="preserve"> celkem 20 nových příslušníků, z toho</w:t>
      </w:r>
      <w:r w:rsidRPr="00A966B6">
        <w:rPr>
          <w:rFonts w:cs="Arial"/>
          <w:szCs w:val="24"/>
        </w:rPr>
        <w:t xml:space="preserve"> 6</w:t>
      </w:r>
      <w:r w:rsidR="00822432">
        <w:rPr>
          <w:rFonts w:cs="Arial"/>
          <w:szCs w:val="24"/>
        </w:rPr>
        <w:t xml:space="preserve"> </w:t>
      </w:r>
      <w:r w:rsidRPr="00A966B6">
        <w:rPr>
          <w:rFonts w:cs="Arial"/>
          <w:szCs w:val="24"/>
        </w:rPr>
        <w:t xml:space="preserve">příslušníků z civilního sektoru a 14 příslušníků bylo převedeno z jiných </w:t>
      </w:r>
      <w:r w:rsidR="00954823">
        <w:rPr>
          <w:rFonts w:cs="Arial"/>
          <w:szCs w:val="24"/>
        </w:rPr>
        <w:t>BS</w:t>
      </w:r>
      <w:r w:rsidRPr="00A966B6">
        <w:rPr>
          <w:rFonts w:cs="Arial"/>
          <w:szCs w:val="24"/>
        </w:rPr>
        <w:t xml:space="preserve">. </w:t>
      </w:r>
      <w:r w:rsidR="000A5F5F">
        <w:rPr>
          <w:rFonts w:cs="Arial"/>
          <w:szCs w:val="24"/>
        </w:rPr>
        <w:t xml:space="preserve">Nutno poznamenat, že </w:t>
      </w:r>
      <w:r w:rsidR="00822432">
        <w:rPr>
          <w:rFonts w:cs="Arial"/>
          <w:szCs w:val="24"/>
        </w:rPr>
        <w:t>v průběhu podzimu byl</w:t>
      </w:r>
      <w:r w:rsidR="000A5F5F">
        <w:rPr>
          <w:rFonts w:cs="Arial"/>
          <w:szCs w:val="24"/>
        </w:rPr>
        <w:t xml:space="preserve"> zahájen výběr nových zkušených příslušníků, zejména z řad P ČR.</w:t>
      </w:r>
      <w:r w:rsidR="000C4F3D">
        <w:rPr>
          <w:rFonts w:cs="Arial"/>
          <w:szCs w:val="24"/>
        </w:rPr>
        <w:t xml:space="preserve"> </w:t>
      </w:r>
      <w:r w:rsidR="00954823" w:rsidRPr="00A966B6">
        <w:rPr>
          <w:rFonts w:cs="Arial"/>
          <w:szCs w:val="24"/>
        </w:rPr>
        <w:t>Podstav k 1. lednu 2019 čin</w:t>
      </w:r>
      <w:r w:rsidR="000C4F3D">
        <w:rPr>
          <w:rFonts w:cs="Arial"/>
          <w:szCs w:val="24"/>
        </w:rPr>
        <w:t>il</w:t>
      </w:r>
      <w:r w:rsidR="00954823" w:rsidRPr="00A966B6">
        <w:rPr>
          <w:rFonts w:cs="Arial"/>
          <w:szCs w:val="24"/>
        </w:rPr>
        <w:t xml:space="preserve"> 26 volných systemizovaných služebních míst.</w:t>
      </w:r>
      <w:r w:rsidR="000C4F3D" w:rsidRPr="000C4F3D">
        <w:rPr>
          <w:rFonts w:cs="Arial"/>
          <w:szCs w:val="24"/>
        </w:rPr>
        <w:t xml:space="preserve"> </w:t>
      </w:r>
      <w:r w:rsidR="000C4F3D">
        <w:rPr>
          <w:rFonts w:cs="Arial"/>
          <w:szCs w:val="24"/>
        </w:rPr>
        <w:t>Z toho cca 10 příslušníků již nastoupilo v průběhu ledna a února 2019.</w:t>
      </w:r>
      <w:r w:rsidR="000C4F3D" w:rsidRPr="000C4F3D">
        <w:rPr>
          <w:rFonts w:cs="Arial"/>
          <w:szCs w:val="24"/>
        </w:rPr>
        <w:t xml:space="preserve"> </w:t>
      </w:r>
      <w:r w:rsidR="00693133">
        <w:rPr>
          <w:rFonts w:cs="Arial"/>
          <w:szCs w:val="24"/>
        </w:rPr>
        <w:t>D</w:t>
      </w:r>
      <w:r w:rsidR="000C4F3D">
        <w:rPr>
          <w:rFonts w:cs="Arial"/>
          <w:szCs w:val="24"/>
        </w:rPr>
        <w:t>o současné doby již proběhly i další pohovory v rámci nabídkových řízení, příslušníci dle zákona absolvovali psychologická vyšetření a v průběhu roku 2019 dojde k převedení  ke GIBS po té, co budou uvolněni svými nadřízenými z jiného BS.</w:t>
      </w:r>
      <w:r w:rsidR="00693133">
        <w:rPr>
          <w:rFonts w:cs="Arial"/>
          <w:szCs w:val="24"/>
        </w:rPr>
        <w:t xml:space="preserve"> Negativní vliv na délku doby, kdy budou příslušnici uvolněni k převedení na GIBS má zejména špatná personální situace i u ostatních BS.</w:t>
      </w:r>
    </w:p>
    <w:p w14:paraId="5584C746" w14:textId="50809FC4" w:rsidR="002D05B4" w:rsidRPr="00203E3A" w:rsidRDefault="00A55E4F" w:rsidP="00203E3A">
      <w:pPr>
        <w:jc w:val="both"/>
        <w:rPr>
          <w:rFonts w:cs="Arial"/>
          <w:color w:val="000000" w:themeColor="text1"/>
          <w:szCs w:val="24"/>
        </w:rPr>
      </w:pPr>
      <w:r w:rsidRPr="00203E3A">
        <w:rPr>
          <w:rFonts w:cs="Arial"/>
          <w:color w:val="000000" w:themeColor="text1"/>
          <w:szCs w:val="24"/>
        </w:rPr>
        <w:t>Pokud jde o tolik žádoucí personální stabilitu, pak s</w:t>
      </w:r>
      <w:r w:rsidR="002D05B4" w:rsidRPr="00203E3A">
        <w:rPr>
          <w:rFonts w:cs="Arial"/>
          <w:color w:val="000000" w:themeColor="text1"/>
          <w:szCs w:val="24"/>
        </w:rPr>
        <w:t xml:space="preserve">e značnými obavami registruje GIBS </w:t>
      </w:r>
      <w:r w:rsidR="00BB0CB8" w:rsidRPr="00203E3A">
        <w:rPr>
          <w:rFonts w:cs="Arial"/>
          <w:color w:val="000000" w:themeColor="text1"/>
          <w:szCs w:val="24"/>
        </w:rPr>
        <w:t xml:space="preserve">poslanecký </w:t>
      </w:r>
      <w:r w:rsidR="002D05B4" w:rsidRPr="00203E3A">
        <w:rPr>
          <w:rFonts w:cs="Arial"/>
          <w:color w:val="000000" w:themeColor="text1"/>
          <w:szCs w:val="24"/>
        </w:rPr>
        <w:t>návrh na vydání zákona, kterým se mění zákon č. 361/2003 Sb., o služebním poměru příslušníků bezpečnostních sborů, ve znění pozdějších předpisů (sněmovní tisk č. 399)</w:t>
      </w:r>
      <w:r w:rsidRPr="00203E3A">
        <w:rPr>
          <w:rFonts w:cs="Arial"/>
          <w:color w:val="000000" w:themeColor="text1"/>
          <w:szCs w:val="24"/>
        </w:rPr>
        <w:t xml:space="preserve">, kdy předběžným průzkumem </w:t>
      </w:r>
      <w:r w:rsidR="00822432" w:rsidRPr="00203E3A">
        <w:rPr>
          <w:rFonts w:cs="Arial"/>
          <w:color w:val="000000" w:themeColor="text1"/>
          <w:szCs w:val="24"/>
        </w:rPr>
        <w:t xml:space="preserve">mezi příslušníky </w:t>
      </w:r>
      <w:proofErr w:type="spellStart"/>
      <w:r w:rsidR="00BB0CB8" w:rsidRPr="00203E3A">
        <w:rPr>
          <w:rFonts w:cs="Arial"/>
          <w:color w:val="000000" w:themeColor="text1"/>
          <w:szCs w:val="24"/>
        </w:rPr>
        <w:t>GIBSu</w:t>
      </w:r>
      <w:proofErr w:type="spellEnd"/>
      <w:r w:rsidR="00BB0CB8" w:rsidRPr="00203E3A">
        <w:rPr>
          <w:rFonts w:cs="Arial"/>
          <w:color w:val="000000" w:themeColor="text1"/>
          <w:szCs w:val="24"/>
        </w:rPr>
        <w:t xml:space="preserve"> zařazenými </w:t>
      </w:r>
      <w:r w:rsidR="00822432" w:rsidRPr="00203E3A">
        <w:rPr>
          <w:rFonts w:cs="Arial"/>
          <w:color w:val="000000" w:themeColor="text1"/>
          <w:szCs w:val="24"/>
        </w:rPr>
        <w:t xml:space="preserve">na úseku trestního řízení </w:t>
      </w:r>
      <w:r w:rsidRPr="00203E3A">
        <w:rPr>
          <w:rFonts w:cs="Arial"/>
          <w:color w:val="000000" w:themeColor="text1"/>
          <w:szCs w:val="24"/>
        </w:rPr>
        <w:t xml:space="preserve">bylo zjištěno, že </w:t>
      </w:r>
      <w:r w:rsidR="00822432" w:rsidRPr="00203E3A">
        <w:rPr>
          <w:rFonts w:cs="Arial"/>
          <w:color w:val="000000" w:themeColor="text1"/>
          <w:szCs w:val="24"/>
        </w:rPr>
        <w:t>cca 40-</w:t>
      </w:r>
      <w:r w:rsidRPr="00203E3A">
        <w:rPr>
          <w:rFonts w:cs="Arial"/>
          <w:color w:val="000000" w:themeColor="text1"/>
          <w:szCs w:val="24"/>
        </w:rPr>
        <w:t xml:space="preserve">50% </w:t>
      </w:r>
      <w:r w:rsidR="00822432" w:rsidRPr="00203E3A">
        <w:rPr>
          <w:rFonts w:cs="Arial"/>
          <w:color w:val="000000" w:themeColor="text1"/>
          <w:szCs w:val="24"/>
        </w:rPr>
        <w:t xml:space="preserve">(60-70 osob) </w:t>
      </w:r>
      <w:r w:rsidR="00BB0CB8" w:rsidRPr="00203E3A">
        <w:rPr>
          <w:rFonts w:cs="Arial"/>
          <w:color w:val="000000" w:themeColor="text1"/>
          <w:szCs w:val="24"/>
        </w:rPr>
        <w:t>osob</w:t>
      </w:r>
      <w:r w:rsidRPr="00203E3A">
        <w:rPr>
          <w:rFonts w:cs="Arial"/>
          <w:color w:val="000000" w:themeColor="text1"/>
          <w:szCs w:val="24"/>
        </w:rPr>
        <w:t xml:space="preserve"> by reálně uvažovalo o</w:t>
      </w:r>
      <w:r w:rsidR="00822432" w:rsidRPr="00203E3A">
        <w:rPr>
          <w:rFonts w:cs="Arial"/>
          <w:color w:val="000000" w:themeColor="text1"/>
          <w:szCs w:val="24"/>
        </w:rPr>
        <w:t xml:space="preserve"> skončení služebního poměru v případě účinnosti </w:t>
      </w:r>
      <w:r w:rsidR="00BB0CB8" w:rsidRPr="00203E3A">
        <w:rPr>
          <w:rFonts w:cs="Arial"/>
          <w:color w:val="000000" w:themeColor="text1"/>
          <w:szCs w:val="24"/>
        </w:rPr>
        <w:t>právě zmíněné poslanecké novely</w:t>
      </w:r>
      <w:r w:rsidR="00822432" w:rsidRPr="00203E3A">
        <w:rPr>
          <w:rFonts w:cs="Arial"/>
          <w:color w:val="000000" w:themeColor="text1"/>
          <w:szCs w:val="24"/>
        </w:rPr>
        <w:t xml:space="preserve">. Nutno ještě podotknout, že na GIBS nastupují povětšinou </w:t>
      </w:r>
      <w:r w:rsidR="00BB0CB8" w:rsidRPr="00203E3A">
        <w:rPr>
          <w:rFonts w:cs="Arial"/>
          <w:color w:val="000000" w:themeColor="text1"/>
          <w:szCs w:val="24"/>
        </w:rPr>
        <w:t xml:space="preserve">zkušení </w:t>
      </w:r>
      <w:r w:rsidR="00822432" w:rsidRPr="00203E3A">
        <w:rPr>
          <w:rFonts w:cs="Arial"/>
          <w:color w:val="000000" w:themeColor="text1"/>
          <w:szCs w:val="24"/>
        </w:rPr>
        <w:t>příslušníci z jiných bezpečnostních sborů</w:t>
      </w:r>
      <w:r w:rsidR="00BB0CB8" w:rsidRPr="00203E3A">
        <w:rPr>
          <w:rFonts w:cs="Arial"/>
          <w:color w:val="000000" w:themeColor="text1"/>
          <w:szCs w:val="24"/>
        </w:rPr>
        <w:t>, kteří již jsou ve služebním poměru delší dobu</w:t>
      </w:r>
      <w:r w:rsidR="00822432" w:rsidRPr="00203E3A">
        <w:rPr>
          <w:rFonts w:cs="Arial"/>
          <w:color w:val="000000" w:themeColor="text1"/>
          <w:szCs w:val="24"/>
        </w:rPr>
        <w:t xml:space="preserve"> </w:t>
      </w:r>
      <w:r w:rsidR="00BB0CB8" w:rsidRPr="00203E3A">
        <w:rPr>
          <w:rFonts w:cs="Arial"/>
          <w:color w:val="000000" w:themeColor="text1"/>
          <w:szCs w:val="24"/>
        </w:rPr>
        <w:t>a aktuálně</w:t>
      </w:r>
      <w:r w:rsidR="002D05B4" w:rsidRPr="00203E3A">
        <w:rPr>
          <w:rFonts w:cs="Arial"/>
          <w:szCs w:val="24"/>
        </w:rPr>
        <w:t> </w:t>
      </w:r>
      <w:r w:rsidR="00BB0CB8" w:rsidRPr="00203E3A">
        <w:rPr>
          <w:rFonts w:cs="Arial"/>
          <w:szCs w:val="24"/>
        </w:rPr>
        <w:t>z celkového počtu příslušníků</w:t>
      </w:r>
      <w:r w:rsidR="002D05B4" w:rsidRPr="00203E3A">
        <w:rPr>
          <w:rFonts w:cs="Arial"/>
          <w:szCs w:val="24"/>
        </w:rPr>
        <w:t xml:space="preserve"> </w:t>
      </w:r>
      <w:r w:rsidR="00B33BD2" w:rsidRPr="00203E3A">
        <w:rPr>
          <w:rFonts w:cs="Arial"/>
          <w:szCs w:val="24"/>
        </w:rPr>
        <w:t>generální inspekce je 8 příslušníků ve služebním poměru do 5-ti let služby, 13 příslušníků do 10-ti let služby, 38 příslušníků do 15-ti let služby, 79 příslušníků do 20-ti let služby, 60 příslušníků do 25-ti let služby, 41 příslušníků do 30-ti let služby, 17 příslušníků do 35-ti let služby a 3 příslušníci do 40-ti let služby</w:t>
      </w:r>
      <w:r w:rsidR="002D05B4" w:rsidRPr="00203E3A">
        <w:rPr>
          <w:rFonts w:cs="Arial"/>
          <w:szCs w:val="24"/>
        </w:rPr>
        <w:t>.</w:t>
      </w:r>
      <w:r w:rsidR="00B33BD2" w:rsidRPr="00203E3A">
        <w:rPr>
          <w:rFonts w:cs="Arial"/>
          <w:szCs w:val="24"/>
        </w:rPr>
        <w:t xml:space="preserve"> Průměrná doba služby příslušníka generální inspekce tak činí 20 let.</w:t>
      </w:r>
    </w:p>
    <w:p w14:paraId="64E8E028" w14:textId="73935C7F" w:rsidR="00861074" w:rsidRPr="00A966B6" w:rsidRDefault="00861074" w:rsidP="00861074">
      <w:pPr>
        <w:spacing w:after="251" w:line="300" w:lineRule="exact"/>
        <w:jc w:val="both"/>
        <w:rPr>
          <w:rFonts w:cs="Arial"/>
          <w:szCs w:val="24"/>
        </w:rPr>
      </w:pPr>
      <w:r w:rsidRPr="00A966B6">
        <w:rPr>
          <w:rFonts w:cs="Arial"/>
          <w:szCs w:val="24"/>
        </w:rPr>
        <w:t xml:space="preserve">Personální stav u občanských zaměstnanců je stabilizovaný. Sice v průběhu roku odešlo </w:t>
      </w:r>
      <w:r w:rsidR="000C68B4">
        <w:rPr>
          <w:rFonts w:cs="Arial"/>
          <w:szCs w:val="24"/>
        </w:rPr>
        <w:t>8</w:t>
      </w:r>
      <w:r w:rsidRPr="00A966B6">
        <w:rPr>
          <w:rFonts w:cs="Arial"/>
          <w:szCs w:val="24"/>
        </w:rPr>
        <w:t xml:space="preserve"> zaměstnanců, ale na jejich pracovní místa byli ihned přijati nov</w:t>
      </w:r>
      <w:r w:rsidR="000C68B4">
        <w:rPr>
          <w:rFonts w:cs="Arial"/>
          <w:szCs w:val="24"/>
        </w:rPr>
        <w:t>í</w:t>
      </w:r>
      <w:r w:rsidRPr="00A966B6">
        <w:rPr>
          <w:rFonts w:cs="Arial"/>
          <w:szCs w:val="24"/>
        </w:rPr>
        <w:t xml:space="preserve"> zaměstnanci. K 31. prosinci 2018 je zde pod</w:t>
      </w:r>
      <w:r w:rsidR="003F37E7">
        <w:rPr>
          <w:rFonts w:cs="Arial"/>
          <w:szCs w:val="24"/>
        </w:rPr>
        <w:t>stav jednoho zaměstnance, ale byla</w:t>
      </w:r>
      <w:r w:rsidRPr="00A966B6">
        <w:rPr>
          <w:rFonts w:cs="Arial"/>
          <w:szCs w:val="24"/>
        </w:rPr>
        <w:t xml:space="preserve"> již podepsána pracovní smlouva s novým</w:t>
      </w:r>
      <w:r w:rsidR="003F37E7">
        <w:rPr>
          <w:rFonts w:cs="Arial"/>
          <w:szCs w:val="24"/>
        </w:rPr>
        <w:t xml:space="preserve"> zaměstnancem, který nastoupil k 1. lednu</w:t>
      </w:r>
      <w:r w:rsidRPr="00A966B6">
        <w:rPr>
          <w:rFonts w:cs="Arial"/>
          <w:szCs w:val="24"/>
        </w:rPr>
        <w:t xml:space="preserve"> 2019. </w:t>
      </w:r>
    </w:p>
    <w:p w14:paraId="1CBB3810" w14:textId="640A10A2" w:rsidR="000C68B4" w:rsidRDefault="00861074" w:rsidP="00861074">
      <w:pPr>
        <w:spacing w:after="251" w:line="300" w:lineRule="exact"/>
        <w:jc w:val="both"/>
        <w:rPr>
          <w:rFonts w:cs="Arial"/>
          <w:szCs w:val="24"/>
        </w:rPr>
      </w:pPr>
      <w:r w:rsidRPr="00A966B6">
        <w:rPr>
          <w:rFonts w:cs="Arial"/>
          <w:szCs w:val="24"/>
        </w:rPr>
        <w:t xml:space="preserve">Smluvně zajišťovaná spolupráce v oblasti vzdělávání a odborné přípravy, včetně základní odborné přípravy pro příslušníky GIBS, vychází z Realizační dohody </w:t>
      </w:r>
      <w:r w:rsidRPr="00A966B6">
        <w:rPr>
          <w:rFonts w:cs="Arial"/>
          <w:szCs w:val="24"/>
        </w:rPr>
        <w:br/>
        <w:t xml:space="preserve">o součinnosti mezi GIBS a Ministerstvem vnitra ČR, ze smlouvy o spolupráci při odborné přípravě s Ministerstvem vnitra a ze smlouvy o spolupráci mezi GIBS </w:t>
      </w:r>
      <w:r w:rsidRPr="00A966B6">
        <w:rPr>
          <w:rFonts w:cs="Arial"/>
          <w:szCs w:val="24"/>
        </w:rPr>
        <w:br/>
        <w:t xml:space="preserve">a Policejní akademií ČR v Praze. Kurzy poptávané GIBS, které jsou zaměřeny na nové vývojové trendy a změny právních norem, jsou zajišťovány odbornými školami P ČR a Policejní akademií ČR v Praze. V roce 2018 absolvovali příslušníci GIBS na Policejní akademii ČR v Praze několik kurzů ke zdokonalení jejich odborné úrovně, zejména pak v oblasti trestního řízení. Jednalo se o kurzy „Domácí násilí a stalking, Zajišťování </w:t>
      </w:r>
      <w:r w:rsidRPr="00A966B6">
        <w:rPr>
          <w:rFonts w:cs="Arial"/>
          <w:szCs w:val="24"/>
        </w:rPr>
        <w:lastRenderedPageBreak/>
        <w:t xml:space="preserve">a odčerpávání výnosů z trestné činnosti v praxi policejního orgánu, Trestní odpovědnost právnických osob, Daňová kriminalita a Kybernetická trestná činnost“. Vzdělávání pracovníků GIBS je zajištěno také prostřednictvím různých vzdělávacích institucí. Jedná se zejména o specializované kurzy, které nejsou zařazeny ve vzdělávacím programu škol P ČR a Policejní akademie ČR v Praze, např. Manipulace s utajovanými informacemi podle platné legislativy, Poskytování informací ve veřejné správě, Veřejné zakázky malého rozsahu, Elektronizace veřejných zakázek, Zneužití zákona 106 ve správním řízení se soudcem NSS, Dopady evropských nařízení </w:t>
      </w:r>
      <w:proofErr w:type="spellStart"/>
      <w:r w:rsidRPr="00A966B6">
        <w:rPr>
          <w:rFonts w:cs="Arial"/>
          <w:szCs w:val="24"/>
        </w:rPr>
        <w:t>eIDAS</w:t>
      </w:r>
      <w:proofErr w:type="spellEnd"/>
      <w:r w:rsidRPr="00A966B6">
        <w:rPr>
          <w:rFonts w:cs="Arial"/>
          <w:szCs w:val="24"/>
        </w:rPr>
        <w:t xml:space="preserve"> a GDPR na výkon spisové služby a Manažér BOZP. Tyto kurzy jsou prováděny soukromými subjekty. Celkové náklady na vzdělávání pracovníků GIBS v roce 2018, včetně školení Bezpečnosti a ochrany zdraví při práci, požární ochra</w:t>
      </w:r>
      <w:r w:rsidR="004738AC">
        <w:rPr>
          <w:rFonts w:cs="Arial"/>
          <w:szCs w:val="24"/>
        </w:rPr>
        <w:t>ny a školení řidičů, činily 143,445 tis.</w:t>
      </w:r>
      <w:r w:rsidRPr="00A966B6">
        <w:rPr>
          <w:rFonts w:cs="Arial"/>
          <w:szCs w:val="24"/>
        </w:rPr>
        <w:t xml:space="preserve"> Kč.</w:t>
      </w:r>
    </w:p>
    <w:p w14:paraId="4E2E02EE" w14:textId="4ED0B57A" w:rsidR="00861074" w:rsidRPr="00A966B6" w:rsidRDefault="00861074" w:rsidP="00BF3491">
      <w:pPr>
        <w:spacing w:after="251" w:line="300" w:lineRule="exact"/>
        <w:jc w:val="both"/>
      </w:pPr>
      <w:r w:rsidRPr="00A966B6">
        <w:rPr>
          <w:rFonts w:cs="Arial"/>
          <w:szCs w:val="24"/>
        </w:rPr>
        <w:t xml:space="preserve">Standardní služební příprava příslušníků GIBS je zajišťována vlastními silami </w:t>
      </w:r>
      <w:r w:rsidRPr="00A966B6">
        <w:rPr>
          <w:rFonts w:cs="Arial"/>
          <w:szCs w:val="24"/>
        </w:rPr>
        <w:br/>
        <w:t xml:space="preserve">a prostředky. </w:t>
      </w:r>
    </w:p>
    <w:p w14:paraId="5633444B" w14:textId="555EB6E7" w:rsidR="00870380" w:rsidRPr="00A966B6" w:rsidRDefault="00870380" w:rsidP="00870380">
      <w:pPr>
        <w:pStyle w:val="Nadpis1"/>
        <w:numPr>
          <w:ilvl w:val="0"/>
          <w:numId w:val="0"/>
        </w:numPr>
        <w:spacing w:before="0" w:after="251" w:line="300" w:lineRule="exact"/>
        <w:ind w:left="432" w:hanging="432"/>
      </w:pPr>
      <w:bookmarkStart w:id="254" w:name="_Toc490037994"/>
      <w:bookmarkStart w:id="255" w:name="_Toc490038276"/>
      <w:bookmarkStart w:id="256" w:name="_Toc490039101"/>
      <w:bookmarkStart w:id="257" w:name="_Toc490039234"/>
      <w:bookmarkStart w:id="258" w:name="_Toc490039795"/>
      <w:bookmarkStart w:id="259" w:name="_Toc490049157"/>
      <w:bookmarkStart w:id="260" w:name="_Toc2085190"/>
      <w:bookmarkStart w:id="261" w:name="_Toc2682569"/>
      <w:bookmarkEnd w:id="254"/>
      <w:bookmarkEnd w:id="255"/>
      <w:bookmarkEnd w:id="256"/>
      <w:bookmarkEnd w:id="257"/>
      <w:bookmarkEnd w:id="258"/>
      <w:bookmarkEnd w:id="259"/>
      <w:r w:rsidRPr="00A966B6">
        <w:lastRenderedPageBreak/>
        <w:t>ZÁVĚR</w:t>
      </w:r>
      <w:bookmarkEnd w:id="260"/>
      <w:bookmarkEnd w:id="261"/>
    </w:p>
    <w:p w14:paraId="5F32A746" w14:textId="2427F6E8" w:rsidR="00887A49" w:rsidRDefault="00472C16" w:rsidP="008C0623">
      <w:pPr>
        <w:spacing w:after="251" w:line="300" w:lineRule="exact"/>
        <w:jc w:val="both"/>
        <w:rPr>
          <w:rFonts w:cs="Arial"/>
          <w:szCs w:val="24"/>
        </w:rPr>
      </w:pPr>
      <w:r>
        <w:rPr>
          <w:rFonts w:cs="Arial"/>
          <w:szCs w:val="24"/>
        </w:rPr>
        <w:t>Jak již bylo uvedeno m</w:t>
      </w:r>
      <w:r w:rsidR="00546B95">
        <w:rPr>
          <w:rFonts w:cs="Arial"/>
          <w:szCs w:val="24"/>
        </w:rPr>
        <w:t>ezi hlavní činnosti GIBS patří zejména prověřování skutečností nasvědčujících tomu, že byl spáchán TČ příslušníkem BS. V loňském roce, oproti roku předchozímu, byl sice zaznamenán zhruba 15% pokles celkového protiprávního jednání, nicméně četnost těchto jednání zůstala na velmi vysoké úrovni. Dle zjištění GIBS se pr</w:t>
      </w:r>
      <w:r w:rsidR="002408D8">
        <w:rPr>
          <w:rFonts w:cs="Arial"/>
          <w:szCs w:val="24"/>
        </w:rPr>
        <w:t xml:space="preserve">otiprávních jednání </w:t>
      </w:r>
      <w:r w:rsidR="00546B95">
        <w:rPr>
          <w:rFonts w:cs="Arial"/>
          <w:szCs w:val="24"/>
        </w:rPr>
        <w:t>dopouštějí zejména řízení příslušníci BS na úrovni praporčických hodností s délkou služby do</w:t>
      </w:r>
      <w:r w:rsidR="002408D8">
        <w:rPr>
          <w:rFonts w:cs="Arial"/>
          <w:szCs w:val="24"/>
        </w:rPr>
        <w:t xml:space="preserve"> </w:t>
      </w:r>
      <w:proofErr w:type="gramStart"/>
      <w:r w:rsidR="002408D8">
        <w:rPr>
          <w:rFonts w:cs="Arial"/>
          <w:szCs w:val="24"/>
        </w:rPr>
        <w:t>15-ti</w:t>
      </w:r>
      <w:proofErr w:type="gramEnd"/>
      <w:r w:rsidR="002408D8">
        <w:rPr>
          <w:rFonts w:cs="Arial"/>
          <w:szCs w:val="24"/>
        </w:rPr>
        <w:t xml:space="preserve"> let zařazených převážně na území hlavního města Prahy. Takových jednání bylo nejvíce zjištěno u příslušníků P ČR, kdy jedním z důvodů může být jejich početní zastoupení v rámci BS.</w:t>
      </w:r>
    </w:p>
    <w:p w14:paraId="6A2AF568" w14:textId="507F6A40" w:rsidR="00D85F92" w:rsidRDefault="002408D8" w:rsidP="008C0623">
      <w:pPr>
        <w:spacing w:after="251" w:line="300" w:lineRule="exact"/>
        <w:jc w:val="both"/>
        <w:rPr>
          <w:rFonts w:cs="Arial"/>
          <w:szCs w:val="24"/>
        </w:rPr>
      </w:pPr>
      <w:r>
        <w:rPr>
          <w:rFonts w:cs="Arial"/>
          <w:szCs w:val="24"/>
        </w:rPr>
        <w:t xml:space="preserve">Na úseku provádění zkoušek spolehlivosti BS bylo v roce 2018 provedeno 40 zkoušek, ale pouze v pěti případech bylo zjištěno protiprávní jednání u příslušníků BS, z čehož vyplývá, že </w:t>
      </w:r>
      <w:r w:rsidR="00D85F92">
        <w:rPr>
          <w:rFonts w:cs="Arial"/>
          <w:szCs w:val="24"/>
        </w:rPr>
        <w:t>se jedná především o selhání jednotlivců, nikoliv o systémový problém.</w:t>
      </w:r>
    </w:p>
    <w:p w14:paraId="280FF148" w14:textId="7E0147ED" w:rsidR="00887A49" w:rsidRDefault="00595AE3" w:rsidP="008C0623">
      <w:pPr>
        <w:spacing w:after="251" w:line="300" w:lineRule="exact"/>
        <w:jc w:val="both"/>
        <w:rPr>
          <w:rFonts w:cs="Arial"/>
          <w:szCs w:val="24"/>
        </w:rPr>
      </w:pPr>
      <w:r>
        <w:rPr>
          <w:rFonts w:cs="Arial"/>
          <w:szCs w:val="24"/>
        </w:rPr>
        <w:t>V roce 2018 prac</w:t>
      </w:r>
      <w:r w:rsidR="00132969">
        <w:rPr>
          <w:rFonts w:cs="Arial"/>
          <w:szCs w:val="24"/>
        </w:rPr>
        <w:t>ovníci OVK GIBS</w:t>
      </w:r>
      <w:r>
        <w:rPr>
          <w:rFonts w:cs="Arial"/>
          <w:szCs w:val="24"/>
        </w:rPr>
        <w:t xml:space="preserve"> zaznamenali celkem 52 stížností</w:t>
      </w:r>
      <w:r w:rsidR="00E53A1C">
        <w:rPr>
          <w:rFonts w:cs="Arial"/>
          <w:szCs w:val="24"/>
        </w:rPr>
        <w:t xml:space="preserve"> na příslušníky a zaměstnance GIBS</w:t>
      </w:r>
      <w:r>
        <w:rPr>
          <w:rFonts w:cs="Arial"/>
          <w:szCs w:val="24"/>
        </w:rPr>
        <w:t>, což představuje bezmála 100% nárůst oproti roku 2017</w:t>
      </w:r>
      <w:r w:rsidR="00132969">
        <w:rPr>
          <w:rFonts w:cs="Arial"/>
          <w:szCs w:val="24"/>
        </w:rPr>
        <w:t xml:space="preserve">. Tento nárůst může být </w:t>
      </w:r>
      <w:r w:rsidR="003F61ED">
        <w:rPr>
          <w:rFonts w:cs="Arial"/>
          <w:szCs w:val="24"/>
        </w:rPr>
        <w:t>zejména způsobený nastavením nového systému vyřizování těchto stížností. Zatímco dříve byly stížnosti na pracovníky GIBS v některých případech postupovány přímo na teritoriální pracoviště, kde byl pracovník, vůči kterému stížnost směřovala zařazen, nyní na základě rozhodnutí nového vedení GIBS jsou všechny stížnosti zasílány na OVK z důvodu jejich nestranného a řádného prošetření.</w:t>
      </w:r>
    </w:p>
    <w:p w14:paraId="2018A20F" w14:textId="4C054B80" w:rsidR="00DF7CF7" w:rsidRDefault="00DF38C1" w:rsidP="008C0623">
      <w:pPr>
        <w:spacing w:after="251" w:line="300" w:lineRule="exact"/>
        <w:jc w:val="both"/>
        <w:rPr>
          <w:rFonts w:cs="Arial"/>
          <w:szCs w:val="24"/>
        </w:rPr>
      </w:pPr>
      <w:r>
        <w:rPr>
          <w:rFonts w:cs="Arial"/>
          <w:szCs w:val="24"/>
        </w:rPr>
        <w:t xml:space="preserve">V roce 2018 </w:t>
      </w:r>
      <w:r w:rsidR="00733E83">
        <w:rPr>
          <w:rFonts w:cs="Arial"/>
          <w:szCs w:val="24"/>
        </w:rPr>
        <w:t>došlo ke značným personálním změnám, zejména k vyššímu odchodu příslušníků a obměně kompletního vedení GIBS. V souvislosti s</w:t>
      </w:r>
      <w:r w:rsidR="00CA180B">
        <w:rPr>
          <w:rFonts w:cs="Arial"/>
          <w:szCs w:val="24"/>
        </w:rPr>
        <w:t>e schválenou</w:t>
      </w:r>
      <w:r w:rsidR="00733E83">
        <w:rPr>
          <w:rFonts w:cs="Arial"/>
          <w:szCs w:val="24"/>
        </w:rPr>
        <w:t> reorganizací, kdy byla rozšířena pravomoc vedoucích</w:t>
      </w:r>
      <w:r w:rsidR="00041235">
        <w:rPr>
          <w:rFonts w:cs="Arial"/>
          <w:szCs w:val="24"/>
        </w:rPr>
        <w:t xml:space="preserve"> příslušníků</w:t>
      </w:r>
      <w:r w:rsidR="00733E83">
        <w:rPr>
          <w:rFonts w:cs="Arial"/>
          <w:szCs w:val="24"/>
        </w:rPr>
        <w:t xml:space="preserve"> </w:t>
      </w:r>
      <w:r w:rsidR="003F61ED">
        <w:rPr>
          <w:rFonts w:cs="Arial"/>
          <w:szCs w:val="24"/>
        </w:rPr>
        <w:t>teritoriálních</w:t>
      </w:r>
      <w:r w:rsidR="00733E83">
        <w:rPr>
          <w:rFonts w:cs="Arial"/>
          <w:szCs w:val="24"/>
        </w:rPr>
        <w:t xml:space="preserve"> pracovišť</w:t>
      </w:r>
      <w:r w:rsidR="00CA180B">
        <w:rPr>
          <w:rFonts w:cs="Arial"/>
          <w:szCs w:val="24"/>
        </w:rPr>
        <w:t>,</w:t>
      </w:r>
      <w:r w:rsidR="00733E83">
        <w:rPr>
          <w:rFonts w:cs="Arial"/>
          <w:szCs w:val="24"/>
        </w:rPr>
        <w:t xml:space="preserve"> bylo vyhlášeno několik</w:t>
      </w:r>
      <w:r w:rsidR="00A277A5">
        <w:rPr>
          <w:rFonts w:cs="Arial"/>
          <w:szCs w:val="24"/>
        </w:rPr>
        <w:t xml:space="preserve"> nabídkových, ale také</w:t>
      </w:r>
      <w:r w:rsidR="00733E83">
        <w:rPr>
          <w:rFonts w:cs="Arial"/>
          <w:szCs w:val="24"/>
        </w:rPr>
        <w:t xml:space="preserve"> výběrových řízení a tím se početní stavy téměř doplnily</w:t>
      </w:r>
      <w:r w:rsidR="00F57592">
        <w:rPr>
          <w:rFonts w:cs="Arial"/>
          <w:szCs w:val="24"/>
        </w:rPr>
        <w:t xml:space="preserve"> </w:t>
      </w:r>
      <w:r w:rsidR="00733E83">
        <w:rPr>
          <w:rFonts w:cs="Arial"/>
          <w:szCs w:val="24"/>
        </w:rPr>
        <w:t>o kvalifikované příslušníky nejen z řad BS, ale také z civilního sektoru.</w:t>
      </w:r>
      <w:r w:rsidR="00CA180B">
        <w:rPr>
          <w:rFonts w:cs="Arial"/>
          <w:szCs w:val="24"/>
        </w:rPr>
        <w:t xml:space="preserve"> V rámci této reorganizace bylo vytvořeno oddělení s celorepublikovou působností a to oddělení závažné trestné činnosti, které v průběhu roku 2019 </w:t>
      </w:r>
      <w:r w:rsidR="00A77A0E">
        <w:rPr>
          <w:rFonts w:cs="Arial"/>
          <w:szCs w:val="24"/>
        </w:rPr>
        <w:t>bude do</w:t>
      </w:r>
      <w:r w:rsidR="00CA10B5">
        <w:rPr>
          <w:rFonts w:cs="Arial"/>
          <w:szCs w:val="24"/>
        </w:rPr>
        <w:t>plněno</w:t>
      </w:r>
      <w:r w:rsidR="00410510">
        <w:rPr>
          <w:rFonts w:cs="Arial"/>
          <w:szCs w:val="24"/>
        </w:rPr>
        <w:t xml:space="preserve"> o dostatečný počet příslušníků</w:t>
      </w:r>
      <w:r w:rsidR="00CA180B">
        <w:rPr>
          <w:rFonts w:cs="Arial"/>
          <w:szCs w:val="24"/>
        </w:rPr>
        <w:t>.</w:t>
      </w:r>
    </w:p>
    <w:p w14:paraId="241385E0" w14:textId="3A3D65F2" w:rsidR="00DF38C1" w:rsidRPr="00203E3A" w:rsidRDefault="007A07A3" w:rsidP="008C0623">
      <w:pPr>
        <w:spacing w:after="251" w:line="300" w:lineRule="exact"/>
        <w:jc w:val="both"/>
        <w:rPr>
          <w:rFonts w:cs="Arial"/>
          <w:szCs w:val="24"/>
        </w:rPr>
      </w:pPr>
      <w:r>
        <w:rPr>
          <w:rFonts w:cs="Arial"/>
          <w:szCs w:val="24"/>
        </w:rPr>
        <w:t xml:space="preserve">Mezi hlavní úkoly pro rok 2019 bude především patřit zaměření se na </w:t>
      </w:r>
      <w:r w:rsidR="00E0281D">
        <w:rPr>
          <w:rFonts w:cs="Arial"/>
          <w:szCs w:val="24"/>
        </w:rPr>
        <w:t xml:space="preserve">četnost a kvalitu </w:t>
      </w:r>
      <w:r w:rsidRPr="00A966B6">
        <w:rPr>
          <w:rFonts w:cs="Arial"/>
          <w:szCs w:val="24"/>
        </w:rPr>
        <w:t>vyhledávání, odhalování</w:t>
      </w:r>
      <w:r w:rsidR="003F61ED">
        <w:rPr>
          <w:rFonts w:cs="Arial"/>
          <w:szCs w:val="24"/>
        </w:rPr>
        <w:t xml:space="preserve">, </w:t>
      </w:r>
      <w:r w:rsidRPr="00A966B6">
        <w:rPr>
          <w:rFonts w:cs="Arial"/>
          <w:szCs w:val="24"/>
        </w:rPr>
        <w:t>prověřování</w:t>
      </w:r>
      <w:r w:rsidR="003F61ED">
        <w:rPr>
          <w:rFonts w:cs="Arial"/>
          <w:szCs w:val="24"/>
        </w:rPr>
        <w:t xml:space="preserve"> a vyšetřování</w:t>
      </w:r>
      <w:r>
        <w:rPr>
          <w:rFonts w:cs="Arial"/>
          <w:szCs w:val="24"/>
        </w:rPr>
        <w:t xml:space="preserve"> závažné trestné činnosti</w:t>
      </w:r>
      <w:r w:rsidR="003F61ED">
        <w:rPr>
          <w:rFonts w:cs="Arial"/>
          <w:szCs w:val="24"/>
        </w:rPr>
        <w:t xml:space="preserve">. </w:t>
      </w:r>
      <w:r w:rsidR="00DF7CF7">
        <w:rPr>
          <w:rFonts w:cs="Arial"/>
          <w:szCs w:val="24"/>
        </w:rPr>
        <w:t>Nadále bude probíhat anal</w:t>
      </w:r>
      <w:r w:rsidR="003F61ED">
        <w:rPr>
          <w:rFonts w:cs="Arial"/>
          <w:szCs w:val="24"/>
        </w:rPr>
        <w:t>ýza</w:t>
      </w:r>
      <w:r w:rsidR="00DF7CF7">
        <w:rPr>
          <w:rFonts w:cs="Arial"/>
          <w:szCs w:val="24"/>
        </w:rPr>
        <w:t xml:space="preserve"> </w:t>
      </w:r>
      <w:r w:rsidR="00E0281D">
        <w:rPr>
          <w:rFonts w:cs="Arial"/>
          <w:szCs w:val="24"/>
        </w:rPr>
        <w:t xml:space="preserve">činností speciálních pracovišť </w:t>
      </w:r>
      <w:proofErr w:type="spellStart"/>
      <w:r w:rsidR="00E0281D">
        <w:rPr>
          <w:rFonts w:cs="Arial"/>
          <w:szCs w:val="24"/>
        </w:rPr>
        <w:t>GIBSu</w:t>
      </w:r>
      <w:proofErr w:type="spellEnd"/>
      <w:r w:rsidR="00DF7CF7">
        <w:rPr>
          <w:rFonts w:cs="Arial"/>
          <w:szCs w:val="24"/>
        </w:rPr>
        <w:t xml:space="preserve"> a případně další kroky k zefektivnění činnosti na tomto úseku. </w:t>
      </w:r>
      <w:r w:rsidR="003F61ED">
        <w:rPr>
          <w:rFonts w:cs="Arial"/>
          <w:szCs w:val="24"/>
        </w:rPr>
        <w:t xml:space="preserve">Dalším </w:t>
      </w:r>
      <w:r w:rsidR="00DF7CF7">
        <w:rPr>
          <w:rFonts w:cs="Arial"/>
          <w:szCs w:val="24"/>
        </w:rPr>
        <w:t xml:space="preserve">dlouhodobým </w:t>
      </w:r>
      <w:r w:rsidR="003F61ED">
        <w:rPr>
          <w:rFonts w:cs="Arial"/>
          <w:szCs w:val="24"/>
        </w:rPr>
        <w:t xml:space="preserve">úkolem bude </w:t>
      </w:r>
      <w:r w:rsidR="00DF7CF7">
        <w:rPr>
          <w:rFonts w:cs="Arial"/>
          <w:szCs w:val="24"/>
        </w:rPr>
        <w:t>jako i v předchozích letech</w:t>
      </w:r>
      <w:r w:rsidR="00883448">
        <w:rPr>
          <w:rFonts w:cs="Arial"/>
          <w:szCs w:val="24"/>
        </w:rPr>
        <w:t xml:space="preserve"> personální stabilizace</w:t>
      </w:r>
      <w:r w:rsidR="00E0281D">
        <w:rPr>
          <w:rFonts w:cs="Arial"/>
          <w:szCs w:val="24"/>
        </w:rPr>
        <w:t xml:space="preserve">, která však, jak již bylo v předchozí kapitole uvedeno, bude záviset do značné míry na podobě </w:t>
      </w:r>
      <w:r w:rsidR="00E0281D" w:rsidRPr="00203E3A">
        <w:rPr>
          <w:rFonts w:cs="Arial"/>
          <w:color w:val="000000" w:themeColor="text1"/>
          <w:szCs w:val="24"/>
        </w:rPr>
        <w:t>zákona č. 361/2003 Sb., o služebním poměru příslušníků bezpečnostních sborů</w:t>
      </w:r>
      <w:r w:rsidR="00883448" w:rsidRPr="00203E3A">
        <w:rPr>
          <w:rFonts w:cs="Arial"/>
          <w:szCs w:val="24"/>
        </w:rPr>
        <w:t>.</w:t>
      </w:r>
      <w:r w:rsidR="003F61ED" w:rsidRPr="00203E3A">
        <w:rPr>
          <w:rFonts w:cs="Arial"/>
          <w:szCs w:val="24"/>
        </w:rPr>
        <w:t xml:space="preserve"> </w:t>
      </w:r>
    </w:p>
    <w:p w14:paraId="6D3B5B10" w14:textId="717DF73E" w:rsidR="00DF7CF7" w:rsidRDefault="00E0281D" w:rsidP="008C0623">
      <w:pPr>
        <w:spacing w:after="251" w:line="300" w:lineRule="exact"/>
        <w:jc w:val="both"/>
        <w:rPr>
          <w:rFonts w:cs="Arial"/>
          <w:szCs w:val="24"/>
        </w:rPr>
      </w:pPr>
      <w:r w:rsidRPr="00203E3A">
        <w:rPr>
          <w:rFonts w:cs="Arial"/>
          <w:szCs w:val="24"/>
        </w:rPr>
        <w:t>Zásadním se rovněž</w:t>
      </w:r>
      <w:r w:rsidR="00901403" w:rsidRPr="00203E3A">
        <w:rPr>
          <w:rFonts w:cs="Arial"/>
          <w:szCs w:val="24"/>
        </w:rPr>
        <w:t xml:space="preserve"> je</w:t>
      </w:r>
      <w:r w:rsidRPr="00203E3A">
        <w:rPr>
          <w:rFonts w:cs="Arial"/>
          <w:szCs w:val="24"/>
        </w:rPr>
        <w:t>ví</w:t>
      </w:r>
      <w:r w:rsidR="00901403">
        <w:rPr>
          <w:rFonts w:cs="Arial"/>
          <w:szCs w:val="24"/>
        </w:rPr>
        <w:t xml:space="preserve"> </w:t>
      </w:r>
      <w:r w:rsidR="0074541E">
        <w:rPr>
          <w:rFonts w:cs="Arial"/>
          <w:szCs w:val="24"/>
        </w:rPr>
        <w:t xml:space="preserve">budování důvěryhodnosti </w:t>
      </w:r>
      <w:r w:rsidR="00DF7CF7">
        <w:rPr>
          <w:rFonts w:cs="Arial"/>
          <w:szCs w:val="24"/>
        </w:rPr>
        <w:t xml:space="preserve">GIBS a </w:t>
      </w:r>
      <w:r w:rsidR="0074541E">
        <w:rPr>
          <w:rFonts w:cs="Arial"/>
          <w:szCs w:val="24"/>
        </w:rPr>
        <w:t xml:space="preserve">s tím úzce spojené </w:t>
      </w:r>
      <w:r w:rsidR="00901403">
        <w:rPr>
          <w:rFonts w:cs="Arial"/>
          <w:szCs w:val="24"/>
        </w:rPr>
        <w:t>zlepšení</w:t>
      </w:r>
      <w:r w:rsidR="00DF7CF7">
        <w:rPr>
          <w:rFonts w:cs="Arial"/>
          <w:szCs w:val="24"/>
        </w:rPr>
        <w:t xml:space="preserve"> spolupráce s ostatními bezpečnostními sbory a soustavou státního zastupitelství. </w:t>
      </w:r>
    </w:p>
    <w:p w14:paraId="534A4429" w14:textId="09E539FE" w:rsidR="00046B16" w:rsidRPr="00A966B6" w:rsidRDefault="00046B16" w:rsidP="00AE604D">
      <w:pPr>
        <w:spacing w:after="251" w:line="300" w:lineRule="exact"/>
        <w:jc w:val="both"/>
        <w:rPr>
          <w:rFonts w:cs="Arial"/>
          <w:szCs w:val="24"/>
        </w:rPr>
      </w:pPr>
    </w:p>
    <w:sectPr w:rsidR="00046B16" w:rsidRPr="00A966B6" w:rsidSect="00F2752A">
      <w:footerReference w:type="default" r:id="rId13"/>
      <w:footerReference w:type="first" r:id="rId14"/>
      <w:pgSz w:w="11906" w:h="16838"/>
      <w:pgMar w:top="1418" w:right="1134" w:bottom="1418"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9EB58" w14:textId="77777777" w:rsidR="00B07D01" w:rsidRDefault="00B07D01" w:rsidP="0071703F">
      <w:pPr>
        <w:spacing w:after="0" w:line="240" w:lineRule="auto"/>
      </w:pPr>
      <w:r>
        <w:separator/>
      </w:r>
    </w:p>
  </w:endnote>
  <w:endnote w:type="continuationSeparator" w:id="0">
    <w:p w14:paraId="184781CB" w14:textId="77777777" w:rsidR="00B07D01" w:rsidRDefault="00B07D01" w:rsidP="0071703F">
      <w:pPr>
        <w:spacing w:after="0" w:line="240" w:lineRule="auto"/>
      </w:pPr>
      <w:r>
        <w:continuationSeparator/>
      </w:r>
    </w:p>
  </w:endnote>
  <w:endnote w:type="continuationNotice" w:id="1">
    <w:p w14:paraId="79AF68E5" w14:textId="77777777" w:rsidR="00B07D01" w:rsidRDefault="00B07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yriadPro-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2F44" w14:textId="77777777" w:rsidR="002D05B4" w:rsidRDefault="002D05B4">
    <w:pPr>
      <w:pStyle w:val="Zpat"/>
      <w:jc w:val="center"/>
    </w:pPr>
  </w:p>
  <w:p w14:paraId="6B353824" w14:textId="77777777" w:rsidR="002D05B4" w:rsidRDefault="002D05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244633"/>
      <w:docPartObj>
        <w:docPartGallery w:val="Page Numbers (Bottom of Page)"/>
        <w:docPartUnique/>
      </w:docPartObj>
    </w:sdtPr>
    <w:sdtEndPr/>
    <w:sdtContent>
      <w:p w14:paraId="66B23545" w14:textId="77777777" w:rsidR="002D05B4" w:rsidRDefault="002D05B4">
        <w:pPr>
          <w:pStyle w:val="Zpat"/>
          <w:jc w:val="center"/>
        </w:pPr>
        <w:r>
          <w:fldChar w:fldCharType="begin"/>
        </w:r>
        <w:r>
          <w:instrText>PAGE   \* MERGEFORMAT</w:instrText>
        </w:r>
        <w:r>
          <w:fldChar w:fldCharType="separate"/>
        </w:r>
        <w:r w:rsidR="00690D51">
          <w:rPr>
            <w:noProof/>
          </w:rPr>
          <w:t>21</w:t>
        </w:r>
        <w:r>
          <w:fldChar w:fldCharType="end"/>
        </w:r>
      </w:p>
    </w:sdtContent>
  </w:sdt>
  <w:p w14:paraId="5DB27F3E" w14:textId="77777777" w:rsidR="002D05B4" w:rsidRDefault="002D05B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E491" w14:textId="77777777" w:rsidR="002D05B4" w:rsidRDefault="002D05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18D8E" w14:textId="77777777" w:rsidR="00B07D01" w:rsidRDefault="00B07D01" w:rsidP="0071703F">
      <w:pPr>
        <w:spacing w:after="0" w:line="240" w:lineRule="auto"/>
      </w:pPr>
      <w:r>
        <w:separator/>
      </w:r>
    </w:p>
  </w:footnote>
  <w:footnote w:type="continuationSeparator" w:id="0">
    <w:p w14:paraId="4D95B419" w14:textId="77777777" w:rsidR="00B07D01" w:rsidRDefault="00B07D01" w:rsidP="0071703F">
      <w:pPr>
        <w:spacing w:after="0" w:line="240" w:lineRule="auto"/>
      </w:pPr>
      <w:r>
        <w:continuationSeparator/>
      </w:r>
    </w:p>
  </w:footnote>
  <w:footnote w:type="continuationNotice" w:id="1">
    <w:p w14:paraId="248BCC05" w14:textId="77777777" w:rsidR="00B07D01" w:rsidRDefault="00B07D01">
      <w:pPr>
        <w:spacing w:after="0" w:line="240" w:lineRule="auto"/>
      </w:pPr>
    </w:p>
  </w:footnote>
  <w:footnote w:id="2">
    <w:p w14:paraId="52004E22" w14:textId="77777777" w:rsidR="002D05B4" w:rsidRDefault="002D05B4" w:rsidP="008C0D62">
      <w:pPr>
        <w:pStyle w:val="Textpoznpodarou"/>
        <w:ind w:left="567" w:hanging="567"/>
        <w:rPr>
          <w:rFonts w:ascii="Arial" w:hAnsi="Arial" w:cs="Arial"/>
          <w:sz w:val="19"/>
          <w:szCs w:val="19"/>
        </w:rPr>
      </w:pPr>
      <w:r>
        <w:rPr>
          <w:rStyle w:val="Znakapoznpodarou"/>
          <w:rFonts w:ascii="Arial" w:hAnsi="Arial" w:cs="Arial"/>
          <w:sz w:val="19"/>
          <w:szCs w:val="19"/>
        </w:rPr>
        <w:footnoteRef/>
      </w:r>
      <w:r>
        <w:rPr>
          <w:rFonts w:ascii="Arial" w:hAnsi="Arial" w:cs="Arial"/>
          <w:sz w:val="19"/>
          <w:szCs w:val="19"/>
          <w:vertAlign w:val="superscript"/>
        </w:rPr>
        <w:t>)</w:t>
      </w:r>
      <w:r>
        <w:rPr>
          <w:rFonts w:ascii="Arial" w:hAnsi="Arial" w:cs="Arial"/>
          <w:sz w:val="19"/>
          <w:szCs w:val="19"/>
        </w:rPr>
        <w:tab/>
        <w:t>Viz ustanovení § 41 zákona o GIBS.</w:t>
      </w:r>
    </w:p>
  </w:footnote>
  <w:footnote w:id="3">
    <w:p w14:paraId="521F5AE9" w14:textId="77777777" w:rsidR="002D05B4" w:rsidRDefault="002D05B4" w:rsidP="00BD57B7">
      <w:pPr>
        <w:pStyle w:val="Textpoznpodarou"/>
        <w:ind w:left="567" w:hanging="567"/>
        <w:rPr>
          <w:rFonts w:ascii="Arial" w:hAnsi="Arial" w:cs="Arial"/>
          <w:sz w:val="19"/>
          <w:szCs w:val="19"/>
        </w:rPr>
      </w:pPr>
      <w:r>
        <w:rPr>
          <w:rStyle w:val="Znakapoznpodarou"/>
          <w:rFonts w:ascii="Arial" w:hAnsi="Arial" w:cs="Arial"/>
          <w:sz w:val="19"/>
          <w:szCs w:val="19"/>
        </w:rPr>
        <w:footnoteRef/>
      </w:r>
      <w:r w:rsidRPr="00416ADE">
        <w:rPr>
          <w:rFonts w:ascii="Arial" w:hAnsi="Arial" w:cs="Arial"/>
          <w:sz w:val="19"/>
          <w:szCs w:val="19"/>
          <w:vertAlign w:val="superscript"/>
        </w:rPr>
        <w:t>)</w:t>
      </w:r>
      <w:r>
        <w:rPr>
          <w:rFonts w:ascii="Arial" w:hAnsi="Arial" w:cs="Arial"/>
          <w:sz w:val="19"/>
          <w:szCs w:val="19"/>
        </w:rPr>
        <w:t xml:space="preserve">  </w:t>
      </w:r>
      <w:r>
        <w:rPr>
          <w:rFonts w:ascii="Arial" w:hAnsi="Arial" w:cs="Arial"/>
          <w:sz w:val="19"/>
          <w:szCs w:val="19"/>
        </w:rPr>
        <w:tab/>
        <w:t>Viz ustanovení § 57 zákona o GIBS.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AF4B" w14:textId="77777777" w:rsidR="002D05B4" w:rsidRDefault="002D05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319"/>
    <w:multiLevelType w:val="hybridMultilevel"/>
    <w:tmpl w:val="2FE25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5358BF"/>
    <w:multiLevelType w:val="hybridMultilevel"/>
    <w:tmpl w:val="369688A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9AF05E86">
      <w:start w:val="1"/>
      <w:numFmt w:val="bullet"/>
      <w:lvlText w:val=""/>
      <w:lvlJc w:val="left"/>
      <w:pPr>
        <w:ind w:left="1777" w:hanging="360"/>
      </w:pPr>
      <w:rPr>
        <w:rFonts w:ascii="Symbol" w:hAnsi="Symbol" w:hint="default"/>
      </w:rPr>
    </w:lvl>
    <w:lvl w:ilvl="3" w:tplc="04050001">
      <w:start w:val="1"/>
      <w:numFmt w:val="bullet"/>
      <w:lvlText w:val=""/>
      <w:lvlJc w:val="left"/>
      <w:pPr>
        <w:ind w:left="3588" w:hanging="360"/>
      </w:pPr>
      <w:rPr>
        <w:rFonts w:ascii="Symbol" w:hAnsi="Symbol" w:hint="default"/>
      </w:rPr>
    </w:lvl>
    <w:lvl w:ilvl="4" w:tplc="D388A4F6">
      <w:start w:val="31"/>
      <w:numFmt w:val="bullet"/>
      <w:lvlText w:val="-"/>
      <w:lvlJc w:val="left"/>
      <w:pPr>
        <w:ind w:left="4308" w:hanging="360"/>
      </w:pPr>
      <w:rPr>
        <w:rFonts w:ascii="Arial" w:eastAsia="Times New Roman" w:hAnsi="Arial" w:cs="Arial"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6231012"/>
    <w:multiLevelType w:val="hybridMultilevel"/>
    <w:tmpl w:val="4B5A1AB0"/>
    <w:lvl w:ilvl="0" w:tplc="D388A4F6">
      <w:start w:val="31"/>
      <w:numFmt w:val="bullet"/>
      <w:lvlText w:val="-"/>
      <w:lvlJc w:val="left"/>
      <w:pPr>
        <w:tabs>
          <w:tab w:val="num" w:pos="720"/>
        </w:tabs>
        <w:ind w:left="720" w:hanging="360"/>
      </w:pPr>
      <w:rPr>
        <w:rFonts w:ascii="Arial" w:eastAsia="Times New Roman" w:hAnsi="Arial" w:cs="Arial" w:hint="default"/>
        <w:color w:val="auto"/>
        <w:sz w:val="16"/>
        <w:szCs w:val="16"/>
      </w:rPr>
    </w:lvl>
    <w:lvl w:ilvl="1" w:tplc="04050005">
      <w:start w:val="1"/>
      <w:numFmt w:val="bullet"/>
      <w:lvlText w:val=""/>
      <w:lvlJc w:val="left"/>
      <w:pPr>
        <w:tabs>
          <w:tab w:val="num" w:pos="1440"/>
        </w:tabs>
        <w:ind w:left="1440" w:hanging="360"/>
      </w:pPr>
      <w:rPr>
        <w:rFonts w:ascii="Wingdings" w:hAnsi="Wingdings" w:hint="default"/>
      </w:rPr>
    </w:lvl>
    <w:lvl w:ilvl="2" w:tplc="48A2E806">
      <w:start w:val="1"/>
      <w:numFmt w:val="bullet"/>
      <w:lvlText w:val="•"/>
      <w:lvlJc w:val="left"/>
      <w:pPr>
        <w:tabs>
          <w:tab w:val="num" w:pos="2160"/>
        </w:tabs>
        <w:ind w:left="2160" w:hanging="360"/>
      </w:pPr>
      <w:rPr>
        <w:rFonts w:ascii="Arial" w:hAnsi="Arial" w:hint="default"/>
      </w:rPr>
    </w:lvl>
    <w:lvl w:ilvl="3" w:tplc="B5FC229A" w:tentative="1">
      <w:start w:val="1"/>
      <w:numFmt w:val="bullet"/>
      <w:lvlText w:val="•"/>
      <w:lvlJc w:val="left"/>
      <w:pPr>
        <w:tabs>
          <w:tab w:val="num" w:pos="2880"/>
        </w:tabs>
        <w:ind w:left="2880" w:hanging="360"/>
      </w:pPr>
      <w:rPr>
        <w:rFonts w:ascii="Arial" w:hAnsi="Arial" w:hint="default"/>
      </w:rPr>
    </w:lvl>
    <w:lvl w:ilvl="4" w:tplc="D90070F8" w:tentative="1">
      <w:start w:val="1"/>
      <w:numFmt w:val="bullet"/>
      <w:lvlText w:val="•"/>
      <w:lvlJc w:val="left"/>
      <w:pPr>
        <w:tabs>
          <w:tab w:val="num" w:pos="3600"/>
        </w:tabs>
        <w:ind w:left="3600" w:hanging="360"/>
      </w:pPr>
      <w:rPr>
        <w:rFonts w:ascii="Arial" w:hAnsi="Arial" w:hint="default"/>
      </w:rPr>
    </w:lvl>
    <w:lvl w:ilvl="5" w:tplc="686A36F6" w:tentative="1">
      <w:start w:val="1"/>
      <w:numFmt w:val="bullet"/>
      <w:lvlText w:val="•"/>
      <w:lvlJc w:val="left"/>
      <w:pPr>
        <w:tabs>
          <w:tab w:val="num" w:pos="4320"/>
        </w:tabs>
        <w:ind w:left="4320" w:hanging="360"/>
      </w:pPr>
      <w:rPr>
        <w:rFonts w:ascii="Arial" w:hAnsi="Arial" w:hint="default"/>
      </w:rPr>
    </w:lvl>
    <w:lvl w:ilvl="6" w:tplc="FCBC5760" w:tentative="1">
      <w:start w:val="1"/>
      <w:numFmt w:val="bullet"/>
      <w:lvlText w:val="•"/>
      <w:lvlJc w:val="left"/>
      <w:pPr>
        <w:tabs>
          <w:tab w:val="num" w:pos="5040"/>
        </w:tabs>
        <w:ind w:left="5040" w:hanging="360"/>
      </w:pPr>
      <w:rPr>
        <w:rFonts w:ascii="Arial" w:hAnsi="Arial" w:hint="default"/>
      </w:rPr>
    </w:lvl>
    <w:lvl w:ilvl="7" w:tplc="81A409D0" w:tentative="1">
      <w:start w:val="1"/>
      <w:numFmt w:val="bullet"/>
      <w:lvlText w:val="•"/>
      <w:lvlJc w:val="left"/>
      <w:pPr>
        <w:tabs>
          <w:tab w:val="num" w:pos="5760"/>
        </w:tabs>
        <w:ind w:left="5760" w:hanging="360"/>
      </w:pPr>
      <w:rPr>
        <w:rFonts w:ascii="Arial" w:hAnsi="Arial" w:hint="default"/>
      </w:rPr>
    </w:lvl>
    <w:lvl w:ilvl="8" w:tplc="E138B8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6616B8"/>
    <w:multiLevelType w:val="hybridMultilevel"/>
    <w:tmpl w:val="7CBCC1E0"/>
    <w:lvl w:ilvl="0" w:tplc="3F946E4A">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4602CB"/>
    <w:multiLevelType w:val="multilevel"/>
    <w:tmpl w:val="109699B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2E1FDE"/>
    <w:multiLevelType w:val="hybridMultilevel"/>
    <w:tmpl w:val="9622FD7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1777" w:hanging="360"/>
      </w:pPr>
      <w:rPr>
        <w:rFonts w:ascii="Wingdings" w:hAnsi="Wingdings" w:hint="default"/>
      </w:rPr>
    </w:lvl>
    <w:lvl w:ilvl="3" w:tplc="9AF05E86">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3027512"/>
    <w:multiLevelType w:val="hybridMultilevel"/>
    <w:tmpl w:val="0ED8B410"/>
    <w:lvl w:ilvl="0" w:tplc="D388A4F6">
      <w:start w:val="31"/>
      <w:numFmt w:val="bullet"/>
      <w:lvlText w:val="-"/>
      <w:lvlJc w:val="left"/>
      <w:pPr>
        <w:ind w:left="360" w:hanging="360"/>
      </w:pPr>
      <w:rPr>
        <w:rFonts w:ascii="Arial" w:eastAsia="Times New Roman" w:hAnsi="Arial" w:cs="Arial"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4036463"/>
    <w:multiLevelType w:val="hybridMultilevel"/>
    <w:tmpl w:val="FF6A197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9AF05E86">
      <w:start w:val="1"/>
      <w:numFmt w:val="bullet"/>
      <w:lvlText w:val=""/>
      <w:lvlJc w:val="left"/>
      <w:pPr>
        <w:ind w:left="1777" w:hanging="360"/>
      </w:pPr>
      <w:rPr>
        <w:rFonts w:ascii="Symbol" w:hAnsi="Symbol" w:hint="default"/>
      </w:rPr>
    </w:lvl>
    <w:lvl w:ilvl="3" w:tplc="04050001">
      <w:start w:val="1"/>
      <w:numFmt w:val="bullet"/>
      <w:lvlText w:val=""/>
      <w:lvlJc w:val="left"/>
      <w:pPr>
        <w:ind w:left="3588" w:hanging="360"/>
      </w:pPr>
      <w:rPr>
        <w:rFonts w:ascii="Symbol" w:hAnsi="Symbol" w:hint="default"/>
      </w:rPr>
    </w:lvl>
    <w:lvl w:ilvl="4" w:tplc="D388A4F6">
      <w:start w:val="31"/>
      <w:numFmt w:val="bullet"/>
      <w:lvlText w:val="-"/>
      <w:lvlJc w:val="left"/>
      <w:pPr>
        <w:ind w:left="4308" w:hanging="360"/>
      </w:pPr>
      <w:rPr>
        <w:rFonts w:ascii="Arial" w:eastAsia="Times New Roman" w:hAnsi="Arial" w:cs="Arial" w:hint="default"/>
      </w:rPr>
    </w:lvl>
    <w:lvl w:ilvl="5" w:tplc="00E0E326">
      <w:start w:val="3"/>
      <w:numFmt w:val="bullet"/>
      <w:lvlText w:val="-"/>
      <w:lvlJc w:val="left"/>
      <w:pPr>
        <w:ind w:left="5028" w:hanging="360"/>
      </w:pPr>
      <w:rPr>
        <w:rFonts w:ascii="Arial" w:eastAsia="Times New Roman" w:hAnsi="Arial" w:cs="Arial"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581275C"/>
    <w:multiLevelType w:val="hybridMultilevel"/>
    <w:tmpl w:val="7138123C"/>
    <w:lvl w:ilvl="0" w:tplc="F5A6A3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384202"/>
    <w:multiLevelType w:val="hybridMultilevel"/>
    <w:tmpl w:val="2540658A"/>
    <w:lvl w:ilvl="0" w:tplc="D388A4F6">
      <w:start w:val="31"/>
      <w:numFmt w:val="bullet"/>
      <w:lvlText w:val="-"/>
      <w:lvlJc w:val="left"/>
      <w:pPr>
        <w:ind w:left="360" w:hanging="360"/>
      </w:pPr>
      <w:rPr>
        <w:rFonts w:ascii="Arial" w:eastAsia="Times New Roman"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AE4C72"/>
    <w:multiLevelType w:val="hybridMultilevel"/>
    <w:tmpl w:val="E1F28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6E5AB6"/>
    <w:multiLevelType w:val="multilevel"/>
    <w:tmpl w:val="AC1E9254"/>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9C40BB"/>
    <w:multiLevelType w:val="hybridMultilevel"/>
    <w:tmpl w:val="E6561628"/>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401047"/>
    <w:multiLevelType w:val="hybridMultilevel"/>
    <w:tmpl w:val="4412CCA2"/>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9AF05E86">
      <w:start w:val="1"/>
      <w:numFmt w:val="bullet"/>
      <w:lvlText w:val=""/>
      <w:lvlJc w:val="left"/>
      <w:pPr>
        <w:ind w:left="1777" w:hanging="360"/>
      </w:pPr>
      <w:rPr>
        <w:rFonts w:ascii="Symbol" w:hAnsi="Symbol" w:hint="default"/>
      </w:rPr>
    </w:lvl>
    <w:lvl w:ilvl="3" w:tplc="04050001">
      <w:start w:val="1"/>
      <w:numFmt w:val="bullet"/>
      <w:lvlText w:val=""/>
      <w:lvlJc w:val="left"/>
      <w:pPr>
        <w:ind w:left="3588" w:hanging="360"/>
      </w:pPr>
      <w:rPr>
        <w:rFonts w:ascii="Symbol" w:hAnsi="Symbol" w:hint="default"/>
      </w:rPr>
    </w:lvl>
    <w:lvl w:ilvl="4" w:tplc="9AF05E86">
      <w:start w:val="1"/>
      <w:numFmt w:val="bullet"/>
      <w:lvlText w:val=""/>
      <w:lvlJc w:val="left"/>
      <w:pPr>
        <w:ind w:left="4308" w:hanging="360"/>
      </w:pPr>
      <w:rPr>
        <w:rFonts w:ascii="Symbol" w:hAnsi="Symbol" w:hint="default"/>
      </w:rPr>
    </w:lvl>
    <w:lvl w:ilvl="5" w:tplc="00E0E326">
      <w:start w:val="3"/>
      <w:numFmt w:val="bullet"/>
      <w:lvlText w:val="-"/>
      <w:lvlJc w:val="left"/>
      <w:pPr>
        <w:ind w:left="5028" w:hanging="360"/>
      </w:pPr>
      <w:rPr>
        <w:rFonts w:ascii="Arial" w:eastAsia="Times New Roman" w:hAnsi="Arial" w:cs="Arial"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2A1C1BF2"/>
    <w:multiLevelType w:val="multilevel"/>
    <w:tmpl w:val="9F02956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256FB6"/>
    <w:multiLevelType w:val="hybridMultilevel"/>
    <w:tmpl w:val="A0964650"/>
    <w:lvl w:ilvl="0" w:tplc="9AF05E86">
      <w:start w:val="1"/>
      <w:numFmt w:val="bullet"/>
      <w:lvlText w:val=""/>
      <w:lvlJc w:val="left"/>
      <w:pPr>
        <w:ind w:left="360" w:hanging="360"/>
      </w:pPr>
      <w:rPr>
        <w:rFonts w:ascii="Symbol" w:hAnsi="Symbol"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BEE098E"/>
    <w:multiLevelType w:val="multilevel"/>
    <w:tmpl w:val="C8841270"/>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7" w15:restartNumberingAfterBreak="0">
    <w:nsid w:val="2CA20267"/>
    <w:multiLevelType w:val="hybridMultilevel"/>
    <w:tmpl w:val="CCAEB1D8"/>
    <w:lvl w:ilvl="0" w:tplc="D388A4F6">
      <w:start w:val="31"/>
      <w:numFmt w:val="bullet"/>
      <w:lvlText w:val="-"/>
      <w:lvlJc w:val="left"/>
      <w:pPr>
        <w:tabs>
          <w:tab w:val="num" w:pos="720"/>
        </w:tabs>
        <w:ind w:left="720" w:hanging="360"/>
      </w:pPr>
      <w:rPr>
        <w:rFonts w:ascii="Arial" w:eastAsia="Times New Roman" w:hAnsi="Arial" w:cs="Arial" w:hint="default"/>
        <w:color w:val="auto"/>
        <w:sz w:val="16"/>
        <w:szCs w:val="16"/>
      </w:rPr>
    </w:lvl>
    <w:lvl w:ilvl="1" w:tplc="BA3C09E0">
      <w:start w:val="1"/>
      <w:numFmt w:val="bullet"/>
      <w:lvlText w:val="•"/>
      <w:lvlJc w:val="left"/>
      <w:pPr>
        <w:tabs>
          <w:tab w:val="num" w:pos="1440"/>
        </w:tabs>
        <w:ind w:left="1440" w:hanging="360"/>
      </w:pPr>
      <w:rPr>
        <w:rFonts w:ascii="Arial" w:hAnsi="Arial" w:hint="default"/>
      </w:rPr>
    </w:lvl>
    <w:lvl w:ilvl="2" w:tplc="48A2E806">
      <w:start w:val="1"/>
      <w:numFmt w:val="bullet"/>
      <w:lvlText w:val="•"/>
      <w:lvlJc w:val="left"/>
      <w:pPr>
        <w:tabs>
          <w:tab w:val="num" w:pos="2160"/>
        </w:tabs>
        <w:ind w:left="2160" w:hanging="360"/>
      </w:pPr>
      <w:rPr>
        <w:rFonts w:ascii="Arial" w:hAnsi="Arial" w:hint="default"/>
      </w:rPr>
    </w:lvl>
    <w:lvl w:ilvl="3" w:tplc="B5FC229A" w:tentative="1">
      <w:start w:val="1"/>
      <w:numFmt w:val="bullet"/>
      <w:lvlText w:val="•"/>
      <w:lvlJc w:val="left"/>
      <w:pPr>
        <w:tabs>
          <w:tab w:val="num" w:pos="2880"/>
        </w:tabs>
        <w:ind w:left="2880" w:hanging="360"/>
      </w:pPr>
      <w:rPr>
        <w:rFonts w:ascii="Arial" w:hAnsi="Arial" w:hint="default"/>
      </w:rPr>
    </w:lvl>
    <w:lvl w:ilvl="4" w:tplc="D90070F8" w:tentative="1">
      <w:start w:val="1"/>
      <w:numFmt w:val="bullet"/>
      <w:lvlText w:val="•"/>
      <w:lvlJc w:val="left"/>
      <w:pPr>
        <w:tabs>
          <w:tab w:val="num" w:pos="3600"/>
        </w:tabs>
        <w:ind w:left="3600" w:hanging="360"/>
      </w:pPr>
      <w:rPr>
        <w:rFonts w:ascii="Arial" w:hAnsi="Arial" w:hint="default"/>
      </w:rPr>
    </w:lvl>
    <w:lvl w:ilvl="5" w:tplc="686A36F6" w:tentative="1">
      <w:start w:val="1"/>
      <w:numFmt w:val="bullet"/>
      <w:lvlText w:val="•"/>
      <w:lvlJc w:val="left"/>
      <w:pPr>
        <w:tabs>
          <w:tab w:val="num" w:pos="4320"/>
        </w:tabs>
        <w:ind w:left="4320" w:hanging="360"/>
      </w:pPr>
      <w:rPr>
        <w:rFonts w:ascii="Arial" w:hAnsi="Arial" w:hint="default"/>
      </w:rPr>
    </w:lvl>
    <w:lvl w:ilvl="6" w:tplc="FCBC5760" w:tentative="1">
      <w:start w:val="1"/>
      <w:numFmt w:val="bullet"/>
      <w:lvlText w:val="•"/>
      <w:lvlJc w:val="left"/>
      <w:pPr>
        <w:tabs>
          <w:tab w:val="num" w:pos="5040"/>
        </w:tabs>
        <w:ind w:left="5040" w:hanging="360"/>
      </w:pPr>
      <w:rPr>
        <w:rFonts w:ascii="Arial" w:hAnsi="Arial" w:hint="default"/>
      </w:rPr>
    </w:lvl>
    <w:lvl w:ilvl="7" w:tplc="81A409D0" w:tentative="1">
      <w:start w:val="1"/>
      <w:numFmt w:val="bullet"/>
      <w:lvlText w:val="•"/>
      <w:lvlJc w:val="left"/>
      <w:pPr>
        <w:tabs>
          <w:tab w:val="num" w:pos="5760"/>
        </w:tabs>
        <w:ind w:left="5760" w:hanging="360"/>
      </w:pPr>
      <w:rPr>
        <w:rFonts w:ascii="Arial" w:hAnsi="Arial" w:hint="default"/>
      </w:rPr>
    </w:lvl>
    <w:lvl w:ilvl="8" w:tplc="E138B8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A73636"/>
    <w:multiLevelType w:val="multilevel"/>
    <w:tmpl w:val="5F3638E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941552"/>
    <w:multiLevelType w:val="hybridMultilevel"/>
    <w:tmpl w:val="7DAA5F78"/>
    <w:lvl w:ilvl="0" w:tplc="3F946E4A">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1170E46"/>
    <w:multiLevelType w:val="hybridMultilevel"/>
    <w:tmpl w:val="1172B1E0"/>
    <w:lvl w:ilvl="0" w:tplc="AC92DC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D83A6D"/>
    <w:multiLevelType w:val="hybridMultilevel"/>
    <w:tmpl w:val="CD5AA9C0"/>
    <w:lvl w:ilvl="0" w:tplc="79923AC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BB5B53"/>
    <w:multiLevelType w:val="hybridMultilevel"/>
    <w:tmpl w:val="2052758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3B310EFD"/>
    <w:multiLevelType w:val="hybridMultilevel"/>
    <w:tmpl w:val="4356B81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1777" w:hanging="360"/>
      </w:pPr>
      <w:rPr>
        <w:rFonts w:ascii="Wingdings" w:hAnsi="Wingdings" w:hint="default"/>
      </w:rPr>
    </w:lvl>
    <w:lvl w:ilvl="3" w:tplc="D388A4F6">
      <w:start w:val="31"/>
      <w:numFmt w:val="bullet"/>
      <w:lvlText w:val="-"/>
      <w:lvlJc w:val="left"/>
      <w:pPr>
        <w:ind w:left="3588" w:hanging="360"/>
      </w:pPr>
      <w:rPr>
        <w:rFonts w:ascii="Arial" w:eastAsia="Times New Roman" w:hAnsi="Arial" w:cs="Arial" w:hint="default"/>
        <w:color w:val="auto"/>
        <w:sz w:val="16"/>
        <w:szCs w:val="16"/>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418B2B06"/>
    <w:multiLevelType w:val="hybridMultilevel"/>
    <w:tmpl w:val="64104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AD0665"/>
    <w:multiLevelType w:val="hybridMultilevel"/>
    <w:tmpl w:val="25BCEB7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D388A4F6">
      <w:start w:val="31"/>
      <w:numFmt w:val="bullet"/>
      <w:lvlText w:val="-"/>
      <w:lvlJc w:val="left"/>
      <w:pPr>
        <w:ind w:left="1777" w:hanging="360"/>
      </w:pPr>
      <w:rPr>
        <w:rFonts w:ascii="Arial" w:eastAsia="Times New Roman" w:hAnsi="Arial" w:cs="Arial" w:hint="default"/>
        <w:color w:val="auto"/>
        <w:sz w:val="16"/>
        <w:szCs w:val="16"/>
      </w:rPr>
    </w:lvl>
    <w:lvl w:ilvl="3" w:tplc="04050001">
      <w:start w:val="1"/>
      <w:numFmt w:val="bullet"/>
      <w:lvlText w:val=""/>
      <w:lvlJc w:val="left"/>
      <w:pPr>
        <w:ind w:left="3588" w:hanging="360"/>
      </w:pPr>
      <w:rPr>
        <w:rFonts w:ascii="Symbol" w:hAnsi="Symbol" w:hint="default"/>
      </w:rPr>
    </w:lvl>
    <w:lvl w:ilvl="4" w:tplc="D388A4F6">
      <w:start w:val="31"/>
      <w:numFmt w:val="bullet"/>
      <w:lvlText w:val="-"/>
      <w:lvlJc w:val="left"/>
      <w:pPr>
        <w:ind w:left="4308" w:hanging="360"/>
      </w:pPr>
      <w:rPr>
        <w:rFonts w:ascii="Arial" w:eastAsia="Times New Roman" w:hAnsi="Arial" w:cs="Arial"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4654447C"/>
    <w:multiLevelType w:val="multilevel"/>
    <w:tmpl w:val="88A48518"/>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614D6D"/>
    <w:multiLevelType w:val="hybridMultilevel"/>
    <w:tmpl w:val="36C6A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DE62B3"/>
    <w:multiLevelType w:val="multilevel"/>
    <w:tmpl w:val="6E44993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5D6748"/>
    <w:multiLevelType w:val="hybridMultilevel"/>
    <w:tmpl w:val="E72AB5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E1E3F"/>
    <w:multiLevelType w:val="hybridMultilevel"/>
    <w:tmpl w:val="E708C11C"/>
    <w:lvl w:ilvl="0" w:tplc="D3805D92">
      <w:start w:val="1"/>
      <w:numFmt w:val="bullet"/>
      <w:lvlText w:val="•"/>
      <w:lvlJc w:val="left"/>
      <w:pPr>
        <w:tabs>
          <w:tab w:val="num" w:pos="720"/>
        </w:tabs>
        <w:ind w:left="720" w:hanging="360"/>
      </w:pPr>
      <w:rPr>
        <w:rFonts w:ascii="Arial" w:hAnsi="Arial" w:hint="default"/>
      </w:rPr>
    </w:lvl>
    <w:lvl w:ilvl="1" w:tplc="9AF05E86">
      <w:start w:val="1"/>
      <w:numFmt w:val="bullet"/>
      <w:lvlText w:val=""/>
      <w:lvlJc w:val="left"/>
      <w:pPr>
        <w:tabs>
          <w:tab w:val="num" w:pos="1440"/>
        </w:tabs>
        <w:ind w:left="1440" w:hanging="360"/>
      </w:pPr>
      <w:rPr>
        <w:rFonts w:ascii="Symbol" w:hAnsi="Symbol" w:hint="default"/>
      </w:rPr>
    </w:lvl>
    <w:lvl w:ilvl="2" w:tplc="6338D7F4" w:tentative="1">
      <w:start w:val="1"/>
      <w:numFmt w:val="bullet"/>
      <w:lvlText w:val="•"/>
      <w:lvlJc w:val="left"/>
      <w:pPr>
        <w:tabs>
          <w:tab w:val="num" w:pos="2160"/>
        </w:tabs>
        <w:ind w:left="2160" w:hanging="360"/>
      </w:pPr>
      <w:rPr>
        <w:rFonts w:ascii="Arial" w:hAnsi="Arial" w:hint="default"/>
      </w:rPr>
    </w:lvl>
    <w:lvl w:ilvl="3" w:tplc="5F0850A0" w:tentative="1">
      <w:start w:val="1"/>
      <w:numFmt w:val="bullet"/>
      <w:lvlText w:val="•"/>
      <w:lvlJc w:val="left"/>
      <w:pPr>
        <w:tabs>
          <w:tab w:val="num" w:pos="2880"/>
        </w:tabs>
        <w:ind w:left="2880" w:hanging="360"/>
      </w:pPr>
      <w:rPr>
        <w:rFonts w:ascii="Arial" w:hAnsi="Arial" w:hint="default"/>
      </w:rPr>
    </w:lvl>
    <w:lvl w:ilvl="4" w:tplc="A4EEE7EA" w:tentative="1">
      <w:start w:val="1"/>
      <w:numFmt w:val="bullet"/>
      <w:lvlText w:val="•"/>
      <w:lvlJc w:val="left"/>
      <w:pPr>
        <w:tabs>
          <w:tab w:val="num" w:pos="3600"/>
        </w:tabs>
        <w:ind w:left="3600" w:hanging="360"/>
      </w:pPr>
      <w:rPr>
        <w:rFonts w:ascii="Arial" w:hAnsi="Arial" w:hint="default"/>
      </w:rPr>
    </w:lvl>
    <w:lvl w:ilvl="5" w:tplc="BD364FEC" w:tentative="1">
      <w:start w:val="1"/>
      <w:numFmt w:val="bullet"/>
      <w:lvlText w:val="•"/>
      <w:lvlJc w:val="left"/>
      <w:pPr>
        <w:tabs>
          <w:tab w:val="num" w:pos="4320"/>
        </w:tabs>
        <w:ind w:left="4320" w:hanging="360"/>
      </w:pPr>
      <w:rPr>
        <w:rFonts w:ascii="Arial" w:hAnsi="Arial" w:hint="default"/>
      </w:rPr>
    </w:lvl>
    <w:lvl w:ilvl="6" w:tplc="8ABCDE38" w:tentative="1">
      <w:start w:val="1"/>
      <w:numFmt w:val="bullet"/>
      <w:lvlText w:val="•"/>
      <w:lvlJc w:val="left"/>
      <w:pPr>
        <w:tabs>
          <w:tab w:val="num" w:pos="5040"/>
        </w:tabs>
        <w:ind w:left="5040" w:hanging="360"/>
      </w:pPr>
      <w:rPr>
        <w:rFonts w:ascii="Arial" w:hAnsi="Arial" w:hint="default"/>
      </w:rPr>
    </w:lvl>
    <w:lvl w:ilvl="7" w:tplc="94366E90" w:tentative="1">
      <w:start w:val="1"/>
      <w:numFmt w:val="bullet"/>
      <w:lvlText w:val="•"/>
      <w:lvlJc w:val="left"/>
      <w:pPr>
        <w:tabs>
          <w:tab w:val="num" w:pos="5760"/>
        </w:tabs>
        <w:ind w:left="5760" w:hanging="360"/>
      </w:pPr>
      <w:rPr>
        <w:rFonts w:ascii="Arial" w:hAnsi="Arial" w:hint="default"/>
      </w:rPr>
    </w:lvl>
    <w:lvl w:ilvl="8" w:tplc="226AA6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F61D01"/>
    <w:multiLevelType w:val="multilevel"/>
    <w:tmpl w:val="C88412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767924"/>
    <w:multiLevelType w:val="hybridMultilevel"/>
    <w:tmpl w:val="176858B0"/>
    <w:lvl w:ilvl="0" w:tplc="96D8708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5EF7794B"/>
    <w:multiLevelType w:val="multilevel"/>
    <w:tmpl w:val="10F619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6."/>
      <w:lvlJc w:val="left"/>
      <w:pPr>
        <w:ind w:left="1152" w:hanging="1152"/>
      </w:pPr>
      <w:rPr>
        <w:rFonts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1B52E51"/>
    <w:multiLevelType w:val="hybridMultilevel"/>
    <w:tmpl w:val="361C5C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592D35"/>
    <w:multiLevelType w:val="multilevel"/>
    <w:tmpl w:val="05EC78CA"/>
    <w:lvl w:ilvl="0">
      <w:start w:val="6"/>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6" w15:restartNumberingAfterBreak="0">
    <w:nsid w:val="63AB5751"/>
    <w:multiLevelType w:val="multilevel"/>
    <w:tmpl w:val="8C2CDCAE"/>
    <w:lvl w:ilvl="0">
      <w:start w:val="1"/>
      <w:numFmt w:val="decimal"/>
      <w:pStyle w:val="Nadpis1"/>
      <w:lvlText w:val="%1"/>
      <w:lvlJc w:val="left"/>
      <w:pPr>
        <w:ind w:left="8086" w:hanging="432"/>
      </w:pPr>
      <w:rPr>
        <w:rFonts w:hint="default"/>
      </w:rPr>
    </w:lvl>
    <w:lvl w:ilvl="1">
      <w:start w:val="1"/>
      <w:numFmt w:val="decimal"/>
      <w:pStyle w:val="Nadpis2"/>
      <w:lvlText w:val="%1.%2"/>
      <w:lvlJc w:val="left"/>
      <w:pPr>
        <w:ind w:left="1134" w:hanging="680"/>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7" w15:restartNumberingAfterBreak="0">
    <w:nsid w:val="677E0D0E"/>
    <w:multiLevelType w:val="hybridMultilevel"/>
    <w:tmpl w:val="1CC88370"/>
    <w:lvl w:ilvl="0" w:tplc="D388A4F6">
      <w:start w:val="31"/>
      <w:numFmt w:val="bullet"/>
      <w:lvlText w:val="-"/>
      <w:lvlJc w:val="left"/>
      <w:pPr>
        <w:tabs>
          <w:tab w:val="num" w:pos="720"/>
        </w:tabs>
        <w:ind w:left="720" w:hanging="360"/>
      </w:pPr>
      <w:rPr>
        <w:rFonts w:ascii="Arial" w:eastAsia="Times New Roman" w:hAnsi="Arial" w:cs="Arial" w:hint="default"/>
        <w:color w:val="auto"/>
        <w:sz w:val="16"/>
        <w:szCs w:val="16"/>
      </w:rPr>
    </w:lvl>
    <w:lvl w:ilvl="1" w:tplc="04050005">
      <w:start w:val="1"/>
      <w:numFmt w:val="bullet"/>
      <w:lvlText w:val=""/>
      <w:lvlJc w:val="left"/>
      <w:pPr>
        <w:tabs>
          <w:tab w:val="num" w:pos="1440"/>
        </w:tabs>
        <w:ind w:left="1440" w:hanging="360"/>
      </w:pPr>
      <w:rPr>
        <w:rFonts w:ascii="Wingdings" w:hAnsi="Wingdings" w:hint="default"/>
      </w:rPr>
    </w:lvl>
    <w:lvl w:ilvl="2" w:tplc="48A2E806">
      <w:start w:val="1"/>
      <w:numFmt w:val="bullet"/>
      <w:lvlText w:val="•"/>
      <w:lvlJc w:val="left"/>
      <w:pPr>
        <w:tabs>
          <w:tab w:val="num" w:pos="2160"/>
        </w:tabs>
        <w:ind w:left="2160" w:hanging="360"/>
      </w:pPr>
      <w:rPr>
        <w:rFonts w:ascii="Arial" w:hAnsi="Arial" w:hint="default"/>
      </w:rPr>
    </w:lvl>
    <w:lvl w:ilvl="3" w:tplc="B5FC229A" w:tentative="1">
      <w:start w:val="1"/>
      <w:numFmt w:val="bullet"/>
      <w:lvlText w:val="•"/>
      <w:lvlJc w:val="left"/>
      <w:pPr>
        <w:tabs>
          <w:tab w:val="num" w:pos="2880"/>
        </w:tabs>
        <w:ind w:left="2880" w:hanging="360"/>
      </w:pPr>
      <w:rPr>
        <w:rFonts w:ascii="Arial" w:hAnsi="Arial" w:hint="default"/>
      </w:rPr>
    </w:lvl>
    <w:lvl w:ilvl="4" w:tplc="D90070F8" w:tentative="1">
      <w:start w:val="1"/>
      <w:numFmt w:val="bullet"/>
      <w:lvlText w:val="•"/>
      <w:lvlJc w:val="left"/>
      <w:pPr>
        <w:tabs>
          <w:tab w:val="num" w:pos="3600"/>
        </w:tabs>
        <w:ind w:left="3600" w:hanging="360"/>
      </w:pPr>
      <w:rPr>
        <w:rFonts w:ascii="Arial" w:hAnsi="Arial" w:hint="default"/>
      </w:rPr>
    </w:lvl>
    <w:lvl w:ilvl="5" w:tplc="686A36F6" w:tentative="1">
      <w:start w:val="1"/>
      <w:numFmt w:val="bullet"/>
      <w:lvlText w:val="•"/>
      <w:lvlJc w:val="left"/>
      <w:pPr>
        <w:tabs>
          <w:tab w:val="num" w:pos="4320"/>
        </w:tabs>
        <w:ind w:left="4320" w:hanging="360"/>
      </w:pPr>
      <w:rPr>
        <w:rFonts w:ascii="Arial" w:hAnsi="Arial" w:hint="default"/>
      </w:rPr>
    </w:lvl>
    <w:lvl w:ilvl="6" w:tplc="FCBC5760" w:tentative="1">
      <w:start w:val="1"/>
      <w:numFmt w:val="bullet"/>
      <w:lvlText w:val="•"/>
      <w:lvlJc w:val="left"/>
      <w:pPr>
        <w:tabs>
          <w:tab w:val="num" w:pos="5040"/>
        </w:tabs>
        <w:ind w:left="5040" w:hanging="360"/>
      </w:pPr>
      <w:rPr>
        <w:rFonts w:ascii="Arial" w:hAnsi="Arial" w:hint="default"/>
      </w:rPr>
    </w:lvl>
    <w:lvl w:ilvl="7" w:tplc="81A409D0" w:tentative="1">
      <w:start w:val="1"/>
      <w:numFmt w:val="bullet"/>
      <w:lvlText w:val="•"/>
      <w:lvlJc w:val="left"/>
      <w:pPr>
        <w:tabs>
          <w:tab w:val="num" w:pos="5760"/>
        </w:tabs>
        <w:ind w:left="5760" w:hanging="360"/>
      </w:pPr>
      <w:rPr>
        <w:rFonts w:ascii="Arial" w:hAnsi="Arial" w:hint="default"/>
      </w:rPr>
    </w:lvl>
    <w:lvl w:ilvl="8" w:tplc="E138B89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831BA8"/>
    <w:multiLevelType w:val="hybridMultilevel"/>
    <w:tmpl w:val="5FC45C02"/>
    <w:lvl w:ilvl="0" w:tplc="D3805D92">
      <w:start w:val="1"/>
      <w:numFmt w:val="bullet"/>
      <w:lvlText w:val="•"/>
      <w:lvlJc w:val="left"/>
      <w:pPr>
        <w:tabs>
          <w:tab w:val="num" w:pos="720"/>
        </w:tabs>
        <w:ind w:left="720" w:hanging="360"/>
      </w:pPr>
      <w:rPr>
        <w:rFonts w:ascii="Arial" w:hAnsi="Arial" w:hint="default"/>
      </w:rPr>
    </w:lvl>
    <w:lvl w:ilvl="1" w:tplc="D388A4F6">
      <w:start w:val="31"/>
      <w:numFmt w:val="bullet"/>
      <w:lvlText w:val="-"/>
      <w:lvlJc w:val="left"/>
      <w:pPr>
        <w:tabs>
          <w:tab w:val="num" w:pos="1440"/>
        </w:tabs>
        <w:ind w:left="1440" w:hanging="360"/>
      </w:pPr>
      <w:rPr>
        <w:rFonts w:ascii="Arial" w:eastAsia="Times New Roman" w:hAnsi="Arial" w:cs="Arial" w:hint="default"/>
      </w:rPr>
    </w:lvl>
    <w:lvl w:ilvl="2" w:tplc="6338D7F4" w:tentative="1">
      <w:start w:val="1"/>
      <w:numFmt w:val="bullet"/>
      <w:lvlText w:val="•"/>
      <w:lvlJc w:val="left"/>
      <w:pPr>
        <w:tabs>
          <w:tab w:val="num" w:pos="2160"/>
        </w:tabs>
        <w:ind w:left="2160" w:hanging="360"/>
      </w:pPr>
      <w:rPr>
        <w:rFonts w:ascii="Arial" w:hAnsi="Arial" w:hint="default"/>
      </w:rPr>
    </w:lvl>
    <w:lvl w:ilvl="3" w:tplc="5F0850A0" w:tentative="1">
      <w:start w:val="1"/>
      <w:numFmt w:val="bullet"/>
      <w:lvlText w:val="•"/>
      <w:lvlJc w:val="left"/>
      <w:pPr>
        <w:tabs>
          <w:tab w:val="num" w:pos="2880"/>
        </w:tabs>
        <w:ind w:left="2880" w:hanging="360"/>
      </w:pPr>
      <w:rPr>
        <w:rFonts w:ascii="Arial" w:hAnsi="Arial" w:hint="default"/>
      </w:rPr>
    </w:lvl>
    <w:lvl w:ilvl="4" w:tplc="A4EEE7EA" w:tentative="1">
      <w:start w:val="1"/>
      <w:numFmt w:val="bullet"/>
      <w:lvlText w:val="•"/>
      <w:lvlJc w:val="left"/>
      <w:pPr>
        <w:tabs>
          <w:tab w:val="num" w:pos="3600"/>
        </w:tabs>
        <w:ind w:left="3600" w:hanging="360"/>
      </w:pPr>
      <w:rPr>
        <w:rFonts w:ascii="Arial" w:hAnsi="Arial" w:hint="default"/>
      </w:rPr>
    </w:lvl>
    <w:lvl w:ilvl="5" w:tplc="BD364FEC" w:tentative="1">
      <w:start w:val="1"/>
      <w:numFmt w:val="bullet"/>
      <w:lvlText w:val="•"/>
      <w:lvlJc w:val="left"/>
      <w:pPr>
        <w:tabs>
          <w:tab w:val="num" w:pos="4320"/>
        </w:tabs>
        <w:ind w:left="4320" w:hanging="360"/>
      </w:pPr>
      <w:rPr>
        <w:rFonts w:ascii="Arial" w:hAnsi="Arial" w:hint="default"/>
      </w:rPr>
    </w:lvl>
    <w:lvl w:ilvl="6" w:tplc="8ABCDE38" w:tentative="1">
      <w:start w:val="1"/>
      <w:numFmt w:val="bullet"/>
      <w:lvlText w:val="•"/>
      <w:lvlJc w:val="left"/>
      <w:pPr>
        <w:tabs>
          <w:tab w:val="num" w:pos="5040"/>
        </w:tabs>
        <w:ind w:left="5040" w:hanging="360"/>
      </w:pPr>
      <w:rPr>
        <w:rFonts w:ascii="Arial" w:hAnsi="Arial" w:hint="default"/>
      </w:rPr>
    </w:lvl>
    <w:lvl w:ilvl="7" w:tplc="94366E90" w:tentative="1">
      <w:start w:val="1"/>
      <w:numFmt w:val="bullet"/>
      <w:lvlText w:val="•"/>
      <w:lvlJc w:val="left"/>
      <w:pPr>
        <w:tabs>
          <w:tab w:val="num" w:pos="5760"/>
        </w:tabs>
        <w:ind w:left="5760" w:hanging="360"/>
      </w:pPr>
      <w:rPr>
        <w:rFonts w:ascii="Arial" w:hAnsi="Arial" w:hint="default"/>
      </w:rPr>
    </w:lvl>
    <w:lvl w:ilvl="8" w:tplc="226AA6C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9C5524"/>
    <w:multiLevelType w:val="multilevel"/>
    <w:tmpl w:val="1C92682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87E5BE0"/>
    <w:multiLevelType w:val="hybridMultilevel"/>
    <w:tmpl w:val="559A84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C778F2"/>
    <w:multiLevelType w:val="multilevel"/>
    <w:tmpl w:val="405C5A4C"/>
    <w:lvl w:ilvl="0">
      <w:start w:val="3"/>
      <w:numFmt w:val="decimal"/>
      <w:lvlText w:val="%1."/>
      <w:lvlJc w:val="left"/>
      <w:pPr>
        <w:ind w:left="400" w:hanging="400"/>
      </w:pPr>
      <w:rPr>
        <w:rFonts w:hint="default"/>
      </w:rPr>
    </w:lvl>
    <w:lvl w:ilvl="1">
      <w:start w:val="2"/>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42" w15:restartNumberingAfterBreak="0">
    <w:nsid w:val="7F147138"/>
    <w:multiLevelType w:val="hybridMultilevel"/>
    <w:tmpl w:val="95BA7602"/>
    <w:lvl w:ilvl="0" w:tplc="9AF05E86">
      <w:start w:val="1"/>
      <w:numFmt w:val="bullet"/>
      <w:lvlText w:val=""/>
      <w:lvlJc w:val="left"/>
      <w:pPr>
        <w:ind w:left="36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11"/>
  </w:num>
  <w:num w:numId="3">
    <w:abstractNumId w:val="16"/>
  </w:num>
  <w:num w:numId="4">
    <w:abstractNumId w:val="34"/>
  </w:num>
  <w:num w:numId="5">
    <w:abstractNumId w:val="17"/>
  </w:num>
  <w:num w:numId="6">
    <w:abstractNumId w:val="12"/>
  </w:num>
  <w:num w:numId="7">
    <w:abstractNumId w:val="5"/>
  </w:num>
  <w:num w:numId="8">
    <w:abstractNumId w:val="1"/>
  </w:num>
  <w:num w:numId="9">
    <w:abstractNumId w:val="13"/>
  </w:num>
  <w:num w:numId="10">
    <w:abstractNumId w:val="15"/>
  </w:num>
  <w:num w:numId="11">
    <w:abstractNumId w:val="42"/>
  </w:num>
  <w:num w:numId="12">
    <w:abstractNumId w:val="30"/>
  </w:num>
  <w:num w:numId="13">
    <w:abstractNumId w:val="26"/>
  </w:num>
  <w:num w:numId="14">
    <w:abstractNumId w:val="39"/>
  </w:num>
  <w:num w:numId="15">
    <w:abstractNumId w:val="18"/>
  </w:num>
  <w:num w:numId="16">
    <w:abstractNumId w:val="14"/>
  </w:num>
  <w:num w:numId="17">
    <w:abstractNumId w:val="28"/>
  </w:num>
  <w:num w:numId="18">
    <w:abstractNumId w:val="22"/>
  </w:num>
  <w:num w:numId="19">
    <w:abstractNumId w:val="9"/>
  </w:num>
  <w:num w:numId="20">
    <w:abstractNumId w:val="38"/>
  </w:num>
  <w:num w:numId="21">
    <w:abstractNumId w:val="7"/>
  </w:num>
  <w:num w:numId="22">
    <w:abstractNumId w:val="4"/>
  </w:num>
  <w:num w:numId="23">
    <w:abstractNumId w:val="6"/>
  </w:num>
  <w:num w:numId="24">
    <w:abstractNumId w:val="23"/>
  </w:num>
  <w:num w:numId="25">
    <w:abstractNumId w:val="25"/>
  </w:num>
  <w:num w:numId="26">
    <w:abstractNumId w:val="32"/>
  </w:num>
  <w:num w:numId="27">
    <w:abstractNumId w:val="2"/>
  </w:num>
  <w:num w:numId="28">
    <w:abstractNumId w:val="37"/>
  </w:num>
  <w:num w:numId="29">
    <w:abstractNumId w:val="29"/>
  </w:num>
  <w:num w:numId="30">
    <w:abstractNumId w:val="10"/>
  </w:num>
  <w:num w:numId="31">
    <w:abstractNumId w:val="27"/>
  </w:num>
  <w:num w:numId="32">
    <w:abstractNumId w:val="24"/>
  </w:num>
  <w:num w:numId="33">
    <w:abstractNumId w:val="31"/>
  </w:num>
  <w:num w:numId="34">
    <w:abstractNumId w:val="40"/>
  </w:num>
  <w:num w:numId="35">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6"/>
  </w:num>
  <w:num w:numId="38">
    <w:abstractNumId w:val="8"/>
  </w:num>
  <w:num w:numId="39">
    <w:abstractNumId w:val="19"/>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21"/>
  </w:num>
  <w:num w:numId="45">
    <w:abstractNumId w:val="3"/>
  </w:num>
  <w:num w:numId="46">
    <w:abstractNumId w:val="0"/>
  </w:num>
  <w:num w:numId="47">
    <w:abstractNumId w:val="19"/>
  </w:num>
  <w:num w:numId="48">
    <w:abstractNumId w:val="3"/>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3F"/>
    <w:rsid w:val="00000B14"/>
    <w:rsid w:val="00000D27"/>
    <w:rsid w:val="0000134B"/>
    <w:rsid w:val="00001A85"/>
    <w:rsid w:val="0000282E"/>
    <w:rsid w:val="00002A56"/>
    <w:rsid w:val="00002C10"/>
    <w:rsid w:val="00004E20"/>
    <w:rsid w:val="00005C7F"/>
    <w:rsid w:val="00006370"/>
    <w:rsid w:val="000078BE"/>
    <w:rsid w:val="00007C2B"/>
    <w:rsid w:val="00007E5D"/>
    <w:rsid w:val="00011500"/>
    <w:rsid w:val="00011B9C"/>
    <w:rsid w:val="00013569"/>
    <w:rsid w:val="000136B0"/>
    <w:rsid w:val="000174C4"/>
    <w:rsid w:val="00017EBE"/>
    <w:rsid w:val="00021914"/>
    <w:rsid w:val="00023435"/>
    <w:rsid w:val="000235CA"/>
    <w:rsid w:val="0002363B"/>
    <w:rsid w:val="0002396B"/>
    <w:rsid w:val="00023E31"/>
    <w:rsid w:val="00023E45"/>
    <w:rsid w:val="0002563E"/>
    <w:rsid w:val="0002566C"/>
    <w:rsid w:val="00025857"/>
    <w:rsid w:val="00025FE2"/>
    <w:rsid w:val="00026B77"/>
    <w:rsid w:val="00026D50"/>
    <w:rsid w:val="000304A4"/>
    <w:rsid w:val="000304F4"/>
    <w:rsid w:val="000306C6"/>
    <w:rsid w:val="00030972"/>
    <w:rsid w:val="00031192"/>
    <w:rsid w:val="00031767"/>
    <w:rsid w:val="00031F4A"/>
    <w:rsid w:val="0003467F"/>
    <w:rsid w:val="0003477C"/>
    <w:rsid w:val="00034850"/>
    <w:rsid w:val="000350D3"/>
    <w:rsid w:val="00036C74"/>
    <w:rsid w:val="00036D4C"/>
    <w:rsid w:val="00037C7D"/>
    <w:rsid w:val="00041235"/>
    <w:rsid w:val="00041977"/>
    <w:rsid w:val="0004266A"/>
    <w:rsid w:val="0004267F"/>
    <w:rsid w:val="000442B9"/>
    <w:rsid w:val="00044414"/>
    <w:rsid w:val="000449C1"/>
    <w:rsid w:val="00044A31"/>
    <w:rsid w:val="000452B2"/>
    <w:rsid w:val="00045881"/>
    <w:rsid w:val="00045BB3"/>
    <w:rsid w:val="00046B16"/>
    <w:rsid w:val="000507F0"/>
    <w:rsid w:val="00050950"/>
    <w:rsid w:val="0005148A"/>
    <w:rsid w:val="000515E3"/>
    <w:rsid w:val="00051769"/>
    <w:rsid w:val="00051C4B"/>
    <w:rsid w:val="0005290A"/>
    <w:rsid w:val="000534F7"/>
    <w:rsid w:val="000538B0"/>
    <w:rsid w:val="00053BBA"/>
    <w:rsid w:val="0005420B"/>
    <w:rsid w:val="00054858"/>
    <w:rsid w:val="00054C0D"/>
    <w:rsid w:val="0005617F"/>
    <w:rsid w:val="00056C03"/>
    <w:rsid w:val="00057906"/>
    <w:rsid w:val="0006064F"/>
    <w:rsid w:val="00060FC6"/>
    <w:rsid w:val="00062CD7"/>
    <w:rsid w:val="00063D87"/>
    <w:rsid w:val="00065064"/>
    <w:rsid w:val="00065836"/>
    <w:rsid w:val="0006618C"/>
    <w:rsid w:val="00066719"/>
    <w:rsid w:val="000667AC"/>
    <w:rsid w:val="000672C4"/>
    <w:rsid w:val="000672CD"/>
    <w:rsid w:val="00067695"/>
    <w:rsid w:val="000678A8"/>
    <w:rsid w:val="00067C2C"/>
    <w:rsid w:val="00070E8D"/>
    <w:rsid w:val="00071955"/>
    <w:rsid w:val="00071C89"/>
    <w:rsid w:val="0007217F"/>
    <w:rsid w:val="00073421"/>
    <w:rsid w:val="00073BBB"/>
    <w:rsid w:val="00075215"/>
    <w:rsid w:val="00075725"/>
    <w:rsid w:val="000758B3"/>
    <w:rsid w:val="000760EB"/>
    <w:rsid w:val="00076D14"/>
    <w:rsid w:val="00077033"/>
    <w:rsid w:val="00077171"/>
    <w:rsid w:val="00080231"/>
    <w:rsid w:val="00080A66"/>
    <w:rsid w:val="00080A6E"/>
    <w:rsid w:val="0008126A"/>
    <w:rsid w:val="00084B7F"/>
    <w:rsid w:val="000857E5"/>
    <w:rsid w:val="00086D1F"/>
    <w:rsid w:val="00087278"/>
    <w:rsid w:val="00087BFF"/>
    <w:rsid w:val="0009027A"/>
    <w:rsid w:val="000906E5"/>
    <w:rsid w:val="00090C8C"/>
    <w:rsid w:val="00094600"/>
    <w:rsid w:val="00094C83"/>
    <w:rsid w:val="00096D7D"/>
    <w:rsid w:val="0009745A"/>
    <w:rsid w:val="00097F1F"/>
    <w:rsid w:val="000A139A"/>
    <w:rsid w:val="000A158E"/>
    <w:rsid w:val="000A15DC"/>
    <w:rsid w:val="000A29DD"/>
    <w:rsid w:val="000A2AF3"/>
    <w:rsid w:val="000A3069"/>
    <w:rsid w:val="000A30C7"/>
    <w:rsid w:val="000A3824"/>
    <w:rsid w:val="000A394C"/>
    <w:rsid w:val="000A418F"/>
    <w:rsid w:val="000A4551"/>
    <w:rsid w:val="000A48EF"/>
    <w:rsid w:val="000A4D22"/>
    <w:rsid w:val="000A56AD"/>
    <w:rsid w:val="000A5F5F"/>
    <w:rsid w:val="000A7DEF"/>
    <w:rsid w:val="000A7FB9"/>
    <w:rsid w:val="000B0ED7"/>
    <w:rsid w:val="000B1706"/>
    <w:rsid w:val="000B1988"/>
    <w:rsid w:val="000B2ECC"/>
    <w:rsid w:val="000B41E6"/>
    <w:rsid w:val="000B4A2C"/>
    <w:rsid w:val="000B4FAC"/>
    <w:rsid w:val="000B541E"/>
    <w:rsid w:val="000B665A"/>
    <w:rsid w:val="000B7A1B"/>
    <w:rsid w:val="000C2674"/>
    <w:rsid w:val="000C2D4A"/>
    <w:rsid w:val="000C40FE"/>
    <w:rsid w:val="000C4727"/>
    <w:rsid w:val="000C4F3D"/>
    <w:rsid w:val="000C59BC"/>
    <w:rsid w:val="000C60A3"/>
    <w:rsid w:val="000C68B4"/>
    <w:rsid w:val="000C6C35"/>
    <w:rsid w:val="000C6D37"/>
    <w:rsid w:val="000C705F"/>
    <w:rsid w:val="000C7429"/>
    <w:rsid w:val="000C745D"/>
    <w:rsid w:val="000C7843"/>
    <w:rsid w:val="000D0A50"/>
    <w:rsid w:val="000D1EAE"/>
    <w:rsid w:val="000D2004"/>
    <w:rsid w:val="000D36A5"/>
    <w:rsid w:val="000D3D54"/>
    <w:rsid w:val="000D44C1"/>
    <w:rsid w:val="000D4558"/>
    <w:rsid w:val="000D4C65"/>
    <w:rsid w:val="000D538A"/>
    <w:rsid w:val="000D53DD"/>
    <w:rsid w:val="000D5665"/>
    <w:rsid w:val="000D5767"/>
    <w:rsid w:val="000D6ADA"/>
    <w:rsid w:val="000D7ADB"/>
    <w:rsid w:val="000D7CBE"/>
    <w:rsid w:val="000E0175"/>
    <w:rsid w:val="000E05DD"/>
    <w:rsid w:val="000E06E8"/>
    <w:rsid w:val="000E0734"/>
    <w:rsid w:val="000E0EFE"/>
    <w:rsid w:val="000E1507"/>
    <w:rsid w:val="000E1E13"/>
    <w:rsid w:val="000E293C"/>
    <w:rsid w:val="000E2996"/>
    <w:rsid w:val="000E34C0"/>
    <w:rsid w:val="000E355F"/>
    <w:rsid w:val="000E35D8"/>
    <w:rsid w:val="000E3B39"/>
    <w:rsid w:val="000E41E5"/>
    <w:rsid w:val="000E4CAB"/>
    <w:rsid w:val="000E56B8"/>
    <w:rsid w:val="000E5A83"/>
    <w:rsid w:val="000E5BA6"/>
    <w:rsid w:val="000E66FB"/>
    <w:rsid w:val="000E728D"/>
    <w:rsid w:val="000E7B6F"/>
    <w:rsid w:val="000E7F1A"/>
    <w:rsid w:val="000F0621"/>
    <w:rsid w:val="000F2A5D"/>
    <w:rsid w:val="000F4C86"/>
    <w:rsid w:val="000F55F7"/>
    <w:rsid w:val="000F62A7"/>
    <w:rsid w:val="000F6A58"/>
    <w:rsid w:val="000F6FF9"/>
    <w:rsid w:val="000F7E09"/>
    <w:rsid w:val="00100480"/>
    <w:rsid w:val="00100A5F"/>
    <w:rsid w:val="00100BDB"/>
    <w:rsid w:val="00100F72"/>
    <w:rsid w:val="001015B5"/>
    <w:rsid w:val="00102255"/>
    <w:rsid w:val="00103C7E"/>
    <w:rsid w:val="00104190"/>
    <w:rsid w:val="001048C1"/>
    <w:rsid w:val="001054D2"/>
    <w:rsid w:val="00106128"/>
    <w:rsid w:val="00106D51"/>
    <w:rsid w:val="00107FFA"/>
    <w:rsid w:val="001118C2"/>
    <w:rsid w:val="00112AD0"/>
    <w:rsid w:val="00113772"/>
    <w:rsid w:val="00115437"/>
    <w:rsid w:val="0011579C"/>
    <w:rsid w:val="001163A6"/>
    <w:rsid w:val="00116410"/>
    <w:rsid w:val="00116C61"/>
    <w:rsid w:val="00116EF1"/>
    <w:rsid w:val="00117317"/>
    <w:rsid w:val="00117811"/>
    <w:rsid w:val="00121A04"/>
    <w:rsid w:val="00121A2A"/>
    <w:rsid w:val="00123947"/>
    <w:rsid w:val="00123C5A"/>
    <w:rsid w:val="00123D67"/>
    <w:rsid w:val="001250C0"/>
    <w:rsid w:val="00125490"/>
    <w:rsid w:val="001260D8"/>
    <w:rsid w:val="001264CB"/>
    <w:rsid w:val="001274AD"/>
    <w:rsid w:val="0012792D"/>
    <w:rsid w:val="00127B28"/>
    <w:rsid w:val="001309C9"/>
    <w:rsid w:val="00130AF8"/>
    <w:rsid w:val="00132969"/>
    <w:rsid w:val="00132DD9"/>
    <w:rsid w:val="00133A7E"/>
    <w:rsid w:val="00135DCA"/>
    <w:rsid w:val="00136C16"/>
    <w:rsid w:val="001370D6"/>
    <w:rsid w:val="00137175"/>
    <w:rsid w:val="0013723F"/>
    <w:rsid w:val="00140271"/>
    <w:rsid w:val="0014048B"/>
    <w:rsid w:val="0014166F"/>
    <w:rsid w:val="00141C53"/>
    <w:rsid w:val="00142478"/>
    <w:rsid w:val="00143AF0"/>
    <w:rsid w:val="00144B40"/>
    <w:rsid w:val="00145163"/>
    <w:rsid w:val="00145305"/>
    <w:rsid w:val="001454F5"/>
    <w:rsid w:val="001456BA"/>
    <w:rsid w:val="001463C2"/>
    <w:rsid w:val="001464F1"/>
    <w:rsid w:val="001467C3"/>
    <w:rsid w:val="001468AE"/>
    <w:rsid w:val="001470FB"/>
    <w:rsid w:val="001471BC"/>
    <w:rsid w:val="00147646"/>
    <w:rsid w:val="00147C83"/>
    <w:rsid w:val="00147CA5"/>
    <w:rsid w:val="0015038D"/>
    <w:rsid w:val="0015222F"/>
    <w:rsid w:val="001540AA"/>
    <w:rsid w:val="00155A8D"/>
    <w:rsid w:val="00155AF1"/>
    <w:rsid w:val="00156287"/>
    <w:rsid w:val="001575D5"/>
    <w:rsid w:val="0015778B"/>
    <w:rsid w:val="00160717"/>
    <w:rsid w:val="00161B10"/>
    <w:rsid w:val="00161E06"/>
    <w:rsid w:val="00161E38"/>
    <w:rsid w:val="001629F8"/>
    <w:rsid w:val="0016575C"/>
    <w:rsid w:val="001664A3"/>
    <w:rsid w:val="001668FD"/>
    <w:rsid w:val="00166F88"/>
    <w:rsid w:val="00167346"/>
    <w:rsid w:val="0017225C"/>
    <w:rsid w:val="00172AC2"/>
    <w:rsid w:val="00172C37"/>
    <w:rsid w:val="00173714"/>
    <w:rsid w:val="00173BF7"/>
    <w:rsid w:val="0017473E"/>
    <w:rsid w:val="00174BBF"/>
    <w:rsid w:val="00174ED2"/>
    <w:rsid w:val="0017598A"/>
    <w:rsid w:val="00175A35"/>
    <w:rsid w:val="00176003"/>
    <w:rsid w:val="001767BA"/>
    <w:rsid w:val="00177237"/>
    <w:rsid w:val="0017750D"/>
    <w:rsid w:val="001775F6"/>
    <w:rsid w:val="00177E38"/>
    <w:rsid w:val="00180123"/>
    <w:rsid w:val="0018059F"/>
    <w:rsid w:val="001807B7"/>
    <w:rsid w:val="00180D8C"/>
    <w:rsid w:val="001816A4"/>
    <w:rsid w:val="00182329"/>
    <w:rsid w:val="001823AD"/>
    <w:rsid w:val="001833BF"/>
    <w:rsid w:val="001843EB"/>
    <w:rsid w:val="001847CF"/>
    <w:rsid w:val="001850A4"/>
    <w:rsid w:val="00185AF4"/>
    <w:rsid w:val="00185E0A"/>
    <w:rsid w:val="001862DF"/>
    <w:rsid w:val="001863AB"/>
    <w:rsid w:val="00187CDC"/>
    <w:rsid w:val="00187ED4"/>
    <w:rsid w:val="00187F3B"/>
    <w:rsid w:val="0019037C"/>
    <w:rsid w:val="00190BDC"/>
    <w:rsid w:val="0019129C"/>
    <w:rsid w:val="00191939"/>
    <w:rsid w:val="001927B4"/>
    <w:rsid w:val="00193E9B"/>
    <w:rsid w:val="001941B3"/>
    <w:rsid w:val="00194CD1"/>
    <w:rsid w:val="00194E2B"/>
    <w:rsid w:val="001957D3"/>
    <w:rsid w:val="00196136"/>
    <w:rsid w:val="0019773F"/>
    <w:rsid w:val="001A010B"/>
    <w:rsid w:val="001A0814"/>
    <w:rsid w:val="001A0AFE"/>
    <w:rsid w:val="001A0C7A"/>
    <w:rsid w:val="001A1583"/>
    <w:rsid w:val="001A1638"/>
    <w:rsid w:val="001A1E60"/>
    <w:rsid w:val="001A3343"/>
    <w:rsid w:val="001A45D2"/>
    <w:rsid w:val="001A5B5D"/>
    <w:rsid w:val="001A5D1E"/>
    <w:rsid w:val="001A60DD"/>
    <w:rsid w:val="001A66D9"/>
    <w:rsid w:val="001A6F86"/>
    <w:rsid w:val="001A708E"/>
    <w:rsid w:val="001A7452"/>
    <w:rsid w:val="001A77ED"/>
    <w:rsid w:val="001A78E0"/>
    <w:rsid w:val="001B08D5"/>
    <w:rsid w:val="001B0AD0"/>
    <w:rsid w:val="001B330F"/>
    <w:rsid w:val="001B33EF"/>
    <w:rsid w:val="001B3472"/>
    <w:rsid w:val="001B3AD8"/>
    <w:rsid w:val="001B406E"/>
    <w:rsid w:val="001B4B9F"/>
    <w:rsid w:val="001B77D7"/>
    <w:rsid w:val="001B79C2"/>
    <w:rsid w:val="001C05E8"/>
    <w:rsid w:val="001C17FA"/>
    <w:rsid w:val="001C183B"/>
    <w:rsid w:val="001C1D46"/>
    <w:rsid w:val="001C20B5"/>
    <w:rsid w:val="001C2CCC"/>
    <w:rsid w:val="001C2DC5"/>
    <w:rsid w:val="001C2F78"/>
    <w:rsid w:val="001C39D4"/>
    <w:rsid w:val="001C45B2"/>
    <w:rsid w:val="001C4F68"/>
    <w:rsid w:val="001C54B0"/>
    <w:rsid w:val="001C5526"/>
    <w:rsid w:val="001C603A"/>
    <w:rsid w:val="001C798E"/>
    <w:rsid w:val="001D0567"/>
    <w:rsid w:val="001D077A"/>
    <w:rsid w:val="001D0D60"/>
    <w:rsid w:val="001D0F2F"/>
    <w:rsid w:val="001D0F4B"/>
    <w:rsid w:val="001D0FA3"/>
    <w:rsid w:val="001D201F"/>
    <w:rsid w:val="001D4503"/>
    <w:rsid w:val="001D5247"/>
    <w:rsid w:val="001D60A5"/>
    <w:rsid w:val="001D61BD"/>
    <w:rsid w:val="001D71DC"/>
    <w:rsid w:val="001D74D1"/>
    <w:rsid w:val="001D77FF"/>
    <w:rsid w:val="001D7E8A"/>
    <w:rsid w:val="001E1142"/>
    <w:rsid w:val="001E1191"/>
    <w:rsid w:val="001E15E9"/>
    <w:rsid w:val="001E29F0"/>
    <w:rsid w:val="001E2F29"/>
    <w:rsid w:val="001E2FD1"/>
    <w:rsid w:val="001E373F"/>
    <w:rsid w:val="001E42CC"/>
    <w:rsid w:val="001E43BF"/>
    <w:rsid w:val="001E48DD"/>
    <w:rsid w:val="001E5A32"/>
    <w:rsid w:val="001E63FF"/>
    <w:rsid w:val="001E7ADF"/>
    <w:rsid w:val="001E7C7C"/>
    <w:rsid w:val="001F17CC"/>
    <w:rsid w:val="001F1C11"/>
    <w:rsid w:val="001F241A"/>
    <w:rsid w:val="001F374D"/>
    <w:rsid w:val="001F3C4D"/>
    <w:rsid w:val="001F3D78"/>
    <w:rsid w:val="001F3E6B"/>
    <w:rsid w:val="001F49B7"/>
    <w:rsid w:val="001F50AA"/>
    <w:rsid w:val="001F69CD"/>
    <w:rsid w:val="001F727B"/>
    <w:rsid w:val="001F79B0"/>
    <w:rsid w:val="002017D2"/>
    <w:rsid w:val="002019AB"/>
    <w:rsid w:val="002029EF"/>
    <w:rsid w:val="00202BCA"/>
    <w:rsid w:val="00203355"/>
    <w:rsid w:val="002038EB"/>
    <w:rsid w:val="00203E3A"/>
    <w:rsid w:val="0020462B"/>
    <w:rsid w:val="00204F6B"/>
    <w:rsid w:val="00205BC8"/>
    <w:rsid w:val="00206149"/>
    <w:rsid w:val="00206322"/>
    <w:rsid w:val="00206458"/>
    <w:rsid w:val="00206A4C"/>
    <w:rsid w:val="00206F89"/>
    <w:rsid w:val="00207019"/>
    <w:rsid w:val="00207515"/>
    <w:rsid w:val="00207767"/>
    <w:rsid w:val="00210E74"/>
    <w:rsid w:val="0021210C"/>
    <w:rsid w:val="00212472"/>
    <w:rsid w:val="00212521"/>
    <w:rsid w:val="00212F4D"/>
    <w:rsid w:val="00213107"/>
    <w:rsid w:val="0021394A"/>
    <w:rsid w:val="00213B2A"/>
    <w:rsid w:val="00213C39"/>
    <w:rsid w:val="00213E57"/>
    <w:rsid w:val="002146D2"/>
    <w:rsid w:val="00215E87"/>
    <w:rsid w:val="00216957"/>
    <w:rsid w:val="0021751F"/>
    <w:rsid w:val="00220852"/>
    <w:rsid w:val="0022137D"/>
    <w:rsid w:val="002215BD"/>
    <w:rsid w:val="00221F55"/>
    <w:rsid w:val="0022238F"/>
    <w:rsid w:val="002227C5"/>
    <w:rsid w:val="00223657"/>
    <w:rsid w:val="00225719"/>
    <w:rsid w:val="002258F3"/>
    <w:rsid w:val="00227773"/>
    <w:rsid w:val="00227FC1"/>
    <w:rsid w:val="002303A4"/>
    <w:rsid w:val="00230455"/>
    <w:rsid w:val="0023176A"/>
    <w:rsid w:val="002317B7"/>
    <w:rsid w:val="002319BA"/>
    <w:rsid w:val="00233903"/>
    <w:rsid w:val="002339E2"/>
    <w:rsid w:val="00233CC7"/>
    <w:rsid w:val="00233F08"/>
    <w:rsid w:val="0023519E"/>
    <w:rsid w:val="00235A24"/>
    <w:rsid w:val="00236762"/>
    <w:rsid w:val="00236988"/>
    <w:rsid w:val="002372AD"/>
    <w:rsid w:val="00237682"/>
    <w:rsid w:val="00237727"/>
    <w:rsid w:val="0024018D"/>
    <w:rsid w:val="002402F0"/>
    <w:rsid w:val="002408D8"/>
    <w:rsid w:val="00241045"/>
    <w:rsid w:val="002413B0"/>
    <w:rsid w:val="00241472"/>
    <w:rsid w:val="00243285"/>
    <w:rsid w:val="00245231"/>
    <w:rsid w:val="00247A24"/>
    <w:rsid w:val="00250076"/>
    <w:rsid w:val="002505E3"/>
    <w:rsid w:val="002517A9"/>
    <w:rsid w:val="002517B5"/>
    <w:rsid w:val="0025220D"/>
    <w:rsid w:val="00252867"/>
    <w:rsid w:val="00252C15"/>
    <w:rsid w:val="00252E5F"/>
    <w:rsid w:val="002532FB"/>
    <w:rsid w:val="002533B1"/>
    <w:rsid w:val="00253851"/>
    <w:rsid w:val="00253DE7"/>
    <w:rsid w:val="00255582"/>
    <w:rsid w:val="00256265"/>
    <w:rsid w:val="002565C6"/>
    <w:rsid w:val="00260954"/>
    <w:rsid w:val="002612A4"/>
    <w:rsid w:val="00262074"/>
    <w:rsid w:val="002633A4"/>
    <w:rsid w:val="00263BC8"/>
    <w:rsid w:val="00263F12"/>
    <w:rsid w:val="00264529"/>
    <w:rsid w:val="00264E04"/>
    <w:rsid w:val="002667E3"/>
    <w:rsid w:val="00266ED8"/>
    <w:rsid w:val="002679F4"/>
    <w:rsid w:val="0027101B"/>
    <w:rsid w:val="00271FA6"/>
    <w:rsid w:val="002720ED"/>
    <w:rsid w:val="0027272F"/>
    <w:rsid w:val="00272C02"/>
    <w:rsid w:val="00273168"/>
    <w:rsid w:val="0027328B"/>
    <w:rsid w:val="00273293"/>
    <w:rsid w:val="00273CF3"/>
    <w:rsid w:val="00274537"/>
    <w:rsid w:val="002750CF"/>
    <w:rsid w:val="0027586F"/>
    <w:rsid w:val="00275E2A"/>
    <w:rsid w:val="00275E7D"/>
    <w:rsid w:val="0027622E"/>
    <w:rsid w:val="002762DA"/>
    <w:rsid w:val="00276538"/>
    <w:rsid w:val="002772DF"/>
    <w:rsid w:val="0027741B"/>
    <w:rsid w:val="0027776F"/>
    <w:rsid w:val="00277AF0"/>
    <w:rsid w:val="00281805"/>
    <w:rsid w:val="002818E1"/>
    <w:rsid w:val="00281DD9"/>
    <w:rsid w:val="00282841"/>
    <w:rsid w:val="002847B0"/>
    <w:rsid w:val="00284F50"/>
    <w:rsid w:val="00286642"/>
    <w:rsid w:val="0028694E"/>
    <w:rsid w:val="00286A17"/>
    <w:rsid w:val="00290104"/>
    <w:rsid w:val="00290524"/>
    <w:rsid w:val="002910BF"/>
    <w:rsid w:val="00292540"/>
    <w:rsid w:val="00292C72"/>
    <w:rsid w:val="00292F38"/>
    <w:rsid w:val="00293E26"/>
    <w:rsid w:val="00294203"/>
    <w:rsid w:val="0029470F"/>
    <w:rsid w:val="002956E4"/>
    <w:rsid w:val="002976F6"/>
    <w:rsid w:val="0029793F"/>
    <w:rsid w:val="00297BAC"/>
    <w:rsid w:val="00297FBB"/>
    <w:rsid w:val="002A0644"/>
    <w:rsid w:val="002A1376"/>
    <w:rsid w:val="002A1CF8"/>
    <w:rsid w:val="002A1E70"/>
    <w:rsid w:val="002A2760"/>
    <w:rsid w:val="002A2E35"/>
    <w:rsid w:val="002A37F4"/>
    <w:rsid w:val="002A4840"/>
    <w:rsid w:val="002A528B"/>
    <w:rsid w:val="002A589E"/>
    <w:rsid w:val="002A6D77"/>
    <w:rsid w:val="002A6F22"/>
    <w:rsid w:val="002A70BF"/>
    <w:rsid w:val="002B0163"/>
    <w:rsid w:val="002B086A"/>
    <w:rsid w:val="002B09FE"/>
    <w:rsid w:val="002B1563"/>
    <w:rsid w:val="002B175D"/>
    <w:rsid w:val="002B177E"/>
    <w:rsid w:val="002B2844"/>
    <w:rsid w:val="002B286B"/>
    <w:rsid w:val="002B2A5E"/>
    <w:rsid w:val="002B2DB2"/>
    <w:rsid w:val="002B32BC"/>
    <w:rsid w:val="002B3B7A"/>
    <w:rsid w:val="002B44FE"/>
    <w:rsid w:val="002B6380"/>
    <w:rsid w:val="002B6CD2"/>
    <w:rsid w:val="002B7392"/>
    <w:rsid w:val="002C0694"/>
    <w:rsid w:val="002C0900"/>
    <w:rsid w:val="002C0EC2"/>
    <w:rsid w:val="002C0FDA"/>
    <w:rsid w:val="002C1261"/>
    <w:rsid w:val="002C2968"/>
    <w:rsid w:val="002C2B0C"/>
    <w:rsid w:val="002C62EB"/>
    <w:rsid w:val="002C6EC8"/>
    <w:rsid w:val="002C70B7"/>
    <w:rsid w:val="002C797D"/>
    <w:rsid w:val="002D05B4"/>
    <w:rsid w:val="002D1172"/>
    <w:rsid w:val="002D2061"/>
    <w:rsid w:val="002D34C4"/>
    <w:rsid w:val="002D467C"/>
    <w:rsid w:val="002D6312"/>
    <w:rsid w:val="002D6E6A"/>
    <w:rsid w:val="002D7986"/>
    <w:rsid w:val="002D7EAB"/>
    <w:rsid w:val="002E042F"/>
    <w:rsid w:val="002E04C1"/>
    <w:rsid w:val="002E07BA"/>
    <w:rsid w:val="002E33C1"/>
    <w:rsid w:val="002E3526"/>
    <w:rsid w:val="002E4576"/>
    <w:rsid w:val="002E4D77"/>
    <w:rsid w:val="002E67B8"/>
    <w:rsid w:val="002E696E"/>
    <w:rsid w:val="002E6A05"/>
    <w:rsid w:val="002E6B76"/>
    <w:rsid w:val="002E72C6"/>
    <w:rsid w:val="002E7484"/>
    <w:rsid w:val="002E7D69"/>
    <w:rsid w:val="002F0270"/>
    <w:rsid w:val="002F0F58"/>
    <w:rsid w:val="002F2FCD"/>
    <w:rsid w:val="002F311B"/>
    <w:rsid w:val="002F3A76"/>
    <w:rsid w:val="002F3A99"/>
    <w:rsid w:val="002F48E2"/>
    <w:rsid w:val="002F4A96"/>
    <w:rsid w:val="002F552A"/>
    <w:rsid w:val="002F5B70"/>
    <w:rsid w:val="002F6EE0"/>
    <w:rsid w:val="002F736D"/>
    <w:rsid w:val="002F741C"/>
    <w:rsid w:val="002F7530"/>
    <w:rsid w:val="002F7B08"/>
    <w:rsid w:val="002F7CB2"/>
    <w:rsid w:val="00300C67"/>
    <w:rsid w:val="00300F34"/>
    <w:rsid w:val="0030134C"/>
    <w:rsid w:val="00302344"/>
    <w:rsid w:val="00302422"/>
    <w:rsid w:val="003031ED"/>
    <w:rsid w:val="00303319"/>
    <w:rsid w:val="003045EB"/>
    <w:rsid w:val="003049D3"/>
    <w:rsid w:val="003055F3"/>
    <w:rsid w:val="00311023"/>
    <w:rsid w:val="00311063"/>
    <w:rsid w:val="00311884"/>
    <w:rsid w:val="00313DC7"/>
    <w:rsid w:val="00314270"/>
    <w:rsid w:val="00314E6A"/>
    <w:rsid w:val="003154F6"/>
    <w:rsid w:val="00315EE6"/>
    <w:rsid w:val="00316014"/>
    <w:rsid w:val="0031626E"/>
    <w:rsid w:val="0031639A"/>
    <w:rsid w:val="003173B3"/>
    <w:rsid w:val="00317DEE"/>
    <w:rsid w:val="00320603"/>
    <w:rsid w:val="00321723"/>
    <w:rsid w:val="00321899"/>
    <w:rsid w:val="003225F7"/>
    <w:rsid w:val="00322AC3"/>
    <w:rsid w:val="00323B47"/>
    <w:rsid w:val="00324F39"/>
    <w:rsid w:val="00325767"/>
    <w:rsid w:val="003259AA"/>
    <w:rsid w:val="00325FD8"/>
    <w:rsid w:val="00325FDC"/>
    <w:rsid w:val="003260EA"/>
    <w:rsid w:val="00326CC8"/>
    <w:rsid w:val="00327864"/>
    <w:rsid w:val="003300AD"/>
    <w:rsid w:val="0033082A"/>
    <w:rsid w:val="00331AB2"/>
    <w:rsid w:val="00332309"/>
    <w:rsid w:val="00332C88"/>
    <w:rsid w:val="00332E1C"/>
    <w:rsid w:val="00333C37"/>
    <w:rsid w:val="00334E51"/>
    <w:rsid w:val="00335622"/>
    <w:rsid w:val="00335BA9"/>
    <w:rsid w:val="0033605D"/>
    <w:rsid w:val="00336A9A"/>
    <w:rsid w:val="00336CF2"/>
    <w:rsid w:val="0034130E"/>
    <w:rsid w:val="00341586"/>
    <w:rsid w:val="003418F7"/>
    <w:rsid w:val="00342008"/>
    <w:rsid w:val="003422FD"/>
    <w:rsid w:val="00342A6D"/>
    <w:rsid w:val="00342B9E"/>
    <w:rsid w:val="00343AA2"/>
    <w:rsid w:val="00344246"/>
    <w:rsid w:val="00344B07"/>
    <w:rsid w:val="00344F14"/>
    <w:rsid w:val="00345089"/>
    <w:rsid w:val="003454C4"/>
    <w:rsid w:val="00345B46"/>
    <w:rsid w:val="00346767"/>
    <w:rsid w:val="0034681B"/>
    <w:rsid w:val="00346E49"/>
    <w:rsid w:val="00347AFA"/>
    <w:rsid w:val="00347E2F"/>
    <w:rsid w:val="0035136E"/>
    <w:rsid w:val="0035193D"/>
    <w:rsid w:val="00351EA0"/>
    <w:rsid w:val="00354519"/>
    <w:rsid w:val="003558F6"/>
    <w:rsid w:val="00355C37"/>
    <w:rsid w:val="00355CEB"/>
    <w:rsid w:val="00355D3D"/>
    <w:rsid w:val="00356396"/>
    <w:rsid w:val="00356502"/>
    <w:rsid w:val="0035678F"/>
    <w:rsid w:val="00356A06"/>
    <w:rsid w:val="00356B61"/>
    <w:rsid w:val="00357173"/>
    <w:rsid w:val="00357609"/>
    <w:rsid w:val="0035792D"/>
    <w:rsid w:val="00357977"/>
    <w:rsid w:val="00357A28"/>
    <w:rsid w:val="00361196"/>
    <w:rsid w:val="00362467"/>
    <w:rsid w:val="003635C8"/>
    <w:rsid w:val="0036380F"/>
    <w:rsid w:val="00363813"/>
    <w:rsid w:val="00363AE2"/>
    <w:rsid w:val="00364498"/>
    <w:rsid w:val="003644EF"/>
    <w:rsid w:val="00364A0F"/>
    <w:rsid w:val="00364DDD"/>
    <w:rsid w:val="00365AB7"/>
    <w:rsid w:val="00366255"/>
    <w:rsid w:val="003673E1"/>
    <w:rsid w:val="00367C3E"/>
    <w:rsid w:val="0037013A"/>
    <w:rsid w:val="003738EC"/>
    <w:rsid w:val="00374BDE"/>
    <w:rsid w:val="00374E32"/>
    <w:rsid w:val="00375596"/>
    <w:rsid w:val="00377535"/>
    <w:rsid w:val="00377EE3"/>
    <w:rsid w:val="003800B8"/>
    <w:rsid w:val="003803A7"/>
    <w:rsid w:val="003803AC"/>
    <w:rsid w:val="00380E81"/>
    <w:rsid w:val="00381809"/>
    <w:rsid w:val="00381D6D"/>
    <w:rsid w:val="00381E4B"/>
    <w:rsid w:val="00382742"/>
    <w:rsid w:val="003827DB"/>
    <w:rsid w:val="00383F9D"/>
    <w:rsid w:val="0038434F"/>
    <w:rsid w:val="00387060"/>
    <w:rsid w:val="003878D2"/>
    <w:rsid w:val="00387B95"/>
    <w:rsid w:val="00390391"/>
    <w:rsid w:val="00391469"/>
    <w:rsid w:val="003918E6"/>
    <w:rsid w:val="00391B09"/>
    <w:rsid w:val="003927B4"/>
    <w:rsid w:val="00394012"/>
    <w:rsid w:val="00394510"/>
    <w:rsid w:val="00394790"/>
    <w:rsid w:val="003962FC"/>
    <w:rsid w:val="0039779C"/>
    <w:rsid w:val="00397825"/>
    <w:rsid w:val="003A0596"/>
    <w:rsid w:val="003A066D"/>
    <w:rsid w:val="003A0F9C"/>
    <w:rsid w:val="003A0FAD"/>
    <w:rsid w:val="003A24A4"/>
    <w:rsid w:val="003A2804"/>
    <w:rsid w:val="003A2C29"/>
    <w:rsid w:val="003A3079"/>
    <w:rsid w:val="003A44FD"/>
    <w:rsid w:val="003A7628"/>
    <w:rsid w:val="003B0B7A"/>
    <w:rsid w:val="003B0CF2"/>
    <w:rsid w:val="003B1322"/>
    <w:rsid w:val="003B211C"/>
    <w:rsid w:val="003B21D3"/>
    <w:rsid w:val="003B24F3"/>
    <w:rsid w:val="003B2555"/>
    <w:rsid w:val="003B3374"/>
    <w:rsid w:val="003B468B"/>
    <w:rsid w:val="003B51AB"/>
    <w:rsid w:val="003B6179"/>
    <w:rsid w:val="003B6FF4"/>
    <w:rsid w:val="003B70C7"/>
    <w:rsid w:val="003C0E4C"/>
    <w:rsid w:val="003C1675"/>
    <w:rsid w:val="003C19C6"/>
    <w:rsid w:val="003C20B7"/>
    <w:rsid w:val="003C2F80"/>
    <w:rsid w:val="003C36C7"/>
    <w:rsid w:val="003C56E0"/>
    <w:rsid w:val="003C610F"/>
    <w:rsid w:val="003C618B"/>
    <w:rsid w:val="003C66FC"/>
    <w:rsid w:val="003D0044"/>
    <w:rsid w:val="003D0A50"/>
    <w:rsid w:val="003D0E29"/>
    <w:rsid w:val="003D1FF7"/>
    <w:rsid w:val="003D2148"/>
    <w:rsid w:val="003D2252"/>
    <w:rsid w:val="003D2B67"/>
    <w:rsid w:val="003D2D70"/>
    <w:rsid w:val="003D31B1"/>
    <w:rsid w:val="003D3410"/>
    <w:rsid w:val="003D4C23"/>
    <w:rsid w:val="003D5267"/>
    <w:rsid w:val="003D5AEA"/>
    <w:rsid w:val="003D62F8"/>
    <w:rsid w:val="003D7323"/>
    <w:rsid w:val="003D79AF"/>
    <w:rsid w:val="003E0AFD"/>
    <w:rsid w:val="003E2598"/>
    <w:rsid w:val="003E2797"/>
    <w:rsid w:val="003E28C7"/>
    <w:rsid w:val="003E36AD"/>
    <w:rsid w:val="003E40C7"/>
    <w:rsid w:val="003E538F"/>
    <w:rsid w:val="003E551D"/>
    <w:rsid w:val="003E6E6B"/>
    <w:rsid w:val="003E765E"/>
    <w:rsid w:val="003E772A"/>
    <w:rsid w:val="003F084E"/>
    <w:rsid w:val="003F1293"/>
    <w:rsid w:val="003F1DBE"/>
    <w:rsid w:val="003F2F76"/>
    <w:rsid w:val="003F30E2"/>
    <w:rsid w:val="003F351B"/>
    <w:rsid w:val="003F37E7"/>
    <w:rsid w:val="003F3BA9"/>
    <w:rsid w:val="003F5546"/>
    <w:rsid w:val="003F5637"/>
    <w:rsid w:val="003F58B7"/>
    <w:rsid w:val="003F5FB2"/>
    <w:rsid w:val="003F61ED"/>
    <w:rsid w:val="003F71EE"/>
    <w:rsid w:val="003F7C77"/>
    <w:rsid w:val="003F7CC1"/>
    <w:rsid w:val="00400303"/>
    <w:rsid w:val="004008AB"/>
    <w:rsid w:val="0040161D"/>
    <w:rsid w:val="004023C9"/>
    <w:rsid w:val="00402657"/>
    <w:rsid w:val="004037AC"/>
    <w:rsid w:val="00403B2C"/>
    <w:rsid w:val="004048EF"/>
    <w:rsid w:val="004051D2"/>
    <w:rsid w:val="004053F4"/>
    <w:rsid w:val="004058F9"/>
    <w:rsid w:val="004059C7"/>
    <w:rsid w:val="00406302"/>
    <w:rsid w:val="00406E28"/>
    <w:rsid w:val="004070E7"/>
    <w:rsid w:val="004077AD"/>
    <w:rsid w:val="00410050"/>
    <w:rsid w:val="00410510"/>
    <w:rsid w:val="00410AA3"/>
    <w:rsid w:val="00410B80"/>
    <w:rsid w:val="00410EBB"/>
    <w:rsid w:val="004112BC"/>
    <w:rsid w:val="00411EAA"/>
    <w:rsid w:val="00412D00"/>
    <w:rsid w:val="00412F18"/>
    <w:rsid w:val="004136C9"/>
    <w:rsid w:val="00413EDE"/>
    <w:rsid w:val="00414679"/>
    <w:rsid w:val="00414ABE"/>
    <w:rsid w:val="00414D08"/>
    <w:rsid w:val="00415C5D"/>
    <w:rsid w:val="00416ADE"/>
    <w:rsid w:val="00417297"/>
    <w:rsid w:val="00417BB9"/>
    <w:rsid w:val="00422777"/>
    <w:rsid w:val="00422A91"/>
    <w:rsid w:val="00422F6C"/>
    <w:rsid w:val="00423C78"/>
    <w:rsid w:val="00423FE0"/>
    <w:rsid w:val="00424079"/>
    <w:rsid w:val="00424456"/>
    <w:rsid w:val="00425129"/>
    <w:rsid w:val="004251F1"/>
    <w:rsid w:val="00425D50"/>
    <w:rsid w:val="00425EDF"/>
    <w:rsid w:val="00426315"/>
    <w:rsid w:val="004263D5"/>
    <w:rsid w:val="00427B29"/>
    <w:rsid w:val="00427C75"/>
    <w:rsid w:val="00427FA3"/>
    <w:rsid w:val="004305D9"/>
    <w:rsid w:val="00430D99"/>
    <w:rsid w:val="0043154B"/>
    <w:rsid w:val="00431628"/>
    <w:rsid w:val="00432072"/>
    <w:rsid w:val="00432A54"/>
    <w:rsid w:val="004330AB"/>
    <w:rsid w:val="00433AE9"/>
    <w:rsid w:val="004340E8"/>
    <w:rsid w:val="00434506"/>
    <w:rsid w:val="00434F45"/>
    <w:rsid w:val="00435003"/>
    <w:rsid w:val="004353FA"/>
    <w:rsid w:val="0043551D"/>
    <w:rsid w:val="004373EA"/>
    <w:rsid w:val="004379D3"/>
    <w:rsid w:val="00440691"/>
    <w:rsid w:val="00441B54"/>
    <w:rsid w:val="0044291C"/>
    <w:rsid w:val="004429D1"/>
    <w:rsid w:val="00442C4F"/>
    <w:rsid w:val="00442E74"/>
    <w:rsid w:val="0044467B"/>
    <w:rsid w:val="00444DFD"/>
    <w:rsid w:val="0044504F"/>
    <w:rsid w:val="0044532A"/>
    <w:rsid w:val="00445405"/>
    <w:rsid w:val="00445B94"/>
    <w:rsid w:val="00446256"/>
    <w:rsid w:val="004464BA"/>
    <w:rsid w:val="0044782D"/>
    <w:rsid w:val="00447F88"/>
    <w:rsid w:val="00450423"/>
    <w:rsid w:val="004504B8"/>
    <w:rsid w:val="004508A3"/>
    <w:rsid w:val="00451009"/>
    <w:rsid w:val="00451127"/>
    <w:rsid w:val="0045146C"/>
    <w:rsid w:val="0045195F"/>
    <w:rsid w:val="00451AA5"/>
    <w:rsid w:val="00452C18"/>
    <w:rsid w:val="004537C5"/>
    <w:rsid w:val="0045389E"/>
    <w:rsid w:val="00453A5D"/>
    <w:rsid w:val="00453B81"/>
    <w:rsid w:val="00453FD7"/>
    <w:rsid w:val="0045411B"/>
    <w:rsid w:val="0045593C"/>
    <w:rsid w:val="00456577"/>
    <w:rsid w:val="00457455"/>
    <w:rsid w:val="00457DC6"/>
    <w:rsid w:val="00460095"/>
    <w:rsid w:val="00461D68"/>
    <w:rsid w:val="0046239D"/>
    <w:rsid w:val="0046286E"/>
    <w:rsid w:val="00462DFE"/>
    <w:rsid w:val="00462E99"/>
    <w:rsid w:val="00463267"/>
    <w:rsid w:val="00463BE3"/>
    <w:rsid w:val="0046625E"/>
    <w:rsid w:val="00467C2E"/>
    <w:rsid w:val="00467EB8"/>
    <w:rsid w:val="00470F42"/>
    <w:rsid w:val="00471FE6"/>
    <w:rsid w:val="00472902"/>
    <w:rsid w:val="00472C16"/>
    <w:rsid w:val="00472F34"/>
    <w:rsid w:val="00473732"/>
    <w:rsid w:val="004738AC"/>
    <w:rsid w:val="00474C2C"/>
    <w:rsid w:val="00475DC5"/>
    <w:rsid w:val="00476552"/>
    <w:rsid w:val="00476685"/>
    <w:rsid w:val="00476FD2"/>
    <w:rsid w:val="00477670"/>
    <w:rsid w:val="0048041D"/>
    <w:rsid w:val="0048264F"/>
    <w:rsid w:val="004831CA"/>
    <w:rsid w:val="00484569"/>
    <w:rsid w:val="004853AD"/>
    <w:rsid w:val="0048726D"/>
    <w:rsid w:val="0048781F"/>
    <w:rsid w:val="00487C3B"/>
    <w:rsid w:val="00487C80"/>
    <w:rsid w:val="00490076"/>
    <w:rsid w:val="0049029C"/>
    <w:rsid w:val="00490C09"/>
    <w:rsid w:val="0049117E"/>
    <w:rsid w:val="0049139A"/>
    <w:rsid w:val="00491CEB"/>
    <w:rsid w:val="004930EC"/>
    <w:rsid w:val="00493BDE"/>
    <w:rsid w:val="00493F82"/>
    <w:rsid w:val="004946F8"/>
    <w:rsid w:val="00494764"/>
    <w:rsid w:val="00495625"/>
    <w:rsid w:val="00495A94"/>
    <w:rsid w:val="0049617B"/>
    <w:rsid w:val="004974D5"/>
    <w:rsid w:val="00497DBB"/>
    <w:rsid w:val="004A00A8"/>
    <w:rsid w:val="004A00C4"/>
    <w:rsid w:val="004A1372"/>
    <w:rsid w:val="004A1BE4"/>
    <w:rsid w:val="004A33DE"/>
    <w:rsid w:val="004A3AD4"/>
    <w:rsid w:val="004A51E4"/>
    <w:rsid w:val="004A67D2"/>
    <w:rsid w:val="004A694C"/>
    <w:rsid w:val="004B0979"/>
    <w:rsid w:val="004B0E43"/>
    <w:rsid w:val="004B1FA1"/>
    <w:rsid w:val="004B2286"/>
    <w:rsid w:val="004B3025"/>
    <w:rsid w:val="004B457A"/>
    <w:rsid w:val="004B47DF"/>
    <w:rsid w:val="004B696A"/>
    <w:rsid w:val="004B69D0"/>
    <w:rsid w:val="004B6FED"/>
    <w:rsid w:val="004B721E"/>
    <w:rsid w:val="004B7709"/>
    <w:rsid w:val="004C0B2A"/>
    <w:rsid w:val="004C11EF"/>
    <w:rsid w:val="004C1902"/>
    <w:rsid w:val="004C1B84"/>
    <w:rsid w:val="004C1D64"/>
    <w:rsid w:val="004C24BF"/>
    <w:rsid w:val="004C25EA"/>
    <w:rsid w:val="004C403D"/>
    <w:rsid w:val="004C46D6"/>
    <w:rsid w:val="004C4725"/>
    <w:rsid w:val="004C56F4"/>
    <w:rsid w:val="004C6495"/>
    <w:rsid w:val="004C64EC"/>
    <w:rsid w:val="004C7B73"/>
    <w:rsid w:val="004D0468"/>
    <w:rsid w:val="004D0763"/>
    <w:rsid w:val="004D0D62"/>
    <w:rsid w:val="004D122B"/>
    <w:rsid w:val="004D141D"/>
    <w:rsid w:val="004D1B07"/>
    <w:rsid w:val="004D1F30"/>
    <w:rsid w:val="004D2E4B"/>
    <w:rsid w:val="004D3B51"/>
    <w:rsid w:val="004D3BD7"/>
    <w:rsid w:val="004D3ED8"/>
    <w:rsid w:val="004D40FF"/>
    <w:rsid w:val="004D4EB1"/>
    <w:rsid w:val="004D58F6"/>
    <w:rsid w:val="004D63C6"/>
    <w:rsid w:val="004D6657"/>
    <w:rsid w:val="004D6FFA"/>
    <w:rsid w:val="004D77A5"/>
    <w:rsid w:val="004E0065"/>
    <w:rsid w:val="004E2C75"/>
    <w:rsid w:val="004E2F80"/>
    <w:rsid w:val="004E2FF0"/>
    <w:rsid w:val="004E32B9"/>
    <w:rsid w:val="004E3320"/>
    <w:rsid w:val="004E3483"/>
    <w:rsid w:val="004E4CEF"/>
    <w:rsid w:val="004E5AFB"/>
    <w:rsid w:val="004E5D53"/>
    <w:rsid w:val="004E5FC4"/>
    <w:rsid w:val="004E60FC"/>
    <w:rsid w:val="004E6253"/>
    <w:rsid w:val="004E6ABA"/>
    <w:rsid w:val="004F0629"/>
    <w:rsid w:val="004F15FF"/>
    <w:rsid w:val="004F1F6B"/>
    <w:rsid w:val="004F2DB9"/>
    <w:rsid w:val="004F3454"/>
    <w:rsid w:val="004F372B"/>
    <w:rsid w:val="004F37AE"/>
    <w:rsid w:val="004F38CC"/>
    <w:rsid w:val="004F4CDA"/>
    <w:rsid w:val="004F5AAA"/>
    <w:rsid w:val="004F5E99"/>
    <w:rsid w:val="0050090A"/>
    <w:rsid w:val="00500B93"/>
    <w:rsid w:val="005015D5"/>
    <w:rsid w:val="00501A3A"/>
    <w:rsid w:val="00502451"/>
    <w:rsid w:val="005034D2"/>
    <w:rsid w:val="00503B52"/>
    <w:rsid w:val="005048A9"/>
    <w:rsid w:val="0050507B"/>
    <w:rsid w:val="0050599E"/>
    <w:rsid w:val="00506085"/>
    <w:rsid w:val="00507007"/>
    <w:rsid w:val="005075D9"/>
    <w:rsid w:val="00510566"/>
    <w:rsid w:val="0051088F"/>
    <w:rsid w:val="00511345"/>
    <w:rsid w:val="00511D51"/>
    <w:rsid w:val="00512332"/>
    <w:rsid w:val="005127E0"/>
    <w:rsid w:val="00513A6E"/>
    <w:rsid w:val="0051431C"/>
    <w:rsid w:val="00514901"/>
    <w:rsid w:val="00515D4C"/>
    <w:rsid w:val="005172DA"/>
    <w:rsid w:val="005175BE"/>
    <w:rsid w:val="00517E11"/>
    <w:rsid w:val="00520B4E"/>
    <w:rsid w:val="00520F3B"/>
    <w:rsid w:val="0052517B"/>
    <w:rsid w:val="00525DD0"/>
    <w:rsid w:val="00525EA4"/>
    <w:rsid w:val="00526972"/>
    <w:rsid w:val="0052701A"/>
    <w:rsid w:val="00531BDB"/>
    <w:rsid w:val="00532520"/>
    <w:rsid w:val="00532C4F"/>
    <w:rsid w:val="00532D58"/>
    <w:rsid w:val="005351F9"/>
    <w:rsid w:val="00536635"/>
    <w:rsid w:val="00536EAB"/>
    <w:rsid w:val="00536EAE"/>
    <w:rsid w:val="00537694"/>
    <w:rsid w:val="00537FFB"/>
    <w:rsid w:val="005401CC"/>
    <w:rsid w:val="00540989"/>
    <w:rsid w:val="005418B3"/>
    <w:rsid w:val="00541C45"/>
    <w:rsid w:val="00541E87"/>
    <w:rsid w:val="005422A9"/>
    <w:rsid w:val="0054240F"/>
    <w:rsid w:val="005427BD"/>
    <w:rsid w:val="00542F1B"/>
    <w:rsid w:val="00542FD7"/>
    <w:rsid w:val="00543449"/>
    <w:rsid w:val="0054346E"/>
    <w:rsid w:val="00543DA7"/>
    <w:rsid w:val="0054619A"/>
    <w:rsid w:val="005466D0"/>
    <w:rsid w:val="00546AB4"/>
    <w:rsid w:val="00546B95"/>
    <w:rsid w:val="00547956"/>
    <w:rsid w:val="00547CF9"/>
    <w:rsid w:val="00550590"/>
    <w:rsid w:val="005508CF"/>
    <w:rsid w:val="00550FDC"/>
    <w:rsid w:val="005516D0"/>
    <w:rsid w:val="00551A65"/>
    <w:rsid w:val="005535CE"/>
    <w:rsid w:val="00553D68"/>
    <w:rsid w:val="00554546"/>
    <w:rsid w:val="005545A2"/>
    <w:rsid w:val="00555916"/>
    <w:rsid w:val="00555F67"/>
    <w:rsid w:val="00556FF2"/>
    <w:rsid w:val="005612C2"/>
    <w:rsid w:val="00561D54"/>
    <w:rsid w:val="00562380"/>
    <w:rsid w:val="0056241B"/>
    <w:rsid w:val="00563744"/>
    <w:rsid w:val="00564168"/>
    <w:rsid w:val="0056429D"/>
    <w:rsid w:val="0056436D"/>
    <w:rsid w:val="00564A1D"/>
    <w:rsid w:val="00564FF7"/>
    <w:rsid w:val="005654C5"/>
    <w:rsid w:val="005658E2"/>
    <w:rsid w:val="0056601C"/>
    <w:rsid w:val="00567154"/>
    <w:rsid w:val="00567DE2"/>
    <w:rsid w:val="00571400"/>
    <w:rsid w:val="005717D5"/>
    <w:rsid w:val="00572F55"/>
    <w:rsid w:val="00573115"/>
    <w:rsid w:val="0057511F"/>
    <w:rsid w:val="00576128"/>
    <w:rsid w:val="0057678F"/>
    <w:rsid w:val="005774FE"/>
    <w:rsid w:val="005777FD"/>
    <w:rsid w:val="00577C76"/>
    <w:rsid w:val="00580F99"/>
    <w:rsid w:val="00581EBA"/>
    <w:rsid w:val="00582997"/>
    <w:rsid w:val="005838A0"/>
    <w:rsid w:val="00584A35"/>
    <w:rsid w:val="00584AC4"/>
    <w:rsid w:val="00584E3A"/>
    <w:rsid w:val="005854FB"/>
    <w:rsid w:val="00586032"/>
    <w:rsid w:val="0058663A"/>
    <w:rsid w:val="00586731"/>
    <w:rsid w:val="0058769F"/>
    <w:rsid w:val="00587719"/>
    <w:rsid w:val="00587C2D"/>
    <w:rsid w:val="00587D42"/>
    <w:rsid w:val="005908F5"/>
    <w:rsid w:val="00590C03"/>
    <w:rsid w:val="00590CDD"/>
    <w:rsid w:val="00592EAB"/>
    <w:rsid w:val="005943E2"/>
    <w:rsid w:val="00594928"/>
    <w:rsid w:val="00594C29"/>
    <w:rsid w:val="00594DD3"/>
    <w:rsid w:val="00595820"/>
    <w:rsid w:val="00595AE3"/>
    <w:rsid w:val="00596D26"/>
    <w:rsid w:val="005A0389"/>
    <w:rsid w:val="005A171A"/>
    <w:rsid w:val="005A1FE3"/>
    <w:rsid w:val="005A23D2"/>
    <w:rsid w:val="005A2AD0"/>
    <w:rsid w:val="005A2AF0"/>
    <w:rsid w:val="005A326F"/>
    <w:rsid w:val="005A3805"/>
    <w:rsid w:val="005A4AC1"/>
    <w:rsid w:val="005A5A8B"/>
    <w:rsid w:val="005A5ACB"/>
    <w:rsid w:val="005A5B0C"/>
    <w:rsid w:val="005A6E19"/>
    <w:rsid w:val="005B282B"/>
    <w:rsid w:val="005B409F"/>
    <w:rsid w:val="005B5362"/>
    <w:rsid w:val="005B6CAC"/>
    <w:rsid w:val="005C0FE9"/>
    <w:rsid w:val="005C166F"/>
    <w:rsid w:val="005C17B5"/>
    <w:rsid w:val="005C2340"/>
    <w:rsid w:val="005C26B9"/>
    <w:rsid w:val="005C2CEE"/>
    <w:rsid w:val="005C3252"/>
    <w:rsid w:val="005C44FE"/>
    <w:rsid w:val="005C4A44"/>
    <w:rsid w:val="005C4DA3"/>
    <w:rsid w:val="005C4F9D"/>
    <w:rsid w:val="005C65C1"/>
    <w:rsid w:val="005D12B6"/>
    <w:rsid w:val="005D146F"/>
    <w:rsid w:val="005D2791"/>
    <w:rsid w:val="005D2E7B"/>
    <w:rsid w:val="005D34CA"/>
    <w:rsid w:val="005D5F1B"/>
    <w:rsid w:val="005D5FC5"/>
    <w:rsid w:val="005D64C3"/>
    <w:rsid w:val="005D66B9"/>
    <w:rsid w:val="005D6869"/>
    <w:rsid w:val="005D6A8C"/>
    <w:rsid w:val="005D6C1D"/>
    <w:rsid w:val="005D6EFE"/>
    <w:rsid w:val="005D71DD"/>
    <w:rsid w:val="005D795D"/>
    <w:rsid w:val="005D7A03"/>
    <w:rsid w:val="005E0375"/>
    <w:rsid w:val="005E0F68"/>
    <w:rsid w:val="005E13EE"/>
    <w:rsid w:val="005E148B"/>
    <w:rsid w:val="005E1538"/>
    <w:rsid w:val="005E1C4B"/>
    <w:rsid w:val="005E2482"/>
    <w:rsid w:val="005E3B67"/>
    <w:rsid w:val="005E4571"/>
    <w:rsid w:val="005E48B8"/>
    <w:rsid w:val="005E54F7"/>
    <w:rsid w:val="005E5981"/>
    <w:rsid w:val="005E5FE3"/>
    <w:rsid w:val="005E6B2E"/>
    <w:rsid w:val="005E7245"/>
    <w:rsid w:val="005F05DE"/>
    <w:rsid w:val="005F199A"/>
    <w:rsid w:val="005F1D33"/>
    <w:rsid w:val="005F21CB"/>
    <w:rsid w:val="005F2928"/>
    <w:rsid w:val="005F2B18"/>
    <w:rsid w:val="005F2DD3"/>
    <w:rsid w:val="005F39A7"/>
    <w:rsid w:val="005F3D6D"/>
    <w:rsid w:val="005F441F"/>
    <w:rsid w:val="005F706A"/>
    <w:rsid w:val="005F778D"/>
    <w:rsid w:val="005F7AB2"/>
    <w:rsid w:val="00600188"/>
    <w:rsid w:val="00600C52"/>
    <w:rsid w:val="006012C0"/>
    <w:rsid w:val="00602270"/>
    <w:rsid w:val="00602431"/>
    <w:rsid w:val="00603AEC"/>
    <w:rsid w:val="006040D5"/>
    <w:rsid w:val="006044AF"/>
    <w:rsid w:val="006051BE"/>
    <w:rsid w:val="0060529D"/>
    <w:rsid w:val="00605561"/>
    <w:rsid w:val="006064B9"/>
    <w:rsid w:val="00606945"/>
    <w:rsid w:val="00607B02"/>
    <w:rsid w:val="0061006A"/>
    <w:rsid w:val="006104BB"/>
    <w:rsid w:val="00610A19"/>
    <w:rsid w:val="00610DCF"/>
    <w:rsid w:val="0061122B"/>
    <w:rsid w:val="006112A7"/>
    <w:rsid w:val="006123F4"/>
    <w:rsid w:val="00612B78"/>
    <w:rsid w:val="006130D0"/>
    <w:rsid w:val="006150B0"/>
    <w:rsid w:val="0061575A"/>
    <w:rsid w:val="00615BAD"/>
    <w:rsid w:val="006205FF"/>
    <w:rsid w:val="00620BBE"/>
    <w:rsid w:val="00621C28"/>
    <w:rsid w:val="00621F94"/>
    <w:rsid w:val="00622082"/>
    <w:rsid w:val="00622B69"/>
    <w:rsid w:val="00622CE9"/>
    <w:rsid w:val="00623116"/>
    <w:rsid w:val="0062403D"/>
    <w:rsid w:val="006253BA"/>
    <w:rsid w:val="00625BEE"/>
    <w:rsid w:val="00625E7A"/>
    <w:rsid w:val="0062658C"/>
    <w:rsid w:val="00626807"/>
    <w:rsid w:val="00627520"/>
    <w:rsid w:val="00631306"/>
    <w:rsid w:val="0063162A"/>
    <w:rsid w:val="00631E4F"/>
    <w:rsid w:val="0063208E"/>
    <w:rsid w:val="00633400"/>
    <w:rsid w:val="00634EA2"/>
    <w:rsid w:val="0063528C"/>
    <w:rsid w:val="00636E71"/>
    <w:rsid w:val="00636FAD"/>
    <w:rsid w:val="00640EDD"/>
    <w:rsid w:val="0064106F"/>
    <w:rsid w:val="006419AE"/>
    <w:rsid w:val="00641A83"/>
    <w:rsid w:val="00642CC5"/>
    <w:rsid w:val="006431D1"/>
    <w:rsid w:val="00643C4A"/>
    <w:rsid w:val="00643FDA"/>
    <w:rsid w:val="00644547"/>
    <w:rsid w:val="006456ED"/>
    <w:rsid w:val="00645C2B"/>
    <w:rsid w:val="00646474"/>
    <w:rsid w:val="00646CAA"/>
    <w:rsid w:val="00646CFF"/>
    <w:rsid w:val="00647179"/>
    <w:rsid w:val="00650B04"/>
    <w:rsid w:val="006510EA"/>
    <w:rsid w:val="00651AC5"/>
    <w:rsid w:val="0065207E"/>
    <w:rsid w:val="006548F0"/>
    <w:rsid w:val="00655EFA"/>
    <w:rsid w:val="006578E5"/>
    <w:rsid w:val="00657ADA"/>
    <w:rsid w:val="00657D9B"/>
    <w:rsid w:val="006606D1"/>
    <w:rsid w:val="00661C9B"/>
    <w:rsid w:val="00662456"/>
    <w:rsid w:val="00662830"/>
    <w:rsid w:val="00662965"/>
    <w:rsid w:val="0066491A"/>
    <w:rsid w:val="006654FF"/>
    <w:rsid w:val="00665AFB"/>
    <w:rsid w:val="00667722"/>
    <w:rsid w:val="00667CB0"/>
    <w:rsid w:val="0067016A"/>
    <w:rsid w:val="00670637"/>
    <w:rsid w:val="00670EC0"/>
    <w:rsid w:val="00671152"/>
    <w:rsid w:val="006723A5"/>
    <w:rsid w:val="00672502"/>
    <w:rsid w:val="00672F97"/>
    <w:rsid w:val="00674164"/>
    <w:rsid w:val="006742C2"/>
    <w:rsid w:val="0067436B"/>
    <w:rsid w:val="006760C4"/>
    <w:rsid w:val="006763D0"/>
    <w:rsid w:val="00676514"/>
    <w:rsid w:val="006779AD"/>
    <w:rsid w:val="00677D19"/>
    <w:rsid w:val="00680097"/>
    <w:rsid w:val="00680578"/>
    <w:rsid w:val="00681B99"/>
    <w:rsid w:val="00681DFD"/>
    <w:rsid w:val="00683995"/>
    <w:rsid w:val="0068403C"/>
    <w:rsid w:val="00684DEB"/>
    <w:rsid w:val="00685F64"/>
    <w:rsid w:val="00685F7B"/>
    <w:rsid w:val="00686AB9"/>
    <w:rsid w:val="00690D51"/>
    <w:rsid w:val="006910B5"/>
    <w:rsid w:val="0069122C"/>
    <w:rsid w:val="006916A8"/>
    <w:rsid w:val="00691852"/>
    <w:rsid w:val="00692D04"/>
    <w:rsid w:val="00693133"/>
    <w:rsid w:val="00693909"/>
    <w:rsid w:val="006942AC"/>
    <w:rsid w:val="006955B8"/>
    <w:rsid w:val="00695662"/>
    <w:rsid w:val="0069595E"/>
    <w:rsid w:val="00695A33"/>
    <w:rsid w:val="00695BCD"/>
    <w:rsid w:val="00695F27"/>
    <w:rsid w:val="006962F0"/>
    <w:rsid w:val="00696E63"/>
    <w:rsid w:val="0069777F"/>
    <w:rsid w:val="00697870"/>
    <w:rsid w:val="006A0F00"/>
    <w:rsid w:val="006A2F9A"/>
    <w:rsid w:val="006A34EF"/>
    <w:rsid w:val="006A3BDF"/>
    <w:rsid w:val="006A405E"/>
    <w:rsid w:val="006A4477"/>
    <w:rsid w:val="006A4567"/>
    <w:rsid w:val="006A48D8"/>
    <w:rsid w:val="006A4E4B"/>
    <w:rsid w:val="006A4FF5"/>
    <w:rsid w:val="006A5244"/>
    <w:rsid w:val="006A556A"/>
    <w:rsid w:val="006A584F"/>
    <w:rsid w:val="006A5C6E"/>
    <w:rsid w:val="006A5CB6"/>
    <w:rsid w:val="006A6A6C"/>
    <w:rsid w:val="006A6D05"/>
    <w:rsid w:val="006A7361"/>
    <w:rsid w:val="006A7F06"/>
    <w:rsid w:val="006B02AA"/>
    <w:rsid w:val="006B050E"/>
    <w:rsid w:val="006B086F"/>
    <w:rsid w:val="006B1756"/>
    <w:rsid w:val="006B1D6E"/>
    <w:rsid w:val="006B28B3"/>
    <w:rsid w:val="006B43C6"/>
    <w:rsid w:val="006B4420"/>
    <w:rsid w:val="006B4528"/>
    <w:rsid w:val="006B4B98"/>
    <w:rsid w:val="006B6EBE"/>
    <w:rsid w:val="006B7873"/>
    <w:rsid w:val="006C1A19"/>
    <w:rsid w:val="006C1C97"/>
    <w:rsid w:val="006C3DA4"/>
    <w:rsid w:val="006C43A0"/>
    <w:rsid w:val="006C5199"/>
    <w:rsid w:val="006C5470"/>
    <w:rsid w:val="006C5B75"/>
    <w:rsid w:val="006C5ECD"/>
    <w:rsid w:val="006C67F5"/>
    <w:rsid w:val="006C691F"/>
    <w:rsid w:val="006C7664"/>
    <w:rsid w:val="006D0D35"/>
    <w:rsid w:val="006D104B"/>
    <w:rsid w:val="006D1DFE"/>
    <w:rsid w:val="006D3315"/>
    <w:rsid w:val="006D4CA6"/>
    <w:rsid w:val="006D4FEE"/>
    <w:rsid w:val="006D5C04"/>
    <w:rsid w:val="006D63D0"/>
    <w:rsid w:val="006D6FFF"/>
    <w:rsid w:val="006D78FA"/>
    <w:rsid w:val="006D7BC9"/>
    <w:rsid w:val="006D7CD9"/>
    <w:rsid w:val="006E017D"/>
    <w:rsid w:val="006E050E"/>
    <w:rsid w:val="006E0652"/>
    <w:rsid w:val="006E14C1"/>
    <w:rsid w:val="006E1AED"/>
    <w:rsid w:val="006E1BA6"/>
    <w:rsid w:val="006E2012"/>
    <w:rsid w:val="006E24CA"/>
    <w:rsid w:val="006E253F"/>
    <w:rsid w:val="006E262F"/>
    <w:rsid w:val="006E2727"/>
    <w:rsid w:val="006E3A4C"/>
    <w:rsid w:val="006E3F51"/>
    <w:rsid w:val="006E4411"/>
    <w:rsid w:val="006E4EAA"/>
    <w:rsid w:val="006E4FC8"/>
    <w:rsid w:val="006E558B"/>
    <w:rsid w:val="006E6D6E"/>
    <w:rsid w:val="006E714A"/>
    <w:rsid w:val="006E742A"/>
    <w:rsid w:val="006F0151"/>
    <w:rsid w:val="006F03B4"/>
    <w:rsid w:val="006F0422"/>
    <w:rsid w:val="006F08AB"/>
    <w:rsid w:val="006F10A1"/>
    <w:rsid w:val="006F2599"/>
    <w:rsid w:val="006F260D"/>
    <w:rsid w:val="006F2967"/>
    <w:rsid w:val="006F2B0C"/>
    <w:rsid w:val="006F36AC"/>
    <w:rsid w:val="006F52E9"/>
    <w:rsid w:val="006F5713"/>
    <w:rsid w:val="006F5B9E"/>
    <w:rsid w:val="006F5E3B"/>
    <w:rsid w:val="006F5FEC"/>
    <w:rsid w:val="006F62DF"/>
    <w:rsid w:val="006F6B66"/>
    <w:rsid w:val="006F6E86"/>
    <w:rsid w:val="00700223"/>
    <w:rsid w:val="00700CF5"/>
    <w:rsid w:val="007016BA"/>
    <w:rsid w:val="00702929"/>
    <w:rsid w:val="00703158"/>
    <w:rsid w:val="00704C3A"/>
    <w:rsid w:val="00704DE0"/>
    <w:rsid w:val="00705AD1"/>
    <w:rsid w:val="00705D73"/>
    <w:rsid w:val="00705E0D"/>
    <w:rsid w:val="00706FF6"/>
    <w:rsid w:val="007073B4"/>
    <w:rsid w:val="007103A2"/>
    <w:rsid w:val="00710E26"/>
    <w:rsid w:val="00711005"/>
    <w:rsid w:val="00712001"/>
    <w:rsid w:val="00712B3A"/>
    <w:rsid w:val="007152B1"/>
    <w:rsid w:val="0071566B"/>
    <w:rsid w:val="00715F92"/>
    <w:rsid w:val="00716682"/>
    <w:rsid w:val="00716764"/>
    <w:rsid w:val="00716956"/>
    <w:rsid w:val="00716988"/>
    <w:rsid w:val="00716C2F"/>
    <w:rsid w:val="0071703F"/>
    <w:rsid w:val="00720281"/>
    <w:rsid w:val="0072070D"/>
    <w:rsid w:val="00720AC8"/>
    <w:rsid w:val="007213D4"/>
    <w:rsid w:val="00723646"/>
    <w:rsid w:val="007240FE"/>
    <w:rsid w:val="00724996"/>
    <w:rsid w:val="00724A6F"/>
    <w:rsid w:val="00724BBD"/>
    <w:rsid w:val="00725243"/>
    <w:rsid w:val="007267F8"/>
    <w:rsid w:val="00727C3B"/>
    <w:rsid w:val="00730387"/>
    <w:rsid w:val="007308A4"/>
    <w:rsid w:val="00730BE1"/>
    <w:rsid w:val="00732041"/>
    <w:rsid w:val="0073232A"/>
    <w:rsid w:val="00732DE6"/>
    <w:rsid w:val="00732F53"/>
    <w:rsid w:val="00733994"/>
    <w:rsid w:val="00733B0B"/>
    <w:rsid w:val="00733E83"/>
    <w:rsid w:val="0073486A"/>
    <w:rsid w:val="00735286"/>
    <w:rsid w:val="00735B6E"/>
    <w:rsid w:val="00735BD4"/>
    <w:rsid w:val="00736F9C"/>
    <w:rsid w:val="007400AB"/>
    <w:rsid w:val="00740AC4"/>
    <w:rsid w:val="00742321"/>
    <w:rsid w:val="007436E9"/>
    <w:rsid w:val="00743B1B"/>
    <w:rsid w:val="00743BA8"/>
    <w:rsid w:val="00744440"/>
    <w:rsid w:val="0074541E"/>
    <w:rsid w:val="007454C3"/>
    <w:rsid w:val="00746FA7"/>
    <w:rsid w:val="007477FC"/>
    <w:rsid w:val="00750150"/>
    <w:rsid w:val="00750162"/>
    <w:rsid w:val="00751C62"/>
    <w:rsid w:val="007551EC"/>
    <w:rsid w:val="0075540C"/>
    <w:rsid w:val="007556E5"/>
    <w:rsid w:val="00755B0B"/>
    <w:rsid w:val="007579A5"/>
    <w:rsid w:val="00760F10"/>
    <w:rsid w:val="00761137"/>
    <w:rsid w:val="007614C7"/>
    <w:rsid w:val="00765061"/>
    <w:rsid w:val="00765297"/>
    <w:rsid w:val="00765441"/>
    <w:rsid w:val="007672BD"/>
    <w:rsid w:val="00767F0E"/>
    <w:rsid w:val="007707F2"/>
    <w:rsid w:val="007709B1"/>
    <w:rsid w:val="00770BBA"/>
    <w:rsid w:val="00770DC1"/>
    <w:rsid w:val="00770F8B"/>
    <w:rsid w:val="007716AB"/>
    <w:rsid w:val="00773BA6"/>
    <w:rsid w:val="00774EDE"/>
    <w:rsid w:val="00775885"/>
    <w:rsid w:val="00775A82"/>
    <w:rsid w:val="00776830"/>
    <w:rsid w:val="00776BC3"/>
    <w:rsid w:val="0077706E"/>
    <w:rsid w:val="00780322"/>
    <w:rsid w:val="00780342"/>
    <w:rsid w:val="007809F6"/>
    <w:rsid w:val="007814D8"/>
    <w:rsid w:val="00781B5A"/>
    <w:rsid w:val="00781EA8"/>
    <w:rsid w:val="00781FEC"/>
    <w:rsid w:val="0078246C"/>
    <w:rsid w:val="0078341C"/>
    <w:rsid w:val="00783997"/>
    <w:rsid w:val="007839A9"/>
    <w:rsid w:val="00783F15"/>
    <w:rsid w:val="0078620A"/>
    <w:rsid w:val="00786BE9"/>
    <w:rsid w:val="007870BC"/>
    <w:rsid w:val="0078762B"/>
    <w:rsid w:val="00792459"/>
    <w:rsid w:val="00792825"/>
    <w:rsid w:val="00794DA8"/>
    <w:rsid w:val="0079506D"/>
    <w:rsid w:val="007955D1"/>
    <w:rsid w:val="00796020"/>
    <w:rsid w:val="00796CB0"/>
    <w:rsid w:val="007972E4"/>
    <w:rsid w:val="007974AC"/>
    <w:rsid w:val="007A054D"/>
    <w:rsid w:val="007A07A3"/>
    <w:rsid w:val="007A0A87"/>
    <w:rsid w:val="007A0AAD"/>
    <w:rsid w:val="007A174A"/>
    <w:rsid w:val="007A1E55"/>
    <w:rsid w:val="007A1FC3"/>
    <w:rsid w:val="007A36BE"/>
    <w:rsid w:val="007A4257"/>
    <w:rsid w:val="007A499D"/>
    <w:rsid w:val="007A4A30"/>
    <w:rsid w:val="007A4BFC"/>
    <w:rsid w:val="007A6893"/>
    <w:rsid w:val="007B0714"/>
    <w:rsid w:val="007B099C"/>
    <w:rsid w:val="007B0B5D"/>
    <w:rsid w:val="007B0B90"/>
    <w:rsid w:val="007B1FD3"/>
    <w:rsid w:val="007B26D2"/>
    <w:rsid w:val="007B2DEE"/>
    <w:rsid w:val="007B31CE"/>
    <w:rsid w:val="007B34A1"/>
    <w:rsid w:val="007B36DB"/>
    <w:rsid w:val="007B3738"/>
    <w:rsid w:val="007B376B"/>
    <w:rsid w:val="007B38F4"/>
    <w:rsid w:val="007B4A85"/>
    <w:rsid w:val="007B5B48"/>
    <w:rsid w:val="007B6433"/>
    <w:rsid w:val="007B74C0"/>
    <w:rsid w:val="007B7B8A"/>
    <w:rsid w:val="007C0512"/>
    <w:rsid w:val="007C05A4"/>
    <w:rsid w:val="007C07C2"/>
    <w:rsid w:val="007C0BF7"/>
    <w:rsid w:val="007C1BC0"/>
    <w:rsid w:val="007C20C9"/>
    <w:rsid w:val="007C45F5"/>
    <w:rsid w:val="007C46C0"/>
    <w:rsid w:val="007C4F53"/>
    <w:rsid w:val="007C6186"/>
    <w:rsid w:val="007C61B8"/>
    <w:rsid w:val="007C61B9"/>
    <w:rsid w:val="007D064A"/>
    <w:rsid w:val="007D09FB"/>
    <w:rsid w:val="007D1389"/>
    <w:rsid w:val="007D2B18"/>
    <w:rsid w:val="007D330B"/>
    <w:rsid w:val="007D33E2"/>
    <w:rsid w:val="007D3708"/>
    <w:rsid w:val="007D4927"/>
    <w:rsid w:val="007D4990"/>
    <w:rsid w:val="007D4B1A"/>
    <w:rsid w:val="007D4FA7"/>
    <w:rsid w:val="007D525B"/>
    <w:rsid w:val="007D57E3"/>
    <w:rsid w:val="007D7052"/>
    <w:rsid w:val="007D72A7"/>
    <w:rsid w:val="007D777B"/>
    <w:rsid w:val="007D7A6F"/>
    <w:rsid w:val="007E0933"/>
    <w:rsid w:val="007E1134"/>
    <w:rsid w:val="007E16D0"/>
    <w:rsid w:val="007E175B"/>
    <w:rsid w:val="007E206D"/>
    <w:rsid w:val="007E22DF"/>
    <w:rsid w:val="007E28B7"/>
    <w:rsid w:val="007E2B46"/>
    <w:rsid w:val="007E32BF"/>
    <w:rsid w:val="007E37B2"/>
    <w:rsid w:val="007E3ADA"/>
    <w:rsid w:val="007E3F2B"/>
    <w:rsid w:val="007E5498"/>
    <w:rsid w:val="007E5B7D"/>
    <w:rsid w:val="007E5DD4"/>
    <w:rsid w:val="007E6500"/>
    <w:rsid w:val="007E6DDC"/>
    <w:rsid w:val="007E747B"/>
    <w:rsid w:val="007E7D78"/>
    <w:rsid w:val="007F00E2"/>
    <w:rsid w:val="007F1149"/>
    <w:rsid w:val="007F11CD"/>
    <w:rsid w:val="007F1EF6"/>
    <w:rsid w:val="007F204C"/>
    <w:rsid w:val="007F247B"/>
    <w:rsid w:val="007F31CE"/>
    <w:rsid w:val="007F3486"/>
    <w:rsid w:val="007F3D32"/>
    <w:rsid w:val="007F4B7E"/>
    <w:rsid w:val="007F4C63"/>
    <w:rsid w:val="007F4C7D"/>
    <w:rsid w:val="007F5A6E"/>
    <w:rsid w:val="007F5E0E"/>
    <w:rsid w:val="007F646B"/>
    <w:rsid w:val="007F6F91"/>
    <w:rsid w:val="007F75D3"/>
    <w:rsid w:val="00800B67"/>
    <w:rsid w:val="00800D27"/>
    <w:rsid w:val="00801220"/>
    <w:rsid w:val="00802E88"/>
    <w:rsid w:val="00803DE1"/>
    <w:rsid w:val="0080477C"/>
    <w:rsid w:val="0080491F"/>
    <w:rsid w:val="008055A8"/>
    <w:rsid w:val="008059E7"/>
    <w:rsid w:val="00806F7D"/>
    <w:rsid w:val="00810231"/>
    <w:rsid w:val="00810B45"/>
    <w:rsid w:val="00812167"/>
    <w:rsid w:val="00812DAC"/>
    <w:rsid w:val="008139CE"/>
    <w:rsid w:val="00814617"/>
    <w:rsid w:val="008148BC"/>
    <w:rsid w:val="00814F66"/>
    <w:rsid w:val="00815500"/>
    <w:rsid w:val="0081735D"/>
    <w:rsid w:val="00817392"/>
    <w:rsid w:val="008178AF"/>
    <w:rsid w:val="00817CB8"/>
    <w:rsid w:val="0082085C"/>
    <w:rsid w:val="00820A5B"/>
    <w:rsid w:val="00821B3C"/>
    <w:rsid w:val="0082224B"/>
    <w:rsid w:val="00822432"/>
    <w:rsid w:val="008235D4"/>
    <w:rsid w:val="00823BF8"/>
    <w:rsid w:val="00823FF9"/>
    <w:rsid w:val="008242ED"/>
    <w:rsid w:val="00824503"/>
    <w:rsid w:val="008249AA"/>
    <w:rsid w:val="00824F07"/>
    <w:rsid w:val="0082549A"/>
    <w:rsid w:val="00825985"/>
    <w:rsid w:val="00826FAB"/>
    <w:rsid w:val="008271C3"/>
    <w:rsid w:val="00827389"/>
    <w:rsid w:val="00827B28"/>
    <w:rsid w:val="00830A3C"/>
    <w:rsid w:val="0083196C"/>
    <w:rsid w:val="00832A9A"/>
    <w:rsid w:val="00832F5F"/>
    <w:rsid w:val="00835CAD"/>
    <w:rsid w:val="008376C3"/>
    <w:rsid w:val="008403A6"/>
    <w:rsid w:val="00841860"/>
    <w:rsid w:val="00841B12"/>
    <w:rsid w:val="00841C31"/>
    <w:rsid w:val="00841F46"/>
    <w:rsid w:val="00842D4B"/>
    <w:rsid w:val="008434FF"/>
    <w:rsid w:val="008438BE"/>
    <w:rsid w:val="00843EC2"/>
    <w:rsid w:val="00844722"/>
    <w:rsid w:val="00844E1C"/>
    <w:rsid w:val="00844F3E"/>
    <w:rsid w:val="00844F5D"/>
    <w:rsid w:val="00845F15"/>
    <w:rsid w:val="008460DC"/>
    <w:rsid w:val="00846F4B"/>
    <w:rsid w:val="00847A05"/>
    <w:rsid w:val="00847C4F"/>
    <w:rsid w:val="00851023"/>
    <w:rsid w:val="00852345"/>
    <w:rsid w:val="00853408"/>
    <w:rsid w:val="00853594"/>
    <w:rsid w:val="008562FE"/>
    <w:rsid w:val="00857C47"/>
    <w:rsid w:val="00861074"/>
    <w:rsid w:val="00861BCF"/>
    <w:rsid w:val="00862214"/>
    <w:rsid w:val="00862EAB"/>
    <w:rsid w:val="00862FA7"/>
    <w:rsid w:val="00863A4B"/>
    <w:rsid w:val="0086482A"/>
    <w:rsid w:val="00866174"/>
    <w:rsid w:val="0086646B"/>
    <w:rsid w:val="008701CC"/>
    <w:rsid w:val="00870380"/>
    <w:rsid w:val="00870864"/>
    <w:rsid w:val="008738A8"/>
    <w:rsid w:val="008739F0"/>
    <w:rsid w:val="0087409E"/>
    <w:rsid w:val="00874BFB"/>
    <w:rsid w:val="0087517E"/>
    <w:rsid w:val="00877D66"/>
    <w:rsid w:val="00880584"/>
    <w:rsid w:val="008807D4"/>
    <w:rsid w:val="00880ACE"/>
    <w:rsid w:val="008810B2"/>
    <w:rsid w:val="0088156B"/>
    <w:rsid w:val="0088156D"/>
    <w:rsid w:val="00881B8D"/>
    <w:rsid w:val="00881E6A"/>
    <w:rsid w:val="008829A6"/>
    <w:rsid w:val="00883448"/>
    <w:rsid w:val="00883610"/>
    <w:rsid w:val="00883685"/>
    <w:rsid w:val="00883AC1"/>
    <w:rsid w:val="00883CFD"/>
    <w:rsid w:val="00885A1E"/>
    <w:rsid w:val="00885BC8"/>
    <w:rsid w:val="00887A49"/>
    <w:rsid w:val="00887D18"/>
    <w:rsid w:val="008918D2"/>
    <w:rsid w:val="0089215A"/>
    <w:rsid w:val="008921A2"/>
    <w:rsid w:val="008923B5"/>
    <w:rsid w:val="008926D5"/>
    <w:rsid w:val="00892A97"/>
    <w:rsid w:val="0089358F"/>
    <w:rsid w:val="008939F4"/>
    <w:rsid w:val="008940FD"/>
    <w:rsid w:val="00894C43"/>
    <w:rsid w:val="0089576F"/>
    <w:rsid w:val="00896431"/>
    <w:rsid w:val="00897316"/>
    <w:rsid w:val="0089790F"/>
    <w:rsid w:val="00897A94"/>
    <w:rsid w:val="00897E33"/>
    <w:rsid w:val="008A096C"/>
    <w:rsid w:val="008A0CE6"/>
    <w:rsid w:val="008A1685"/>
    <w:rsid w:val="008A236E"/>
    <w:rsid w:val="008A27A6"/>
    <w:rsid w:val="008A475F"/>
    <w:rsid w:val="008A4A17"/>
    <w:rsid w:val="008A4D4B"/>
    <w:rsid w:val="008A4E1A"/>
    <w:rsid w:val="008A5108"/>
    <w:rsid w:val="008A53D2"/>
    <w:rsid w:val="008A6956"/>
    <w:rsid w:val="008A7AEF"/>
    <w:rsid w:val="008A7B59"/>
    <w:rsid w:val="008A7FAB"/>
    <w:rsid w:val="008B14ED"/>
    <w:rsid w:val="008B21BA"/>
    <w:rsid w:val="008B2B7E"/>
    <w:rsid w:val="008B2BAC"/>
    <w:rsid w:val="008B3667"/>
    <w:rsid w:val="008B4027"/>
    <w:rsid w:val="008B4280"/>
    <w:rsid w:val="008B4E1B"/>
    <w:rsid w:val="008B4E35"/>
    <w:rsid w:val="008B515A"/>
    <w:rsid w:val="008B58C4"/>
    <w:rsid w:val="008B636E"/>
    <w:rsid w:val="008B6912"/>
    <w:rsid w:val="008B76C0"/>
    <w:rsid w:val="008B7E49"/>
    <w:rsid w:val="008C0038"/>
    <w:rsid w:val="008C008D"/>
    <w:rsid w:val="008C0623"/>
    <w:rsid w:val="008C0D62"/>
    <w:rsid w:val="008C2AC4"/>
    <w:rsid w:val="008C2DCC"/>
    <w:rsid w:val="008C3821"/>
    <w:rsid w:val="008C3D7C"/>
    <w:rsid w:val="008C4F5D"/>
    <w:rsid w:val="008C5811"/>
    <w:rsid w:val="008C5DD9"/>
    <w:rsid w:val="008C5DDC"/>
    <w:rsid w:val="008C5FDC"/>
    <w:rsid w:val="008C6A5E"/>
    <w:rsid w:val="008C7A55"/>
    <w:rsid w:val="008C7E18"/>
    <w:rsid w:val="008D0560"/>
    <w:rsid w:val="008D17DB"/>
    <w:rsid w:val="008D3BCE"/>
    <w:rsid w:val="008D464A"/>
    <w:rsid w:val="008D4723"/>
    <w:rsid w:val="008D5CC9"/>
    <w:rsid w:val="008D64E9"/>
    <w:rsid w:val="008D740C"/>
    <w:rsid w:val="008D7CD1"/>
    <w:rsid w:val="008E0138"/>
    <w:rsid w:val="008E0E39"/>
    <w:rsid w:val="008E12BD"/>
    <w:rsid w:val="008E188B"/>
    <w:rsid w:val="008E2283"/>
    <w:rsid w:val="008E22B0"/>
    <w:rsid w:val="008E336F"/>
    <w:rsid w:val="008E343D"/>
    <w:rsid w:val="008E3660"/>
    <w:rsid w:val="008E3792"/>
    <w:rsid w:val="008E39F0"/>
    <w:rsid w:val="008E3C51"/>
    <w:rsid w:val="008E4889"/>
    <w:rsid w:val="008E5425"/>
    <w:rsid w:val="008E5854"/>
    <w:rsid w:val="008E6431"/>
    <w:rsid w:val="008E65C8"/>
    <w:rsid w:val="008E7D5D"/>
    <w:rsid w:val="008E7E6E"/>
    <w:rsid w:val="008F20CA"/>
    <w:rsid w:val="008F2E08"/>
    <w:rsid w:val="008F3014"/>
    <w:rsid w:val="008F3A4D"/>
    <w:rsid w:val="008F3AC1"/>
    <w:rsid w:val="008F41BA"/>
    <w:rsid w:val="008F54D2"/>
    <w:rsid w:val="008F56EF"/>
    <w:rsid w:val="008F59D9"/>
    <w:rsid w:val="008F63AB"/>
    <w:rsid w:val="008F6D00"/>
    <w:rsid w:val="008F6D09"/>
    <w:rsid w:val="008F7156"/>
    <w:rsid w:val="008F74BE"/>
    <w:rsid w:val="008F7753"/>
    <w:rsid w:val="00901403"/>
    <w:rsid w:val="00901FE4"/>
    <w:rsid w:val="00904588"/>
    <w:rsid w:val="00904F76"/>
    <w:rsid w:val="00905588"/>
    <w:rsid w:val="00905AE0"/>
    <w:rsid w:val="00905FBC"/>
    <w:rsid w:val="00906918"/>
    <w:rsid w:val="0090729C"/>
    <w:rsid w:val="00910044"/>
    <w:rsid w:val="009112F4"/>
    <w:rsid w:val="00912D31"/>
    <w:rsid w:val="009132A3"/>
    <w:rsid w:val="00913372"/>
    <w:rsid w:val="009147FF"/>
    <w:rsid w:val="00914B22"/>
    <w:rsid w:val="00915248"/>
    <w:rsid w:val="009161DA"/>
    <w:rsid w:val="00916BE7"/>
    <w:rsid w:val="009176A0"/>
    <w:rsid w:val="009207B5"/>
    <w:rsid w:val="00920CA9"/>
    <w:rsid w:val="0092155B"/>
    <w:rsid w:val="00923166"/>
    <w:rsid w:val="00923F24"/>
    <w:rsid w:val="00924AE4"/>
    <w:rsid w:val="009256F5"/>
    <w:rsid w:val="00925D53"/>
    <w:rsid w:val="009263F2"/>
    <w:rsid w:val="00926510"/>
    <w:rsid w:val="00926791"/>
    <w:rsid w:val="009273FB"/>
    <w:rsid w:val="00927606"/>
    <w:rsid w:val="00927F16"/>
    <w:rsid w:val="009302A5"/>
    <w:rsid w:val="00931CA5"/>
    <w:rsid w:val="00933825"/>
    <w:rsid w:val="009338D2"/>
    <w:rsid w:val="009338EA"/>
    <w:rsid w:val="00933EAD"/>
    <w:rsid w:val="009342B0"/>
    <w:rsid w:val="009346D2"/>
    <w:rsid w:val="009346F0"/>
    <w:rsid w:val="00934805"/>
    <w:rsid w:val="00934A59"/>
    <w:rsid w:val="009356FF"/>
    <w:rsid w:val="00937071"/>
    <w:rsid w:val="00937156"/>
    <w:rsid w:val="009378DB"/>
    <w:rsid w:val="00937C6B"/>
    <w:rsid w:val="0094020E"/>
    <w:rsid w:val="00940FD6"/>
    <w:rsid w:val="00941CCA"/>
    <w:rsid w:val="00943728"/>
    <w:rsid w:val="00943DB9"/>
    <w:rsid w:val="00944D58"/>
    <w:rsid w:val="009459C7"/>
    <w:rsid w:val="00946475"/>
    <w:rsid w:val="00947569"/>
    <w:rsid w:val="00950F7C"/>
    <w:rsid w:val="00952554"/>
    <w:rsid w:val="009531A5"/>
    <w:rsid w:val="0095350C"/>
    <w:rsid w:val="00953B2F"/>
    <w:rsid w:val="009546A6"/>
    <w:rsid w:val="00954823"/>
    <w:rsid w:val="009560B8"/>
    <w:rsid w:val="00956607"/>
    <w:rsid w:val="00956A23"/>
    <w:rsid w:val="00957E6C"/>
    <w:rsid w:val="00957E86"/>
    <w:rsid w:val="0096068E"/>
    <w:rsid w:val="009614FE"/>
    <w:rsid w:val="00961BD3"/>
    <w:rsid w:val="00961EB5"/>
    <w:rsid w:val="009620ED"/>
    <w:rsid w:val="009623D5"/>
    <w:rsid w:val="00962618"/>
    <w:rsid w:val="00962F5F"/>
    <w:rsid w:val="00963DC4"/>
    <w:rsid w:val="00965251"/>
    <w:rsid w:val="009653E7"/>
    <w:rsid w:val="009661F6"/>
    <w:rsid w:val="00966B49"/>
    <w:rsid w:val="00966DD6"/>
    <w:rsid w:val="0096743D"/>
    <w:rsid w:val="00970667"/>
    <w:rsid w:val="00970BC7"/>
    <w:rsid w:val="00970BEF"/>
    <w:rsid w:val="00971603"/>
    <w:rsid w:val="00972A6B"/>
    <w:rsid w:val="009747F3"/>
    <w:rsid w:val="00974F2F"/>
    <w:rsid w:val="009752A4"/>
    <w:rsid w:val="009757A8"/>
    <w:rsid w:val="00975CC9"/>
    <w:rsid w:val="009760A7"/>
    <w:rsid w:val="009763D5"/>
    <w:rsid w:val="00977170"/>
    <w:rsid w:val="00980B21"/>
    <w:rsid w:val="00981198"/>
    <w:rsid w:val="00981CF4"/>
    <w:rsid w:val="009834F0"/>
    <w:rsid w:val="009836B4"/>
    <w:rsid w:val="00985D5E"/>
    <w:rsid w:val="0099058E"/>
    <w:rsid w:val="00990909"/>
    <w:rsid w:val="009910D4"/>
    <w:rsid w:val="009928B8"/>
    <w:rsid w:val="00992E38"/>
    <w:rsid w:val="00993F61"/>
    <w:rsid w:val="009940A5"/>
    <w:rsid w:val="00994796"/>
    <w:rsid w:val="00995455"/>
    <w:rsid w:val="00995496"/>
    <w:rsid w:val="00995D9A"/>
    <w:rsid w:val="009A1A27"/>
    <w:rsid w:val="009A1EEB"/>
    <w:rsid w:val="009A3D2F"/>
    <w:rsid w:val="009A3DB0"/>
    <w:rsid w:val="009A41E3"/>
    <w:rsid w:val="009A4E47"/>
    <w:rsid w:val="009A4E49"/>
    <w:rsid w:val="009A58C2"/>
    <w:rsid w:val="009A6045"/>
    <w:rsid w:val="009A6171"/>
    <w:rsid w:val="009A6CCE"/>
    <w:rsid w:val="009B01C2"/>
    <w:rsid w:val="009B0E73"/>
    <w:rsid w:val="009B0F69"/>
    <w:rsid w:val="009B2899"/>
    <w:rsid w:val="009B2FD5"/>
    <w:rsid w:val="009B4C70"/>
    <w:rsid w:val="009B54DA"/>
    <w:rsid w:val="009B74C7"/>
    <w:rsid w:val="009B77A2"/>
    <w:rsid w:val="009B7902"/>
    <w:rsid w:val="009C0DCD"/>
    <w:rsid w:val="009C1068"/>
    <w:rsid w:val="009C2C5A"/>
    <w:rsid w:val="009C2D66"/>
    <w:rsid w:val="009C2D74"/>
    <w:rsid w:val="009C31E7"/>
    <w:rsid w:val="009C39A4"/>
    <w:rsid w:val="009C46AD"/>
    <w:rsid w:val="009C4910"/>
    <w:rsid w:val="009C5939"/>
    <w:rsid w:val="009C5947"/>
    <w:rsid w:val="009C61E4"/>
    <w:rsid w:val="009C6C17"/>
    <w:rsid w:val="009C6D2A"/>
    <w:rsid w:val="009D13DD"/>
    <w:rsid w:val="009D2608"/>
    <w:rsid w:val="009D276E"/>
    <w:rsid w:val="009D4300"/>
    <w:rsid w:val="009D5442"/>
    <w:rsid w:val="009D6487"/>
    <w:rsid w:val="009E04AE"/>
    <w:rsid w:val="009E0620"/>
    <w:rsid w:val="009E0E51"/>
    <w:rsid w:val="009E1515"/>
    <w:rsid w:val="009E32D3"/>
    <w:rsid w:val="009E39FE"/>
    <w:rsid w:val="009E3DF8"/>
    <w:rsid w:val="009E3FD4"/>
    <w:rsid w:val="009E7364"/>
    <w:rsid w:val="009F02A7"/>
    <w:rsid w:val="009F0C7C"/>
    <w:rsid w:val="009F12C9"/>
    <w:rsid w:val="009F155C"/>
    <w:rsid w:val="009F15CE"/>
    <w:rsid w:val="009F2668"/>
    <w:rsid w:val="009F26AB"/>
    <w:rsid w:val="009F2EF7"/>
    <w:rsid w:val="009F2F4C"/>
    <w:rsid w:val="009F35E8"/>
    <w:rsid w:val="009F39DD"/>
    <w:rsid w:val="009F3E36"/>
    <w:rsid w:val="009F4B00"/>
    <w:rsid w:val="009F5CAC"/>
    <w:rsid w:val="009F6F92"/>
    <w:rsid w:val="00A001BD"/>
    <w:rsid w:val="00A00386"/>
    <w:rsid w:val="00A003F1"/>
    <w:rsid w:val="00A01012"/>
    <w:rsid w:val="00A026B5"/>
    <w:rsid w:val="00A02DD7"/>
    <w:rsid w:val="00A03716"/>
    <w:rsid w:val="00A0482A"/>
    <w:rsid w:val="00A04BDE"/>
    <w:rsid w:val="00A06495"/>
    <w:rsid w:val="00A07865"/>
    <w:rsid w:val="00A07ABA"/>
    <w:rsid w:val="00A1044B"/>
    <w:rsid w:val="00A110E1"/>
    <w:rsid w:val="00A114D8"/>
    <w:rsid w:val="00A11768"/>
    <w:rsid w:val="00A11E63"/>
    <w:rsid w:val="00A12354"/>
    <w:rsid w:val="00A123C1"/>
    <w:rsid w:val="00A13974"/>
    <w:rsid w:val="00A14342"/>
    <w:rsid w:val="00A143FD"/>
    <w:rsid w:val="00A145A6"/>
    <w:rsid w:val="00A14774"/>
    <w:rsid w:val="00A147C0"/>
    <w:rsid w:val="00A15D94"/>
    <w:rsid w:val="00A16041"/>
    <w:rsid w:val="00A172EA"/>
    <w:rsid w:val="00A207B9"/>
    <w:rsid w:val="00A2083F"/>
    <w:rsid w:val="00A210AF"/>
    <w:rsid w:val="00A225D3"/>
    <w:rsid w:val="00A239DF"/>
    <w:rsid w:val="00A23A7C"/>
    <w:rsid w:val="00A2545B"/>
    <w:rsid w:val="00A25B7C"/>
    <w:rsid w:val="00A262EF"/>
    <w:rsid w:val="00A26863"/>
    <w:rsid w:val="00A26D34"/>
    <w:rsid w:val="00A26F57"/>
    <w:rsid w:val="00A277A5"/>
    <w:rsid w:val="00A27E20"/>
    <w:rsid w:val="00A300CD"/>
    <w:rsid w:val="00A30F9D"/>
    <w:rsid w:val="00A3162B"/>
    <w:rsid w:val="00A316C2"/>
    <w:rsid w:val="00A32412"/>
    <w:rsid w:val="00A32505"/>
    <w:rsid w:val="00A329F7"/>
    <w:rsid w:val="00A32CC6"/>
    <w:rsid w:val="00A33514"/>
    <w:rsid w:val="00A3398B"/>
    <w:rsid w:val="00A3489C"/>
    <w:rsid w:val="00A3527F"/>
    <w:rsid w:val="00A3596F"/>
    <w:rsid w:val="00A35E9C"/>
    <w:rsid w:val="00A36595"/>
    <w:rsid w:val="00A36815"/>
    <w:rsid w:val="00A36900"/>
    <w:rsid w:val="00A37008"/>
    <w:rsid w:val="00A402C1"/>
    <w:rsid w:val="00A407E9"/>
    <w:rsid w:val="00A40E87"/>
    <w:rsid w:val="00A4115E"/>
    <w:rsid w:val="00A4130E"/>
    <w:rsid w:val="00A41575"/>
    <w:rsid w:val="00A4186A"/>
    <w:rsid w:val="00A41A9B"/>
    <w:rsid w:val="00A4237E"/>
    <w:rsid w:val="00A433B3"/>
    <w:rsid w:val="00A436E7"/>
    <w:rsid w:val="00A43965"/>
    <w:rsid w:val="00A44227"/>
    <w:rsid w:val="00A44BA1"/>
    <w:rsid w:val="00A46671"/>
    <w:rsid w:val="00A46753"/>
    <w:rsid w:val="00A47523"/>
    <w:rsid w:val="00A47ED4"/>
    <w:rsid w:val="00A500FC"/>
    <w:rsid w:val="00A5023D"/>
    <w:rsid w:val="00A50D98"/>
    <w:rsid w:val="00A52084"/>
    <w:rsid w:val="00A525FB"/>
    <w:rsid w:val="00A52992"/>
    <w:rsid w:val="00A52C41"/>
    <w:rsid w:val="00A52D25"/>
    <w:rsid w:val="00A531EF"/>
    <w:rsid w:val="00A541C6"/>
    <w:rsid w:val="00A54996"/>
    <w:rsid w:val="00A54AE2"/>
    <w:rsid w:val="00A54E7D"/>
    <w:rsid w:val="00A5582D"/>
    <w:rsid w:val="00A55876"/>
    <w:rsid w:val="00A55C40"/>
    <w:rsid w:val="00A55E4F"/>
    <w:rsid w:val="00A573D0"/>
    <w:rsid w:val="00A57D78"/>
    <w:rsid w:val="00A60FED"/>
    <w:rsid w:val="00A61737"/>
    <w:rsid w:val="00A622B2"/>
    <w:rsid w:val="00A62992"/>
    <w:rsid w:val="00A62A4E"/>
    <w:rsid w:val="00A62C21"/>
    <w:rsid w:val="00A62E0D"/>
    <w:rsid w:val="00A62E32"/>
    <w:rsid w:val="00A62FD5"/>
    <w:rsid w:val="00A6477D"/>
    <w:rsid w:val="00A6492E"/>
    <w:rsid w:val="00A65DDA"/>
    <w:rsid w:val="00A66FA0"/>
    <w:rsid w:val="00A67584"/>
    <w:rsid w:val="00A7032B"/>
    <w:rsid w:val="00A70343"/>
    <w:rsid w:val="00A70345"/>
    <w:rsid w:val="00A70D85"/>
    <w:rsid w:val="00A71A60"/>
    <w:rsid w:val="00A722ED"/>
    <w:rsid w:val="00A72F7A"/>
    <w:rsid w:val="00A73E70"/>
    <w:rsid w:val="00A74213"/>
    <w:rsid w:val="00A74836"/>
    <w:rsid w:val="00A751E6"/>
    <w:rsid w:val="00A7564C"/>
    <w:rsid w:val="00A76343"/>
    <w:rsid w:val="00A7647E"/>
    <w:rsid w:val="00A7651A"/>
    <w:rsid w:val="00A770D2"/>
    <w:rsid w:val="00A77979"/>
    <w:rsid w:val="00A77A0E"/>
    <w:rsid w:val="00A77D5F"/>
    <w:rsid w:val="00A8045E"/>
    <w:rsid w:val="00A815A7"/>
    <w:rsid w:val="00A82187"/>
    <w:rsid w:val="00A83956"/>
    <w:rsid w:val="00A83B35"/>
    <w:rsid w:val="00A84012"/>
    <w:rsid w:val="00A8721F"/>
    <w:rsid w:val="00A873A3"/>
    <w:rsid w:val="00A8795A"/>
    <w:rsid w:val="00A904BF"/>
    <w:rsid w:val="00A91245"/>
    <w:rsid w:val="00A9130A"/>
    <w:rsid w:val="00A913DF"/>
    <w:rsid w:val="00A91642"/>
    <w:rsid w:val="00A916D0"/>
    <w:rsid w:val="00A943A1"/>
    <w:rsid w:val="00A94CC3"/>
    <w:rsid w:val="00A95B07"/>
    <w:rsid w:val="00A95F9E"/>
    <w:rsid w:val="00A966B6"/>
    <w:rsid w:val="00A96819"/>
    <w:rsid w:val="00A96AD2"/>
    <w:rsid w:val="00A975E7"/>
    <w:rsid w:val="00A97FF4"/>
    <w:rsid w:val="00AA070A"/>
    <w:rsid w:val="00AA0BD4"/>
    <w:rsid w:val="00AA0EAC"/>
    <w:rsid w:val="00AA293B"/>
    <w:rsid w:val="00AA2F81"/>
    <w:rsid w:val="00AA3BC6"/>
    <w:rsid w:val="00AA4324"/>
    <w:rsid w:val="00AA4E8B"/>
    <w:rsid w:val="00AA5CFC"/>
    <w:rsid w:val="00AA5FB7"/>
    <w:rsid w:val="00AA64D4"/>
    <w:rsid w:val="00AA688E"/>
    <w:rsid w:val="00AA69EF"/>
    <w:rsid w:val="00AA766B"/>
    <w:rsid w:val="00AB05E0"/>
    <w:rsid w:val="00AB077A"/>
    <w:rsid w:val="00AB1759"/>
    <w:rsid w:val="00AB1CB5"/>
    <w:rsid w:val="00AB2107"/>
    <w:rsid w:val="00AB2189"/>
    <w:rsid w:val="00AB36D3"/>
    <w:rsid w:val="00AB3F2B"/>
    <w:rsid w:val="00AB40B2"/>
    <w:rsid w:val="00AB5206"/>
    <w:rsid w:val="00AB55D0"/>
    <w:rsid w:val="00AB58B6"/>
    <w:rsid w:val="00AB5C37"/>
    <w:rsid w:val="00AB5F88"/>
    <w:rsid w:val="00AB5FB6"/>
    <w:rsid w:val="00AB7A1A"/>
    <w:rsid w:val="00AC1604"/>
    <w:rsid w:val="00AC1AA0"/>
    <w:rsid w:val="00AC2704"/>
    <w:rsid w:val="00AC292D"/>
    <w:rsid w:val="00AC2A21"/>
    <w:rsid w:val="00AC2B6A"/>
    <w:rsid w:val="00AC3FF9"/>
    <w:rsid w:val="00AC402D"/>
    <w:rsid w:val="00AC5F61"/>
    <w:rsid w:val="00AC6681"/>
    <w:rsid w:val="00AC6753"/>
    <w:rsid w:val="00AC70B8"/>
    <w:rsid w:val="00AC746B"/>
    <w:rsid w:val="00AD0318"/>
    <w:rsid w:val="00AD0CF9"/>
    <w:rsid w:val="00AD130D"/>
    <w:rsid w:val="00AD1E61"/>
    <w:rsid w:val="00AD2A28"/>
    <w:rsid w:val="00AD2B86"/>
    <w:rsid w:val="00AD51A0"/>
    <w:rsid w:val="00AD589C"/>
    <w:rsid w:val="00AD6196"/>
    <w:rsid w:val="00AD674C"/>
    <w:rsid w:val="00AD7389"/>
    <w:rsid w:val="00AD7B49"/>
    <w:rsid w:val="00AD7F72"/>
    <w:rsid w:val="00AE06EF"/>
    <w:rsid w:val="00AE07F3"/>
    <w:rsid w:val="00AE0B42"/>
    <w:rsid w:val="00AE2463"/>
    <w:rsid w:val="00AE3496"/>
    <w:rsid w:val="00AE4188"/>
    <w:rsid w:val="00AE43AC"/>
    <w:rsid w:val="00AE604D"/>
    <w:rsid w:val="00AE79DD"/>
    <w:rsid w:val="00AF066B"/>
    <w:rsid w:val="00AF1A17"/>
    <w:rsid w:val="00AF1E15"/>
    <w:rsid w:val="00AF1F7D"/>
    <w:rsid w:val="00AF2C74"/>
    <w:rsid w:val="00AF4281"/>
    <w:rsid w:val="00AF4473"/>
    <w:rsid w:val="00AF480D"/>
    <w:rsid w:val="00AF5BB7"/>
    <w:rsid w:val="00AF5D41"/>
    <w:rsid w:val="00AF5EC1"/>
    <w:rsid w:val="00AF66A1"/>
    <w:rsid w:val="00AF6DFD"/>
    <w:rsid w:val="00AF721C"/>
    <w:rsid w:val="00AF762F"/>
    <w:rsid w:val="00AF7733"/>
    <w:rsid w:val="00B00CEE"/>
    <w:rsid w:val="00B00DF7"/>
    <w:rsid w:val="00B0172E"/>
    <w:rsid w:val="00B02AA1"/>
    <w:rsid w:val="00B03839"/>
    <w:rsid w:val="00B05D31"/>
    <w:rsid w:val="00B07400"/>
    <w:rsid w:val="00B07AE6"/>
    <w:rsid w:val="00B07D01"/>
    <w:rsid w:val="00B10242"/>
    <w:rsid w:val="00B1030F"/>
    <w:rsid w:val="00B10A3B"/>
    <w:rsid w:val="00B10B0B"/>
    <w:rsid w:val="00B119D4"/>
    <w:rsid w:val="00B11CE9"/>
    <w:rsid w:val="00B13295"/>
    <w:rsid w:val="00B13CBD"/>
    <w:rsid w:val="00B13D4D"/>
    <w:rsid w:val="00B149F1"/>
    <w:rsid w:val="00B14A84"/>
    <w:rsid w:val="00B14AF9"/>
    <w:rsid w:val="00B15886"/>
    <w:rsid w:val="00B15B9C"/>
    <w:rsid w:val="00B16BDE"/>
    <w:rsid w:val="00B1733C"/>
    <w:rsid w:val="00B176C5"/>
    <w:rsid w:val="00B17BEA"/>
    <w:rsid w:val="00B201E0"/>
    <w:rsid w:val="00B211FD"/>
    <w:rsid w:val="00B21547"/>
    <w:rsid w:val="00B21A02"/>
    <w:rsid w:val="00B21CDD"/>
    <w:rsid w:val="00B24107"/>
    <w:rsid w:val="00B2434C"/>
    <w:rsid w:val="00B26207"/>
    <w:rsid w:val="00B262C3"/>
    <w:rsid w:val="00B26873"/>
    <w:rsid w:val="00B30409"/>
    <w:rsid w:val="00B30514"/>
    <w:rsid w:val="00B30C9F"/>
    <w:rsid w:val="00B30EFB"/>
    <w:rsid w:val="00B31CDC"/>
    <w:rsid w:val="00B33AFB"/>
    <w:rsid w:val="00B33BD2"/>
    <w:rsid w:val="00B34B8E"/>
    <w:rsid w:val="00B3506C"/>
    <w:rsid w:val="00B350D9"/>
    <w:rsid w:val="00B35726"/>
    <w:rsid w:val="00B35917"/>
    <w:rsid w:val="00B35CEC"/>
    <w:rsid w:val="00B36F15"/>
    <w:rsid w:val="00B36F8E"/>
    <w:rsid w:val="00B37AB9"/>
    <w:rsid w:val="00B4028F"/>
    <w:rsid w:val="00B4146C"/>
    <w:rsid w:val="00B41935"/>
    <w:rsid w:val="00B41FDF"/>
    <w:rsid w:val="00B42676"/>
    <w:rsid w:val="00B441E2"/>
    <w:rsid w:val="00B4420D"/>
    <w:rsid w:val="00B448A1"/>
    <w:rsid w:val="00B44FDE"/>
    <w:rsid w:val="00B4560C"/>
    <w:rsid w:val="00B4623D"/>
    <w:rsid w:val="00B4698E"/>
    <w:rsid w:val="00B46DBE"/>
    <w:rsid w:val="00B47816"/>
    <w:rsid w:val="00B47A8E"/>
    <w:rsid w:val="00B50250"/>
    <w:rsid w:val="00B503E9"/>
    <w:rsid w:val="00B54136"/>
    <w:rsid w:val="00B546B6"/>
    <w:rsid w:val="00B549CD"/>
    <w:rsid w:val="00B5636F"/>
    <w:rsid w:val="00B56C64"/>
    <w:rsid w:val="00B576A4"/>
    <w:rsid w:val="00B57FD3"/>
    <w:rsid w:val="00B61231"/>
    <w:rsid w:val="00B6159D"/>
    <w:rsid w:val="00B616A1"/>
    <w:rsid w:val="00B64027"/>
    <w:rsid w:val="00B64869"/>
    <w:rsid w:val="00B650BC"/>
    <w:rsid w:val="00B667A8"/>
    <w:rsid w:val="00B67C78"/>
    <w:rsid w:val="00B716ED"/>
    <w:rsid w:val="00B7175C"/>
    <w:rsid w:val="00B71BF6"/>
    <w:rsid w:val="00B7205E"/>
    <w:rsid w:val="00B72225"/>
    <w:rsid w:val="00B73934"/>
    <w:rsid w:val="00B73B92"/>
    <w:rsid w:val="00B744DB"/>
    <w:rsid w:val="00B75851"/>
    <w:rsid w:val="00B764AD"/>
    <w:rsid w:val="00B767D1"/>
    <w:rsid w:val="00B76BE4"/>
    <w:rsid w:val="00B7772D"/>
    <w:rsid w:val="00B77E2D"/>
    <w:rsid w:val="00B77E3D"/>
    <w:rsid w:val="00B808BA"/>
    <w:rsid w:val="00B809D6"/>
    <w:rsid w:val="00B8234D"/>
    <w:rsid w:val="00B8269D"/>
    <w:rsid w:val="00B82A7C"/>
    <w:rsid w:val="00B8374D"/>
    <w:rsid w:val="00B83F13"/>
    <w:rsid w:val="00B840BB"/>
    <w:rsid w:val="00B8438F"/>
    <w:rsid w:val="00B84CD5"/>
    <w:rsid w:val="00B85F2B"/>
    <w:rsid w:val="00B87F89"/>
    <w:rsid w:val="00B90418"/>
    <w:rsid w:val="00B91541"/>
    <w:rsid w:val="00B9194D"/>
    <w:rsid w:val="00B92661"/>
    <w:rsid w:val="00B9315E"/>
    <w:rsid w:val="00B93C84"/>
    <w:rsid w:val="00B93DE2"/>
    <w:rsid w:val="00B95218"/>
    <w:rsid w:val="00B95B85"/>
    <w:rsid w:val="00B95F83"/>
    <w:rsid w:val="00B96513"/>
    <w:rsid w:val="00B96D76"/>
    <w:rsid w:val="00B96EC9"/>
    <w:rsid w:val="00BA0FF1"/>
    <w:rsid w:val="00BA1242"/>
    <w:rsid w:val="00BA2239"/>
    <w:rsid w:val="00BA2A03"/>
    <w:rsid w:val="00BA2AF0"/>
    <w:rsid w:val="00BA2E2F"/>
    <w:rsid w:val="00BA34E4"/>
    <w:rsid w:val="00BA3936"/>
    <w:rsid w:val="00BA3BAC"/>
    <w:rsid w:val="00BA3C89"/>
    <w:rsid w:val="00BA4381"/>
    <w:rsid w:val="00BA45D8"/>
    <w:rsid w:val="00BA4A18"/>
    <w:rsid w:val="00BA4CAB"/>
    <w:rsid w:val="00BA5018"/>
    <w:rsid w:val="00BA5619"/>
    <w:rsid w:val="00BA562F"/>
    <w:rsid w:val="00BA5BF2"/>
    <w:rsid w:val="00BA6D01"/>
    <w:rsid w:val="00BA6D89"/>
    <w:rsid w:val="00BA7004"/>
    <w:rsid w:val="00BA7041"/>
    <w:rsid w:val="00BA79C4"/>
    <w:rsid w:val="00BB0CB8"/>
    <w:rsid w:val="00BB0DC1"/>
    <w:rsid w:val="00BB150E"/>
    <w:rsid w:val="00BB1895"/>
    <w:rsid w:val="00BB1D74"/>
    <w:rsid w:val="00BB1DCC"/>
    <w:rsid w:val="00BB218F"/>
    <w:rsid w:val="00BB240A"/>
    <w:rsid w:val="00BB2AEA"/>
    <w:rsid w:val="00BB34EB"/>
    <w:rsid w:val="00BB38CE"/>
    <w:rsid w:val="00BB4360"/>
    <w:rsid w:val="00BB48DD"/>
    <w:rsid w:val="00BB5B9B"/>
    <w:rsid w:val="00BB6146"/>
    <w:rsid w:val="00BB6CB8"/>
    <w:rsid w:val="00BB78AB"/>
    <w:rsid w:val="00BB78D1"/>
    <w:rsid w:val="00BB7EAD"/>
    <w:rsid w:val="00BC127C"/>
    <w:rsid w:val="00BC1410"/>
    <w:rsid w:val="00BC1F51"/>
    <w:rsid w:val="00BC2195"/>
    <w:rsid w:val="00BC22B6"/>
    <w:rsid w:val="00BC23D6"/>
    <w:rsid w:val="00BC3122"/>
    <w:rsid w:val="00BC4109"/>
    <w:rsid w:val="00BC4EFD"/>
    <w:rsid w:val="00BC51F4"/>
    <w:rsid w:val="00BC5246"/>
    <w:rsid w:val="00BC5504"/>
    <w:rsid w:val="00BC7E6B"/>
    <w:rsid w:val="00BD010A"/>
    <w:rsid w:val="00BD0706"/>
    <w:rsid w:val="00BD181D"/>
    <w:rsid w:val="00BD1CE8"/>
    <w:rsid w:val="00BD2339"/>
    <w:rsid w:val="00BD351B"/>
    <w:rsid w:val="00BD3C7A"/>
    <w:rsid w:val="00BD40E5"/>
    <w:rsid w:val="00BD49E4"/>
    <w:rsid w:val="00BD4B0E"/>
    <w:rsid w:val="00BD54F5"/>
    <w:rsid w:val="00BD57B7"/>
    <w:rsid w:val="00BD5BA2"/>
    <w:rsid w:val="00BD5C1B"/>
    <w:rsid w:val="00BD6185"/>
    <w:rsid w:val="00BD6DD6"/>
    <w:rsid w:val="00BD74D9"/>
    <w:rsid w:val="00BE07C4"/>
    <w:rsid w:val="00BE1983"/>
    <w:rsid w:val="00BE2380"/>
    <w:rsid w:val="00BE29C2"/>
    <w:rsid w:val="00BE2CB5"/>
    <w:rsid w:val="00BE30E3"/>
    <w:rsid w:val="00BE3B27"/>
    <w:rsid w:val="00BE4411"/>
    <w:rsid w:val="00BE4616"/>
    <w:rsid w:val="00BE47D0"/>
    <w:rsid w:val="00BE4D65"/>
    <w:rsid w:val="00BE52E4"/>
    <w:rsid w:val="00BE5678"/>
    <w:rsid w:val="00BE58FC"/>
    <w:rsid w:val="00BE6908"/>
    <w:rsid w:val="00BE6EB0"/>
    <w:rsid w:val="00BE7487"/>
    <w:rsid w:val="00BE75BB"/>
    <w:rsid w:val="00BE76C3"/>
    <w:rsid w:val="00BF063C"/>
    <w:rsid w:val="00BF0964"/>
    <w:rsid w:val="00BF237B"/>
    <w:rsid w:val="00BF24C0"/>
    <w:rsid w:val="00BF26FD"/>
    <w:rsid w:val="00BF286D"/>
    <w:rsid w:val="00BF3491"/>
    <w:rsid w:val="00BF3911"/>
    <w:rsid w:val="00BF53CF"/>
    <w:rsid w:val="00BF76CF"/>
    <w:rsid w:val="00BF784C"/>
    <w:rsid w:val="00BF7AA7"/>
    <w:rsid w:val="00C003B2"/>
    <w:rsid w:val="00C0046C"/>
    <w:rsid w:val="00C007F5"/>
    <w:rsid w:val="00C01251"/>
    <w:rsid w:val="00C01BC8"/>
    <w:rsid w:val="00C02536"/>
    <w:rsid w:val="00C042C3"/>
    <w:rsid w:val="00C057F0"/>
    <w:rsid w:val="00C05A5E"/>
    <w:rsid w:val="00C05B9D"/>
    <w:rsid w:val="00C05E62"/>
    <w:rsid w:val="00C06286"/>
    <w:rsid w:val="00C06A25"/>
    <w:rsid w:val="00C07054"/>
    <w:rsid w:val="00C07750"/>
    <w:rsid w:val="00C07A67"/>
    <w:rsid w:val="00C07FFC"/>
    <w:rsid w:val="00C11516"/>
    <w:rsid w:val="00C11671"/>
    <w:rsid w:val="00C11D32"/>
    <w:rsid w:val="00C1219F"/>
    <w:rsid w:val="00C1271A"/>
    <w:rsid w:val="00C12950"/>
    <w:rsid w:val="00C13595"/>
    <w:rsid w:val="00C15374"/>
    <w:rsid w:val="00C15E12"/>
    <w:rsid w:val="00C15EDA"/>
    <w:rsid w:val="00C15F8B"/>
    <w:rsid w:val="00C201E0"/>
    <w:rsid w:val="00C208AE"/>
    <w:rsid w:val="00C20F26"/>
    <w:rsid w:val="00C2142E"/>
    <w:rsid w:val="00C2314B"/>
    <w:rsid w:val="00C23C82"/>
    <w:rsid w:val="00C25056"/>
    <w:rsid w:val="00C25A76"/>
    <w:rsid w:val="00C26866"/>
    <w:rsid w:val="00C26ED7"/>
    <w:rsid w:val="00C27236"/>
    <w:rsid w:val="00C3084C"/>
    <w:rsid w:val="00C31DEC"/>
    <w:rsid w:val="00C3238D"/>
    <w:rsid w:val="00C3316B"/>
    <w:rsid w:val="00C3413B"/>
    <w:rsid w:val="00C34170"/>
    <w:rsid w:val="00C35095"/>
    <w:rsid w:val="00C35EE7"/>
    <w:rsid w:val="00C363DD"/>
    <w:rsid w:val="00C366CA"/>
    <w:rsid w:val="00C376B6"/>
    <w:rsid w:val="00C377D7"/>
    <w:rsid w:val="00C37D93"/>
    <w:rsid w:val="00C40D1B"/>
    <w:rsid w:val="00C4210D"/>
    <w:rsid w:val="00C4405F"/>
    <w:rsid w:val="00C4466A"/>
    <w:rsid w:val="00C44DF1"/>
    <w:rsid w:val="00C4675E"/>
    <w:rsid w:val="00C46931"/>
    <w:rsid w:val="00C47C4D"/>
    <w:rsid w:val="00C5013C"/>
    <w:rsid w:val="00C51ABE"/>
    <w:rsid w:val="00C51D70"/>
    <w:rsid w:val="00C5401F"/>
    <w:rsid w:val="00C544C9"/>
    <w:rsid w:val="00C56D6B"/>
    <w:rsid w:val="00C56EC5"/>
    <w:rsid w:val="00C56F00"/>
    <w:rsid w:val="00C57049"/>
    <w:rsid w:val="00C572B7"/>
    <w:rsid w:val="00C600CA"/>
    <w:rsid w:val="00C6146F"/>
    <w:rsid w:val="00C614AA"/>
    <w:rsid w:val="00C61668"/>
    <w:rsid w:val="00C6192F"/>
    <w:rsid w:val="00C62163"/>
    <w:rsid w:val="00C63E17"/>
    <w:rsid w:val="00C6453A"/>
    <w:rsid w:val="00C6461A"/>
    <w:rsid w:val="00C6489F"/>
    <w:rsid w:val="00C64DE6"/>
    <w:rsid w:val="00C665D5"/>
    <w:rsid w:val="00C6678C"/>
    <w:rsid w:val="00C66947"/>
    <w:rsid w:val="00C67448"/>
    <w:rsid w:val="00C710C1"/>
    <w:rsid w:val="00C7136F"/>
    <w:rsid w:val="00C71738"/>
    <w:rsid w:val="00C71A76"/>
    <w:rsid w:val="00C7293A"/>
    <w:rsid w:val="00C730F7"/>
    <w:rsid w:val="00C7470A"/>
    <w:rsid w:val="00C75A46"/>
    <w:rsid w:val="00C768CC"/>
    <w:rsid w:val="00C76F44"/>
    <w:rsid w:val="00C771D0"/>
    <w:rsid w:val="00C77209"/>
    <w:rsid w:val="00C772A9"/>
    <w:rsid w:val="00C7757F"/>
    <w:rsid w:val="00C801D3"/>
    <w:rsid w:val="00C80A63"/>
    <w:rsid w:val="00C8161D"/>
    <w:rsid w:val="00C817F8"/>
    <w:rsid w:val="00C81F38"/>
    <w:rsid w:val="00C8221F"/>
    <w:rsid w:val="00C8226A"/>
    <w:rsid w:val="00C823B2"/>
    <w:rsid w:val="00C82D27"/>
    <w:rsid w:val="00C831D5"/>
    <w:rsid w:val="00C83D51"/>
    <w:rsid w:val="00C83F5D"/>
    <w:rsid w:val="00C83F74"/>
    <w:rsid w:val="00C84281"/>
    <w:rsid w:val="00C86539"/>
    <w:rsid w:val="00C90A24"/>
    <w:rsid w:val="00C90CA6"/>
    <w:rsid w:val="00C91333"/>
    <w:rsid w:val="00C9177E"/>
    <w:rsid w:val="00C91B96"/>
    <w:rsid w:val="00C922A6"/>
    <w:rsid w:val="00C9235A"/>
    <w:rsid w:val="00C9324A"/>
    <w:rsid w:val="00C94B06"/>
    <w:rsid w:val="00C94B4B"/>
    <w:rsid w:val="00C94DB8"/>
    <w:rsid w:val="00C969F3"/>
    <w:rsid w:val="00C9778E"/>
    <w:rsid w:val="00C97B78"/>
    <w:rsid w:val="00CA0B31"/>
    <w:rsid w:val="00CA0E45"/>
    <w:rsid w:val="00CA10B5"/>
    <w:rsid w:val="00CA113E"/>
    <w:rsid w:val="00CA1212"/>
    <w:rsid w:val="00CA180B"/>
    <w:rsid w:val="00CA1D84"/>
    <w:rsid w:val="00CA27A0"/>
    <w:rsid w:val="00CA3380"/>
    <w:rsid w:val="00CA3C37"/>
    <w:rsid w:val="00CA42E5"/>
    <w:rsid w:val="00CA4442"/>
    <w:rsid w:val="00CB0746"/>
    <w:rsid w:val="00CB09BE"/>
    <w:rsid w:val="00CB0D10"/>
    <w:rsid w:val="00CB1B62"/>
    <w:rsid w:val="00CB1C26"/>
    <w:rsid w:val="00CB1D57"/>
    <w:rsid w:val="00CB201B"/>
    <w:rsid w:val="00CB3269"/>
    <w:rsid w:val="00CB384B"/>
    <w:rsid w:val="00CB4B15"/>
    <w:rsid w:val="00CB57EE"/>
    <w:rsid w:val="00CB5B91"/>
    <w:rsid w:val="00CB6E10"/>
    <w:rsid w:val="00CB7AF9"/>
    <w:rsid w:val="00CB7B91"/>
    <w:rsid w:val="00CC02D5"/>
    <w:rsid w:val="00CC03F3"/>
    <w:rsid w:val="00CC13C0"/>
    <w:rsid w:val="00CC145C"/>
    <w:rsid w:val="00CC1487"/>
    <w:rsid w:val="00CC1A35"/>
    <w:rsid w:val="00CC21BC"/>
    <w:rsid w:val="00CC2CB4"/>
    <w:rsid w:val="00CC45E1"/>
    <w:rsid w:val="00CC4BAB"/>
    <w:rsid w:val="00CC50A0"/>
    <w:rsid w:val="00CC555D"/>
    <w:rsid w:val="00CC55A2"/>
    <w:rsid w:val="00CC6A24"/>
    <w:rsid w:val="00CC6AF0"/>
    <w:rsid w:val="00CD0034"/>
    <w:rsid w:val="00CD07D9"/>
    <w:rsid w:val="00CD0A5E"/>
    <w:rsid w:val="00CD1A8D"/>
    <w:rsid w:val="00CD2678"/>
    <w:rsid w:val="00CD2C03"/>
    <w:rsid w:val="00CD36C0"/>
    <w:rsid w:val="00CD3BFD"/>
    <w:rsid w:val="00CD47AF"/>
    <w:rsid w:val="00CD5C5B"/>
    <w:rsid w:val="00CD7558"/>
    <w:rsid w:val="00CE068B"/>
    <w:rsid w:val="00CE0B92"/>
    <w:rsid w:val="00CE0D9F"/>
    <w:rsid w:val="00CE1E47"/>
    <w:rsid w:val="00CE283A"/>
    <w:rsid w:val="00CE358D"/>
    <w:rsid w:val="00CE3E1F"/>
    <w:rsid w:val="00CE45B3"/>
    <w:rsid w:val="00CE4760"/>
    <w:rsid w:val="00CE48D8"/>
    <w:rsid w:val="00CE5BB8"/>
    <w:rsid w:val="00CE5CAC"/>
    <w:rsid w:val="00CF0CC3"/>
    <w:rsid w:val="00CF0DA7"/>
    <w:rsid w:val="00CF10FC"/>
    <w:rsid w:val="00CF114E"/>
    <w:rsid w:val="00CF1BAE"/>
    <w:rsid w:val="00CF2053"/>
    <w:rsid w:val="00CF2DD1"/>
    <w:rsid w:val="00CF31E2"/>
    <w:rsid w:val="00CF33FA"/>
    <w:rsid w:val="00CF4F8E"/>
    <w:rsid w:val="00CF53CF"/>
    <w:rsid w:val="00CF5744"/>
    <w:rsid w:val="00CF5D61"/>
    <w:rsid w:val="00CF61A9"/>
    <w:rsid w:val="00CF62EA"/>
    <w:rsid w:val="00CF650B"/>
    <w:rsid w:val="00D00030"/>
    <w:rsid w:val="00D01CF1"/>
    <w:rsid w:val="00D01D16"/>
    <w:rsid w:val="00D020E9"/>
    <w:rsid w:val="00D024D8"/>
    <w:rsid w:val="00D038D4"/>
    <w:rsid w:val="00D045E5"/>
    <w:rsid w:val="00D048B1"/>
    <w:rsid w:val="00D061B6"/>
    <w:rsid w:val="00D062B9"/>
    <w:rsid w:val="00D069BD"/>
    <w:rsid w:val="00D10945"/>
    <w:rsid w:val="00D14460"/>
    <w:rsid w:val="00D15B90"/>
    <w:rsid w:val="00D15DD2"/>
    <w:rsid w:val="00D16D10"/>
    <w:rsid w:val="00D1731F"/>
    <w:rsid w:val="00D17B95"/>
    <w:rsid w:val="00D202CF"/>
    <w:rsid w:val="00D2374C"/>
    <w:rsid w:val="00D23C5A"/>
    <w:rsid w:val="00D2461D"/>
    <w:rsid w:val="00D24FC4"/>
    <w:rsid w:val="00D2627C"/>
    <w:rsid w:val="00D26398"/>
    <w:rsid w:val="00D27401"/>
    <w:rsid w:val="00D27696"/>
    <w:rsid w:val="00D30231"/>
    <w:rsid w:val="00D30D9E"/>
    <w:rsid w:val="00D30DDF"/>
    <w:rsid w:val="00D30FB9"/>
    <w:rsid w:val="00D31278"/>
    <w:rsid w:val="00D31E75"/>
    <w:rsid w:val="00D32C0E"/>
    <w:rsid w:val="00D331C4"/>
    <w:rsid w:val="00D334BA"/>
    <w:rsid w:val="00D33DBD"/>
    <w:rsid w:val="00D33F27"/>
    <w:rsid w:val="00D34162"/>
    <w:rsid w:val="00D35A03"/>
    <w:rsid w:val="00D36BA0"/>
    <w:rsid w:val="00D3771D"/>
    <w:rsid w:val="00D37959"/>
    <w:rsid w:val="00D37E0F"/>
    <w:rsid w:val="00D40140"/>
    <w:rsid w:val="00D41823"/>
    <w:rsid w:val="00D41D0D"/>
    <w:rsid w:val="00D422AA"/>
    <w:rsid w:val="00D42566"/>
    <w:rsid w:val="00D43832"/>
    <w:rsid w:val="00D44D6B"/>
    <w:rsid w:val="00D4500E"/>
    <w:rsid w:val="00D45632"/>
    <w:rsid w:val="00D46694"/>
    <w:rsid w:val="00D50362"/>
    <w:rsid w:val="00D50D41"/>
    <w:rsid w:val="00D513FF"/>
    <w:rsid w:val="00D516B8"/>
    <w:rsid w:val="00D530A2"/>
    <w:rsid w:val="00D53CCF"/>
    <w:rsid w:val="00D5458B"/>
    <w:rsid w:val="00D55A7A"/>
    <w:rsid w:val="00D56A6C"/>
    <w:rsid w:val="00D56A70"/>
    <w:rsid w:val="00D56B8B"/>
    <w:rsid w:val="00D578A3"/>
    <w:rsid w:val="00D608B4"/>
    <w:rsid w:val="00D60F8C"/>
    <w:rsid w:val="00D61303"/>
    <w:rsid w:val="00D61574"/>
    <w:rsid w:val="00D62A10"/>
    <w:rsid w:val="00D62CCE"/>
    <w:rsid w:val="00D633AE"/>
    <w:rsid w:val="00D63AFA"/>
    <w:rsid w:val="00D65DC7"/>
    <w:rsid w:val="00D66F88"/>
    <w:rsid w:val="00D67457"/>
    <w:rsid w:val="00D67494"/>
    <w:rsid w:val="00D70038"/>
    <w:rsid w:val="00D72441"/>
    <w:rsid w:val="00D72B1D"/>
    <w:rsid w:val="00D733BC"/>
    <w:rsid w:val="00D73B3D"/>
    <w:rsid w:val="00D7403B"/>
    <w:rsid w:val="00D7495F"/>
    <w:rsid w:val="00D74C5D"/>
    <w:rsid w:val="00D753CE"/>
    <w:rsid w:val="00D757E8"/>
    <w:rsid w:val="00D75E24"/>
    <w:rsid w:val="00D76466"/>
    <w:rsid w:val="00D76504"/>
    <w:rsid w:val="00D76D31"/>
    <w:rsid w:val="00D77C79"/>
    <w:rsid w:val="00D77E65"/>
    <w:rsid w:val="00D77F4B"/>
    <w:rsid w:val="00D815F5"/>
    <w:rsid w:val="00D817ED"/>
    <w:rsid w:val="00D8199E"/>
    <w:rsid w:val="00D8202F"/>
    <w:rsid w:val="00D822CE"/>
    <w:rsid w:val="00D82892"/>
    <w:rsid w:val="00D8348A"/>
    <w:rsid w:val="00D8368E"/>
    <w:rsid w:val="00D85947"/>
    <w:rsid w:val="00D85F92"/>
    <w:rsid w:val="00D86ECC"/>
    <w:rsid w:val="00D86EF7"/>
    <w:rsid w:val="00D874A0"/>
    <w:rsid w:val="00D87DFE"/>
    <w:rsid w:val="00D904A6"/>
    <w:rsid w:val="00D9149F"/>
    <w:rsid w:val="00D91E1F"/>
    <w:rsid w:val="00D9228E"/>
    <w:rsid w:val="00D93E88"/>
    <w:rsid w:val="00D9425B"/>
    <w:rsid w:val="00D9489A"/>
    <w:rsid w:val="00D950BC"/>
    <w:rsid w:val="00D95604"/>
    <w:rsid w:val="00D9631B"/>
    <w:rsid w:val="00D96416"/>
    <w:rsid w:val="00D96F3E"/>
    <w:rsid w:val="00D97DC2"/>
    <w:rsid w:val="00D97E45"/>
    <w:rsid w:val="00DA01F2"/>
    <w:rsid w:val="00DA02A5"/>
    <w:rsid w:val="00DA1D9F"/>
    <w:rsid w:val="00DA249D"/>
    <w:rsid w:val="00DA2633"/>
    <w:rsid w:val="00DA2804"/>
    <w:rsid w:val="00DA2ED3"/>
    <w:rsid w:val="00DA3CDA"/>
    <w:rsid w:val="00DA454F"/>
    <w:rsid w:val="00DA4CF9"/>
    <w:rsid w:val="00DB0676"/>
    <w:rsid w:val="00DB0D4E"/>
    <w:rsid w:val="00DB1905"/>
    <w:rsid w:val="00DB1B1B"/>
    <w:rsid w:val="00DB24C0"/>
    <w:rsid w:val="00DB259F"/>
    <w:rsid w:val="00DB4D07"/>
    <w:rsid w:val="00DB6D16"/>
    <w:rsid w:val="00DB6E85"/>
    <w:rsid w:val="00DB6EE1"/>
    <w:rsid w:val="00DB78FD"/>
    <w:rsid w:val="00DC0B47"/>
    <w:rsid w:val="00DC1A62"/>
    <w:rsid w:val="00DC3391"/>
    <w:rsid w:val="00DC35B9"/>
    <w:rsid w:val="00DC4E4E"/>
    <w:rsid w:val="00DC532B"/>
    <w:rsid w:val="00DC6119"/>
    <w:rsid w:val="00DC6B7A"/>
    <w:rsid w:val="00DC731E"/>
    <w:rsid w:val="00DC7D80"/>
    <w:rsid w:val="00DD086D"/>
    <w:rsid w:val="00DD17F3"/>
    <w:rsid w:val="00DD275D"/>
    <w:rsid w:val="00DD3665"/>
    <w:rsid w:val="00DD5169"/>
    <w:rsid w:val="00DD5703"/>
    <w:rsid w:val="00DD5ED2"/>
    <w:rsid w:val="00DD65EE"/>
    <w:rsid w:val="00DD7D9F"/>
    <w:rsid w:val="00DE0ADD"/>
    <w:rsid w:val="00DE2AE8"/>
    <w:rsid w:val="00DE2CA0"/>
    <w:rsid w:val="00DE3CA2"/>
    <w:rsid w:val="00DE5BCC"/>
    <w:rsid w:val="00DE67CA"/>
    <w:rsid w:val="00DE6D7B"/>
    <w:rsid w:val="00DE7BFE"/>
    <w:rsid w:val="00DF0353"/>
    <w:rsid w:val="00DF073B"/>
    <w:rsid w:val="00DF23A6"/>
    <w:rsid w:val="00DF2CD1"/>
    <w:rsid w:val="00DF36D1"/>
    <w:rsid w:val="00DF36EB"/>
    <w:rsid w:val="00DF38C1"/>
    <w:rsid w:val="00DF3D92"/>
    <w:rsid w:val="00DF4209"/>
    <w:rsid w:val="00DF4D6B"/>
    <w:rsid w:val="00DF520D"/>
    <w:rsid w:val="00DF56EF"/>
    <w:rsid w:val="00DF5D42"/>
    <w:rsid w:val="00DF5EDA"/>
    <w:rsid w:val="00DF68C0"/>
    <w:rsid w:val="00DF7CF7"/>
    <w:rsid w:val="00E00415"/>
    <w:rsid w:val="00E01D52"/>
    <w:rsid w:val="00E027B7"/>
    <w:rsid w:val="00E0281D"/>
    <w:rsid w:val="00E02F97"/>
    <w:rsid w:val="00E039FB"/>
    <w:rsid w:val="00E03D71"/>
    <w:rsid w:val="00E0504F"/>
    <w:rsid w:val="00E055CB"/>
    <w:rsid w:val="00E056F2"/>
    <w:rsid w:val="00E066D8"/>
    <w:rsid w:val="00E06989"/>
    <w:rsid w:val="00E1042B"/>
    <w:rsid w:val="00E1059D"/>
    <w:rsid w:val="00E10E06"/>
    <w:rsid w:val="00E115EF"/>
    <w:rsid w:val="00E117E2"/>
    <w:rsid w:val="00E11FEB"/>
    <w:rsid w:val="00E13A97"/>
    <w:rsid w:val="00E13ADF"/>
    <w:rsid w:val="00E141C8"/>
    <w:rsid w:val="00E14F26"/>
    <w:rsid w:val="00E152E7"/>
    <w:rsid w:val="00E158AC"/>
    <w:rsid w:val="00E162E9"/>
    <w:rsid w:val="00E16B0D"/>
    <w:rsid w:val="00E16BB3"/>
    <w:rsid w:val="00E17605"/>
    <w:rsid w:val="00E1769D"/>
    <w:rsid w:val="00E23541"/>
    <w:rsid w:val="00E243B8"/>
    <w:rsid w:val="00E252AF"/>
    <w:rsid w:val="00E255A8"/>
    <w:rsid w:val="00E25990"/>
    <w:rsid w:val="00E25FF3"/>
    <w:rsid w:val="00E261C5"/>
    <w:rsid w:val="00E266C4"/>
    <w:rsid w:val="00E26700"/>
    <w:rsid w:val="00E267A2"/>
    <w:rsid w:val="00E26BDB"/>
    <w:rsid w:val="00E26C4F"/>
    <w:rsid w:val="00E2731E"/>
    <w:rsid w:val="00E32E5C"/>
    <w:rsid w:val="00E34AE9"/>
    <w:rsid w:val="00E34E5E"/>
    <w:rsid w:val="00E35168"/>
    <w:rsid w:val="00E35CDD"/>
    <w:rsid w:val="00E3698C"/>
    <w:rsid w:val="00E37A49"/>
    <w:rsid w:val="00E40169"/>
    <w:rsid w:val="00E411B0"/>
    <w:rsid w:val="00E414BD"/>
    <w:rsid w:val="00E41B03"/>
    <w:rsid w:val="00E421A3"/>
    <w:rsid w:val="00E428F4"/>
    <w:rsid w:val="00E42A50"/>
    <w:rsid w:val="00E432F6"/>
    <w:rsid w:val="00E43390"/>
    <w:rsid w:val="00E43D01"/>
    <w:rsid w:val="00E46EE7"/>
    <w:rsid w:val="00E46F37"/>
    <w:rsid w:val="00E47DE1"/>
    <w:rsid w:val="00E50800"/>
    <w:rsid w:val="00E519EF"/>
    <w:rsid w:val="00E5296F"/>
    <w:rsid w:val="00E52BD8"/>
    <w:rsid w:val="00E53A1C"/>
    <w:rsid w:val="00E54769"/>
    <w:rsid w:val="00E56425"/>
    <w:rsid w:val="00E56A58"/>
    <w:rsid w:val="00E576DF"/>
    <w:rsid w:val="00E60297"/>
    <w:rsid w:val="00E6074D"/>
    <w:rsid w:val="00E607B5"/>
    <w:rsid w:val="00E626AE"/>
    <w:rsid w:val="00E62780"/>
    <w:rsid w:val="00E62CFC"/>
    <w:rsid w:val="00E636ED"/>
    <w:rsid w:val="00E639DE"/>
    <w:rsid w:val="00E63E3E"/>
    <w:rsid w:val="00E63FB0"/>
    <w:rsid w:val="00E6636E"/>
    <w:rsid w:val="00E67470"/>
    <w:rsid w:val="00E678B2"/>
    <w:rsid w:val="00E67D1C"/>
    <w:rsid w:val="00E67D65"/>
    <w:rsid w:val="00E67E85"/>
    <w:rsid w:val="00E70F4C"/>
    <w:rsid w:val="00E711C6"/>
    <w:rsid w:val="00E725D0"/>
    <w:rsid w:val="00E7386F"/>
    <w:rsid w:val="00E73D40"/>
    <w:rsid w:val="00E7402F"/>
    <w:rsid w:val="00E74845"/>
    <w:rsid w:val="00E75096"/>
    <w:rsid w:val="00E75445"/>
    <w:rsid w:val="00E77221"/>
    <w:rsid w:val="00E773A5"/>
    <w:rsid w:val="00E7762F"/>
    <w:rsid w:val="00E80FAF"/>
    <w:rsid w:val="00E80FF7"/>
    <w:rsid w:val="00E813A5"/>
    <w:rsid w:val="00E8166E"/>
    <w:rsid w:val="00E8187E"/>
    <w:rsid w:val="00E81BE8"/>
    <w:rsid w:val="00E81DB2"/>
    <w:rsid w:val="00E81F78"/>
    <w:rsid w:val="00E828BA"/>
    <w:rsid w:val="00E829A1"/>
    <w:rsid w:val="00E82C95"/>
    <w:rsid w:val="00E82ED6"/>
    <w:rsid w:val="00E8373A"/>
    <w:rsid w:val="00E8454F"/>
    <w:rsid w:val="00E84655"/>
    <w:rsid w:val="00E85655"/>
    <w:rsid w:val="00E85B17"/>
    <w:rsid w:val="00E85B73"/>
    <w:rsid w:val="00E868AE"/>
    <w:rsid w:val="00E8693F"/>
    <w:rsid w:val="00E869D0"/>
    <w:rsid w:val="00E86FBD"/>
    <w:rsid w:val="00E874A2"/>
    <w:rsid w:val="00E91586"/>
    <w:rsid w:val="00E917A9"/>
    <w:rsid w:val="00E9439E"/>
    <w:rsid w:val="00E94C7F"/>
    <w:rsid w:val="00E956FE"/>
    <w:rsid w:val="00E9592E"/>
    <w:rsid w:val="00E95B4E"/>
    <w:rsid w:val="00E964AA"/>
    <w:rsid w:val="00E968DF"/>
    <w:rsid w:val="00EA0647"/>
    <w:rsid w:val="00EA259F"/>
    <w:rsid w:val="00EA2E66"/>
    <w:rsid w:val="00EA40AC"/>
    <w:rsid w:val="00EA4AA1"/>
    <w:rsid w:val="00EA5137"/>
    <w:rsid w:val="00EA6957"/>
    <w:rsid w:val="00EA6A4D"/>
    <w:rsid w:val="00EA6EBF"/>
    <w:rsid w:val="00EA7702"/>
    <w:rsid w:val="00EA7BB3"/>
    <w:rsid w:val="00EB1565"/>
    <w:rsid w:val="00EB26D2"/>
    <w:rsid w:val="00EB28EC"/>
    <w:rsid w:val="00EB2949"/>
    <w:rsid w:val="00EB2DB8"/>
    <w:rsid w:val="00EB33F6"/>
    <w:rsid w:val="00EB476D"/>
    <w:rsid w:val="00EB4987"/>
    <w:rsid w:val="00EB54EB"/>
    <w:rsid w:val="00EB5BC1"/>
    <w:rsid w:val="00EB5CBF"/>
    <w:rsid w:val="00EB5F17"/>
    <w:rsid w:val="00EB67C3"/>
    <w:rsid w:val="00EC08A2"/>
    <w:rsid w:val="00EC1352"/>
    <w:rsid w:val="00EC1579"/>
    <w:rsid w:val="00EC17EF"/>
    <w:rsid w:val="00EC34B7"/>
    <w:rsid w:val="00EC3B9E"/>
    <w:rsid w:val="00EC407C"/>
    <w:rsid w:val="00EC468D"/>
    <w:rsid w:val="00EC47FA"/>
    <w:rsid w:val="00EC5897"/>
    <w:rsid w:val="00EC5B76"/>
    <w:rsid w:val="00EC63F2"/>
    <w:rsid w:val="00EC6A42"/>
    <w:rsid w:val="00ED17D7"/>
    <w:rsid w:val="00ED24A8"/>
    <w:rsid w:val="00ED29BB"/>
    <w:rsid w:val="00ED2D22"/>
    <w:rsid w:val="00ED361E"/>
    <w:rsid w:val="00ED7A69"/>
    <w:rsid w:val="00EE2A00"/>
    <w:rsid w:val="00EE39E6"/>
    <w:rsid w:val="00EE48D7"/>
    <w:rsid w:val="00EE4973"/>
    <w:rsid w:val="00EE49E5"/>
    <w:rsid w:val="00EE5492"/>
    <w:rsid w:val="00EE6162"/>
    <w:rsid w:val="00EE63D5"/>
    <w:rsid w:val="00EF0138"/>
    <w:rsid w:val="00EF0542"/>
    <w:rsid w:val="00EF0E19"/>
    <w:rsid w:val="00EF116B"/>
    <w:rsid w:val="00EF2536"/>
    <w:rsid w:val="00EF2898"/>
    <w:rsid w:val="00EF2EED"/>
    <w:rsid w:val="00EF3286"/>
    <w:rsid w:val="00EF46F0"/>
    <w:rsid w:val="00EF58E6"/>
    <w:rsid w:val="00EF5A60"/>
    <w:rsid w:val="00EF5AE5"/>
    <w:rsid w:val="00EF6BF2"/>
    <w:rsid w:val="00EF6E44"/>
    <w:rsid w:val="00F007F4"/>
    <w:rsid w:val="00F00AD5"/>
    <w:rsid w:val="00F0212E"/>
    <w:rsid w:val="00F0213F"/>
    <w:rsid w:val="00F03932"/>
    <w:rsid w:val="00F03F39"/>
    <w:rsid w:val="00F0421D"/>
    <w:rsid w:val="00F049EF"/>
    <w:rsid w:val="00F049F8"/>
    <w:rsid w:val="00F04D5C"/>
    <w:rsid w:val="00F0626F"/>
    <w:rsid w:val="00F06C9F"/>
    <w:rsid w:val="00F06FC0"/>
    <w:rsid w:val="00F07393"/>
    <w:rsid w:val="00F07B91"/>
    <w:rsid w:val="00F10EDD"/>
    <w:rsid w:val="00F10FE3"/>
    <w:rsid w:val="00F114F3"/>
    <w:rsid w:val="00F1156F"/>
    <w:rsid w:val="00F14BDC"/>
    <w:rsid w:val="00F15885"/>
    <w:rsid w:val="00F15909"/>
    <w:rsid w:val="00F15935"/>
    <w:rsid w:val="00F15BF2"/>
    <w:rsid w:val="00F15ECD"/>
    <w:rsid w:val="00F16E72"/>
    <w:rsid w:val="00F1713B"/>
    <w:rsid w:val="00F1718F"/>
    <w:rsid w:val="00F1759B"/>
    <w:rsid w:val="00F17B6E"/>
    <w:rsid w:val="00F207AD"/>
    <w:rsid w:val="00F20B2F"/>
    <w:rsid w:val="00F20BCF"/>
    <w:rsid w:val="00F2308C"/>
    <w:rsid w:val="00F233CD"/>
    <w:rsid w:val="00F235E1"/>
    <w:rsid w:val="00F237DB"/>
    <w:rsid w:val="00F23E5E"/>
    <w:rsid w:val="00F24054"/>
    <w:rsid w:val="00F24109"/>
    <w:rsid w:val="00F24168"/>
    <w:rsid w:val="00F243B1"/>
    <w:rsid w:val="00F2481F"/>
    <w:rsid w:val="00F2752A"/>
    <w:rsid w:val="00F30471"/>
    <w:rsid w:val="00F30DFD"/>
    <w:rsid w:val="00F30F2B"/>
    <w:rsid w:val="00F311B7"/>
    <w:rsid w:val="00F3195E"/>
    <w:rsid w:val="00F32BB0"/>
    <w:rsid w:val="00F32BCC"/>
    <w:rsid w:val="00F32CF9"/>
    <w:rsid w:val="00F32DA9"/>
    <w:rsid w:val="00F340B4"/>
    <w:rsid w:val="00F34774"/>
    <w:rsid w:val="00F34A3E"/>
    <w:rsid w:val="00F356A3"/>
    <w:rsid w:val="00F36603"/>
    <w:rsid w:val="00F3776D"/>
    <w:rsid w:val="00F4000A"/>
    <w:rsid w:val="00F40432"/>
    <w:rsid w:val="00F40B72"/>
    <w:rsid w:val="00F40C78"/>
    <w:rsid w:val="00F42338"/>
    <w:rsid w:val="00F43AF0"/>
    <w:rsid w:val="00F43FBC"/>
    <w:rsid w:val="00F441E9"/>
    <w:rsid w:val="00F45D1A"/>
    <w:rsid w:val="00F47300"/>
    <w:rsid w:val="00F47449"/>
    <w:rsid w:val="00F475BD"/>
    <w:rsid w:val="00F47732"/>
    <w:rsid w:val="00F47977"/>
    <w:rsid w:val="00F504EB"/>
    <w:rsid w:val="00F50A9A"/>
    <w:rsid w:val="00F50EDD"/>
    <w:rsid w:val="00F51A56"/>
    <w:rsid w:val="00F53500"/>
    <w:rsid w:val="00F53B78"/>
    <w:rsid w:val="00F53FC4"/>
    <w:rsid w:val="00F5495B"/>
    <w:rsid w:val="00F55CFB"/>
    <w:rsid w:val="00F55F13"/>
    <w:rsid w:val="00F56EDC"/>
    <w:rsid w:val="00F5758A"/>
    <w:rsid w:val="00F57592"/>
    <w:rsid w:val="00F60077"/>
    <w:rsid w:val="00F60D35"/>
    <w:rsid w:val="00F61332"/>
    <w:rsid w:val="00F62953"/>
    <w:rsid w:val="00F63190"/>
    <w:rsid w:val="00F65360"/>
    <w:rsid w:val="00F65B6F"/>
    <w:rsid w:val="00F65E7B"/>
    <w:rsid w:val="00F65FD1"/>
    <w:rsid w:val="00F672A2"/>
    <w:rsid w:val="00F67584"/>
    <w:rsid w:val="00F67AA0"/>
    <w:rsid w:val="00F7053A"/>
    <w:rsid w:val="00F70F27"/>
    <w:rsid w:val="00F71178"/>
    <w:rsid w:val="00F7120E"/>
    <w:rsid w:val="00F717D1"/>
    <w:rsid w:val="00F72F06"/>
    <w:rsid w:val="00F72F9B"/>
    <w:rsid w:val="00F73806"/>
    <w:rsid w:val="00F75038"/>
    <w:rsid w:val="00F751E5"/>
    <w:rsid w:val="00F75CDC"/>
    <w:rsid w:val="00F77024"/>
    <w:rsid w:val="00F772AE"/>
    <w:rsid w:val="00F805C4"/>
    <w:rsid w:val="00F808EC"/>
    <w:rsid w:val="00F80D2A"/>
    <w:rsid w:val="00F8389F"/>
    <w:rsid w:val="00F83A01"/>
    <w:rsid w:val="00F85C96"/>
    <w:rsid w:val="00F85D6D"/>
    <w:rsid w:val="00F85DE1"/>
    <w:rsid w:val="00F8619B"/>
    <w:rsid w:val="00F8693C"/>
    <w:rsid w:val="00F870FC"/>
    <w:rsid w:val="00F87A1D"/>
    <w:rsid w:val="00F90366"/>
    <w:rsid w:val="00F907ED"/>
    <w:rsid w:val="00F908C7"/>
    <w:rsid w:val="00F91FD6"/>
    <w:rsid w:val="00F94C50"/>
    <w:rsid w:val="00F95674"/>
    <w:rsid w:val="00F962DB"/>
    <w:rsid w:val="00F968B7"/>
    <w:rsid w:val="00F968D2"/>
    <w:rsid w:val="00F96BE4"/>
    <w:rsid w:val="00F96D01"/>
    <w:rsid w:val="00F97AB3"/>
    <w:rsid w:val="00FA0538"/>
    <w:rsid w:val="00FA0FAE"/>
    <w:rsid w:val="00FA1567"/>
    <w:rsid w:val="00FA3331"/>
    <w:rsid w:val="00FA3533"/>
    <w:rsid w:val="00FA49AC"/>
    <w:rsid w:val="00FA57FA"/>
    <w:rsid w:val="00FA5AD2"/>
    <w:rsid w:val="00FA610C"/>
    <w:rsid w:val="00FA621C"/>
    <w:rsid w:val="00FA7887"/>
    <w:rsid w:val="00FA7C07"/>
    <w:rsid w:val="00FB00D6"/>
    <w:rsid w:val="00FB0792"/>
    <w:rsid w:val="00FB1122"/>
    <w:rsid w:val="00FB115C"/>
    <w:rsid w:val="00FB1813"/>
    <w:rsid w:val="00FB2189"/>
    <w:rsid w:val="00FB22A8"/>
    <w:rsid w:val="00FB37E9"/>
    <w:rsid w:val="00FB46DA"/>
    <w:rsid w:val="00FB6FB9"/>
    <w:rsid w:val="00FB739B"/>
    <w:rsid w:val="00FB7979"/>
    <w:rsid w:val="00FC0236"/>
    <w:rsid w:val="00FC1DBA"/>
    <w:rsid w:val="00FC1DE6"/>
    <w:rsid w:val="00FC20FC"/>
    <w:rsid w:val="00FC25EC"/>
    <w:rsid w:val="00FC2F63"/>
    <w:rsid w:val="00FC39A1"/>
    <w:rsid w:val="00FC41B3"/>
    <w:rsid w:val="00FC4542"/>
    <w:rsid w:val="00FC5A21"/>
    <w:rsid w:val="00FC627D"/>
    <w:rsid w:val="00FC7096"/>
    <w:rsid w:val="00FD1A1F"/>
    <w:rsid w:val="00FD2BC5"/>
    <w:rsid w:val="00FD33BD"/>
    <w:rsid w:val="00FD3A99"/>
    <w:rsid w:val="00FD44DA"/>
    <w:rsid w:val="00FD482B"/>
    <w:rsid w:val="00FD495C"/>
    <w:rsid w:val="00FD6D98"/>
    <w:rsid w:val="00FD6F32"/>
    <w:rsid w:val="00FD7156"/>
    <w:rsid w:val="00FD7420"/>
    <w:rsid w:val="00FD7F62"/>
    <w:rsid w:val="00FD7F75"/>
    <w:rsid w:val="00FE1045"/>
    <w:rsid w:val="00FE1803"/>
    <w:rsid w:val="00FE303D"/>
    <w:rsid w:val="00FE3858"/>
    <w:rsid w:val="00FE39D9"/>
    <w:rsid w:val="00FE3B66"/>
    <w:rsid w:val="00FE57DF"/>
    <w:rsid w:val="00FE69F3"/>
    <w:rsid w:val="00FF0441"/>
    <w:rsid w:val="00FF0EB5"/>
    <w:rsid w:val="00FF1D24"/>
    <w:rsid w:val="00FF1E5E"/>
    <w:rsid w:val="00FF241B"/>
    <w:rsid w:val="00FF26AA"/>
    <w:rsid w:val="00FF286F"/>
    <w:rsid w:val="00FF457B"/>
    <w:rsid w:val="00FF46F2"/>
    <w:rsid w:val="00FF5A2F"/>
    <w:rsid w:val="00FF7295"/>
    <w:rsid w:val="00FF77E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ACC2"/>
  <w15:docId w15:val="{60635B3A-2397-4CB3-9419-A2C1144A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4190"/>
    <w:rPr>
      <w:rFonts w:ascii="Arial" w:eastAsia="Times New Roman" w:hAnsi="Arial" w:cs="Times New Roman"/>
      <w:sz w:val="24"/>
      <w:lang w:eastAsia="cs-CZ"/>
    </w:rPr>
  </w:style>
  <w:style w:type="paragraph" w:styleId="Nadpis1">
    <w:name w:val="heading 1"/>
    <w:basedOn w:val="Normln"/>
    <w:next w:val="Normln"/>
    <w:link w:val="Nadpis1Char"/>
    <w:uiPriority w:val="9"/>
    <w:qFormat/>
    <w:rsid w:val="00AA64D4"/>
    <w:pPr>
      <w:keepNext/>
      <w:keepLines/>
      <w:pageBreakBefore/>
      <w:numPr>
        <w:numId w:val="37"/>
      </w:numPr>
      <w:spacing w:before="480" w:after="0" w:line="240" w:lineRule="auto"/>
      <w:ind w:left="432"/>
      <w:outlineLvl w:val="0"/>
    </w:pPr>
    <w:rPr>
      <w:rFonts w:eastAsiaTheme="majorEastAsia" w:cstheme="majorBidi"/>
      <w:b/>
      <w:bCs/>
      <w:caps/>
      <w:szCs w:val="28"/>
    </w:rPr>
  </w:style>
  <w:style w:type="paragraph" w:styleId="Nadpis2">
    <w:name w:val="heading 2"/>
    <w:basedOn w:val="Normln"/>
    <w:next w:val="Normln"/>
    <w:link w:val="Nadpis2Char"/>
    <w:uiPriority w:val="9"/>
    <w:unhideWhenUsed/>
    <w:qFormat/>
    <w:rsid w:val="005075D9"/>
    <w:pPr>
      <w:keepNext/>
      <w:keepLines/>
      <w:numPr>
        <w:ilvl w:val="1"/>
        <w:numId w:val="37"/>
      </w:numPr>
      <w:spacing w:before="480" w:after="240"/>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6F08AB"/>
    <w:pPr>
      <w:keepNext/>
      <w:keepLines/>
      <w:numPr>
        <w:ilvl w:val="2"/>
        <w:numId w:val="37"/>
      </w:numPr>
      <w:spacing w:before="40" w:after="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uiPriority w:val="9"/>
    <w:semiHidden/>
    <w:unhideWhenUsed/>
    <w:qFormat/>
    <w:rsid w:val="005075D9"/>
    <w:pPr>
      <w:keepNext/>
      <w:keepLines/>
      <w:numPr>
        <w:ilvl w:val="3"/>
        <w:numId w:val="37"/>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075D9"/>
    <w:pPr>
      <w:keepNext/>
      <w:keepLines/>
      <w:numPr>
        <w:ilvl w:val="4"/>
        <w:numId w:val="37"/>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005075D9"/>
    <w:pPr>
      <w:keepNext/>
      <w:keepLines/>
      <w:numPr>
        <w:ilvl w:val="5"/>
        <w:numId w:val="37"/>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5075D9"/>
    <w:pPr>
      <w:keepNext/>
      <w:keepLines/>
      <w:numPr>
        <w:ilvl w:val="6"/>
        <w:numId w:val="37"/>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075D9"/>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075D9"/>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703F"/>
    <w:pPr>
      <w:ind w:left="720"/>
      <w:contextualSpacing/>
    </w:pPr>
  </w:style>
  <w:style w:type="paragraph" w:styleId="Normlnweb">
    <w:name w:val="Normal (Web)"/>
    <w:basedOn w:val="Normln"/>
    <w:rsid w:val="0071703F"/>
    <w:pPr>
      <w:spacing w:before="100" w:beforeAutospacing="1" w:after="100" w:afterAutospacing="1" w:line="240" w:lineRule="auto"/>
    </w:pPr>
    <w:rPr>
      <w:rFonts w:ascii="Times New Roman" w:eastAsia="MS Mincho" w:hAnsi="Times New Roman"/>
      <w:szCs w:val="24"/>
    </w:rPr>
  </w:style>
  <w:style w:type="paragraph" w:styleId="Textpoznpodarou">
    <w:name w:val="footnote text"/>
    <w:basedOn w:val="Normln"/>
    <w:link w:val="TextpoznpodarouChar"/>
    <w:uiPriority w:val="99"/>
    <w:rsid w:val="0071703F"/>
    <w:pPr>
      <w:spacing w:after="0" w:line="240" w:lineRule="auto"/>
    </w:pPr>
    <w:rPr>
      <w:rFonts w:ascii="Times New Roman" w:eastAsia="MS Mincho" w:hAnsi="Times New Roman"/>
      <w:sz w:val="20"/>
      <w:szCs w:val="20"/>
    </w:rPr>
  </w:style>
  <w:style w:type="character" w:customStyle="1" w:styleId="TextpoznpodarouChar">
    <w:name w:val="Text pozn. pod čarou Char"/>
    <w:basedOn w:val="Standardnpsmoodstavce"/>
    <w:link w:val="Textpoznpodarou"/>
    <w:uiPriority w:val="99"/>
    <w:rsid w:val="0071703F"/>
    <w:rPr>
      <w:rFonts w:ascii="Times New Roman" w:eastAsia="MS Mincho" w:hAnsi="Times New Roman" w:cs="Times New Roman"/>
      <w:sz w:val="20"/>
      <w:szCs w:val="20"/>
      <w:lang w:eastAsia="cs-CZ"/>
    </w:rPr>
  </w:style>
  <w:style w:type="character" w:styleId="Znakapoznpodarou">
    <w:name w:val="footnote reference"/>
    <w:uiPriority w:val="99"/>
    <w:semiHidden/>
    <w:rsid w:val="0071703F"/>
    <w:rPr>
      <w:vertAlign w:val="superscript"/>
    </w:rPr>
  </w:style>
  <w:style w:type="character" w:styleId="Hypertextovodkaz">
    <w:name w:val="Hyperlink"/>
    <w:uiPriority w:val="99"/>
    <w:rsid w:val="00364A0F"/>
    <w:rPr>
      <w:rFonts w:ascii="Arial" w:hAnsi="Arial" w:cs="Arial"/>
      <w:b/>
      <w:bCs/>
      <w:color w:val="FFFF00"/>
      <w:sz w:val="17"/>
      <w:szCs w:val="17"/>
      <w:u w:val="none"/>
      <w:effect w:val="none"/>
    </w:rPr>
  </w:style>
  <w:style w:type="paragraph" w:styleId="Textbubliny">
    <w:name w:val="Balloon Text"/>
    <w:basedOn w:val="Normln"/>
    <w:link w:val="TextbublinyChar"/>
    <w:uiPriority w:val="99"/>
    <w:semiHidden/>
    <w:unhideWhenUsed/>
    <w:rsid w:val="00364A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4A0F"/>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AA64D4"/>
    <w:rPr>
      <w:rFonts w:ascii="Arial" w:eastAsiaTheme="majorEastAsia" w:hAnsi="Arial" w:cstheme="majorBidi"/>
      <w:b/>
      <w:bCs/>
      <w:caps/>
      <w:sz w:val="24"/>
      <w:szCs w:val="28"/>
      <w:lang w:eastAsia="cs-CZ"/>
    </w:rPr>
  </w:style>
  <w:style w:type="table" w:styleId="Mkatabulky">
    <w:name w:val="Table Grid"/>
    <w:basedOn w:val="Normlntabulka"/>
    <w:uiPriority w:val="39"/>
    <w:rsid w:val="00BA3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D53DD"/>
    <w:rPr>
      <w:sz w:val="16"/>
      <w:szCs w:val="16"/>
    </w:rPr>
  </w:style>
  <w:style w:type="paragraph" w:styleId="Textkomente">
    <w:name w:val="annotation text"/>
    <w:basedOn w:val="Normln"/>
    <w:link w:val="TextkomenteChar"/>
    <w:unhideWhenUsed/>
    <w:rsid w:val="000D53DD"/>
    <w:pPr>
      <w:spacing w:line="240" w:lineRule="auto"/>
    </w:pPr>
    <w:rPr>
      <w:sz w:val="20"/>
      <w:szCs w:val="20"/>
    </w:rPr>
  </w:style>
  <w:style w:type="character" w:customStyle="1" w:styleId="TextkomenteChar">
    <w:name w:val="Text komentáře Char"/>
    <w:basedOn w:val="Standardnpsmoodstavce"/>
    <w:link w:val="Textkomente"/>
    <w:rsid w:val="000D53DD"/>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53DD"/>
    <w:rPr>
      <w:b/>
      <w:bCs/>
    </w:rPr>
  </w:style>
  <w:style w:type="character" w:customStyle="1" w:styleId="PedmtkomenteChar">
    <w:name w:val="Předmět komentáře Char"/>
    <w:basedOn w:val="TextkomenteChar"/>
    <w:link w:val="Pedmtkomente"/>
    <w:uiPriority w:val="99"/>
    <w:semiHidden/>
    <w:rsid w:val="000D53DD"/>
    <w:rPr>
      <w:rFonts w:ascii="Calibri" w:eastAsia="Times New Roman" w:hAnsi="Calibri" w:cs="Times New Roman"/>
      <w:b/>
      <w:bCs/>
      <w:sz w:val="20"/>
      <w:szCs w:val="20"/>
      <w:lang w:eastAsia="cs-CZ"/>
    </w:rPr>
  </w:style>
  <w:style w:type="character" w:customStyle="1" w:styleId="Nadpis2Char">
    <w:name w:val="Nadpis 2 Char"/>
    <w:basedOn w:val="Standardnpsmoodstavce"/>
    <w:link w:val="Nadpis2"/>
    <w:uiPriority w:val="9"/>
    <w:rsid w:val="005075D9"/>
    <w:rPr>
      <w:rFonts w:ascii="Arial" w:eastAsiaTheme="majorEastAsia" w:hAnsi="Arial" w:cstheme="majorBidi"/>
      <w:b/>
      <w:bCs/>
      <w:sz w:val="24"/>
      <w:szCs w:val="26"/>
      <w:lang w:eastAsia="cs-CZ"/>
    </w:rPr>
  </w:style>
  <w:style w:type="paragraph" w:styleId="Prosttext">
    <w:name w:val="Plain Text"/>
    <w:basedOn w:val="Normln"/>
    <w:link w:val="ProsttextChar"/>
    <w:uiPriority w:val="99"/>
    <w:rsid w:val="004F5E99"/>
    <w:pPr>
      <w:spacing w:after="0" w:line="240" w:lineRule="auto"/>
    </w:pPr>
    <w:rPr>
      <w:rFonts w:ascii="Courier New" w:eastAsia="MS Mincho" w:hAnsi="Courier New" w:cs="Courier New"/>
      <w:sz w:val="20"/>
      <w:szCs w:val="20"/>
    </w:rPr>
  </w:style>
  <w:style w:type="character" w:customStyle="1" w:styleId="ProsttextChar">
    <w:name w:val="Prostý text Char"/>
    <w:basedOn w:val="Standardnpsmoodstavce"/>
    <w:link w:val="Prosttext"/>
    <w:uiPriority w:val="99"/>
    <w:rsid w:val="004F5E99"/>
    <w:rPr>
      <w:rFonts w:ascii="Courier New" w:eastAsia="MS Mincho" w:hAnsi="Courier New" w:cs="Courier New"/>
      <w:sz w:val="20"/>
      <w:szCs w:val="20"/>
      <w:lang w:eastAsia="cs-CZ"/>
    </w:rPr>
  </w:style>
  <w:style w:type="paragraph" w:styleId="Zhlav">
    <w:name w:val="header"/>
    <w:basedOn w:val="Normln"/>
    <w:link w:val="ZhlavChar"/>
    <w:uiPriority w:val="99"/>
    <w:unhideWhenUsed/>
    <w:rsid w:val="004B69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696A"/>
    <w:rPr>
      <w:rFonts w:ascii="Calibri" w:eastAsia="Times New Roman" w:hAnsi="Calibri" w:cs="Times New Roman"/>
      <w:lang w:eastAsia="cs-CZ"/>
    </w:rPr>
  </w:style>
  <w:style w:type="paragraph" w:styleId="Zpat">
    <w:name w:val="footer"/>
    <w:basedOn w:val="Normln"/>
    <w:link w:val="ZpatChar"/>
    <w:uiPriority w:val="99"/>
    <w:unhideWhenUsed/>
    <w:rsid w:val="004B696A"/>
    <w:pPr>
      <w:tabs>
        <w:tab w:val="center" w:pos="4536"/>
        <w:tab w:val="right" w:pos="9072"/>
      </w:tabs>
      <w:spacing w:after="0" w:line="240" w:lineRule="auto"/>
    </w:pPr>
  </w:style>
  <w:style w:type="character" w:customStyle="1" w:styleId="ZpatChar">
    <w:name w:val="Zápatí Char"/>
    <w:basedOn w:val="Standardnpsmoodstavce"/>
    <w:link w:val="Zpat"/>
    <w:uiPriority w:val="99"/>
    <w:rsid w:val="004B696A"/>
    <w:rPr>
      <w:rFonts w:ascii="Calibri" w:eastAsia="Times New Roman" w:hAnsi="Calibri" w:cs="Times New Roman"/>
      <w:lang w:eastAsia="cs-CZ"/>
    </w:rPr>
  </w:style>
  <w:style w:type="character" w:styleId="Sledovanodkaz">
    <w:name w:val="FollowedHyperlink"/>
    <w:basedOn w:val="Standardnpsmoodstavce"/>
    <w:uiPriority w:val="99"/>
    <w:semiHidden/>
    <w:unhideWhenUsed/>
    <w:rsid w:val="00D334BA"/>
    <w:rPr>
      <w:color w:val="800080"/>
      <w:u w:val="single"/>
    </w:rPr>
  </w:style>
  <w:style w:type="paragraph" w:customStyle="1" w:styleId="xl65">
    <w:name w:val="xl65"/>
    <w:basedOn w:val="Normln"/>
    <w:rsid w:val="00D334BA"/>
    <w:pPr>
      <w:pBdr>
        <w:top w:val="single" w:sz="4" w:space="0" w:color="auto"/>
      </w:pBdr>
      <w:spacing w:before="100" w:beforeAutospacing="1" w:after="100" w:afterAutospacing="1" w:line="240" w:lineRule="auto"/>
      <w:jc w:val="center"/>
    </w:pPr>
    <w:rPr>
      <w:rFonts w:ascii="Times New Roman" w:hAnsi="Times New Roman"/>
      <w:i/>
      <w:iCs/>
      <w:szCs w:val="24"/>
    </w:rPr>
  </w:style>
  <w:style w:type="paragraph" w:customStyle="1" w:styleId="xl66">
    <w:name w:val="xl66"/>
    <w:basedOn w:val="Normln"/>
    <w:rsid w:val="00D334BA"/>
    <w:pPr>
      <w:pBdr>
        <w:top w:val="single" w:sz="4" w:space="0" w:color="auto"/>
        <w:right w:val="single" w:sz="4" w:space="0" w:color="auto"/>
      </w:pBdr>
      <w:spacing w:before="100" w:beforeAutospacing="1" w:after="100" w:afterAutospacing="1" w:line="240" w:lineRule="auto"/>
      <w:jc w:val="center"/>
    </w:pPr>
    <w:rPr>
      <w:rFonts w:ascii="Times New Roman" w:hAnsi="Times New Roman"/>
      <w:i/>
      <w:iCs/>
      <w:szCs w:val="24"/>
    </w:rPr>
  </w:style>
  <w:style w:type="paragraph" w:customStyle="1" w:styleId="xl67">
    <w:name w:val="xl67"/>
    <w:basedOn w:val="Normln"/>
    <w:rsid w:val="00D334BA"/>
    <w:pPr>
      <w:spacing w:before="100" w:beforeAutospacing="1" w:after="100" w:afterAutospacing="1" w:line="240" w:lineRule="auto"/>
    </w:pPr>
    <w:rPr>
      <w:rFonts w:ascii="Times New Roman" w:hAnsi="Times New Roman"/>
      <w:szCs w:val="24"/>
    </w:rPr>
  </w:style>
  <w:style w:type="paragraph" w:customStyle="1" w:styleId="xl68">
    <w:name w:val="xl68"/>
    <w:basedOn w:val="Normln"/>
    <w:rsid w:val="00D334BA"/>
    <w:pPr>
      <w:pBdr>
        <w:top w:val="single" w:sz="4" w:space="0" w:color="auto"/>
        <w:left w:val="single" w:sz="4" w:space="0" w:color="auto"/>
      </w:pBdr>
      <w:spacing w:before="100" w:beforeAutospacing="1" w:after="100" w:afterAutospacing="1" w:line="240" w:lineRule="auto"/>
      <w:jc w:val="center"/>
    </w:pPr>
    <w:rPr>
      <w:rFonts w:ascii="Times New Roman" w:hAnsi="Times New Roman"/>
      <w:i/>
      <w:iCs/>
      <w:szCs w:val="24"/>
    </w:rPr>
  </w:style>
  <w:style w:type="paragraph" w:customStyle="1" w:styleId="xl69">
    <w:name w:val="xl69"/>
    <w:basedOn w:val="Normln"/>
    <w:rsid w:val="00D334BA"/>
    <w:pPr>
      <w:pBdr>
        <w:left w:val="single" w:sz="4" w:space="0" w:color="auto"/>
      </w:pBdr>
      <w:spacing w:before="100" w:beforeAutospacing="1" w:after="100" w:afterAutospacing="1" w:line="240" w:lineRule="auto"/>
      <w:jc w:val="center"/>
    </w:pPr>
    <w:rPr>
      <w:rFonts w:ascii="Times New Roman" w:hAnsi="Times New Roman"/>
      <w:szCs w:val="24"/>
    </w:rPr>
  </w:style>
  <w:style w:type="paragraph" w:customStyle="1" w:styleId="xl70">
    <w:name w:val="xl70"/>
    <w:basedOn w:val="Normln"/>
    <w:rsid w:val="00D334BA"/>
    <w:pPr>
      <w:pBdr>
        <w:bottom w:val="single" w:sz="4" w:space="0" w:color="auto"/>
        <w:right w:val="single" w:sz="4" w:space="0" w:color="auto"/>
      </w:pBdr>
      <w:spacing w:before="100" w:beforeAutospacing="1" w:after="100" w:afterAutospacing="1" w:line="240" w:lineRule="auto"/>
      <w:jc w:val="center"/>
    </w:pPr>
    <w:rPr>
      <w:rFonts w:ascii="Times New Roman" w:hAnsi="Times New Roman"/>
      <w:szCs w:val="24"/>
    </w:rPr>
  </w:style>
  <w:style w:type="paragraph" w:customStyle="1" w:styleId="xl71">
    <w:name w:val="xl71"/>
    <w:basedOn w:val="Normln"/>
    <w:rsid w:val="00D33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2">
    <w:name w:val="xl72"/>
    <w:basedOn w:val="Normln"/>
    <w:rsid w:val="00D334BA"/>
    <w:pPr>
      <w:spacing w:before="100" w:beforeAutospacing="1" w:after="100" w:afterAutospacing="1" w:line="240" w:lineRule="auto"/>
      <w:jc w:val="center"/>
    </w:pPr>
    <w:rPr>
      <w:rFonts w:ascii="Times New Roman" w:hAnsi="Times New Roman"/>
      <w:szCs w:val="24"/>
    </w:rPr>
  </w:style>
  <w:style w:type="paragraph" w:customStyle="1" w:styleId="xl73">
    <w:name w:val="xl73"/>
    <w:basedOn w:val="Normln"/>
    <w:rsid w:val="00D334B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Cs w:val="24"/>
    </w:rPr>
  </w:style>
  <w:style w:type="paragraph" w:customStyle="1" w:styleId="xl74">
    <w:name w:val="xl74"/>
    <w:basedOn w:val="Normln"/>
    <w:rsid w:val="00D334BA"/>
    <w:pPr>
      <w:pBdr>
        <w:left w:val="single" w:sz="4" w:space="0" w:color="auto"/>
        <w:right w:val="single" w:sz="4" w:space="0" w:color="auto"/>
      </w:pBdr>
      <w:spacing w:before="100" w:beforeAutospacing="1" w:after="100" w:afterAutospacing="1" w:line="240" w:lineRule="auto"/>
      <w:jc w:val="center"/>
    </w:pPr>
    <w:rPr>
      <w:rFonts w:ascii="Times New Roman" w:hAnsi="Times New Roman"/>
      <w:szCs w:val="24"/>
    </w:rPr>
  </w:style>
  <w:style w:type="paragraph" w:customStyle="1" w:styleId="xl75">
    <w:name w:val="xl75"/>
    <w:basedOn w:val="Normln"/>
    <w:rsid w:val="00D334BA"/>
    <w:pPr>
      <w:spacing w:before="100" w:beforeAutospacing="1" w:after="100" w:afterAutospacing="1" w:line="240" w:lineRule="auto"/>
      <w:jc w:val="center"/>
    </w:pPr>
    <w:rPr>
      <w:rFonts w:ascii="Times New Roman" w:hAnsi="Times New Roman"/>
      <w:szCs w:val="24"/>
    </w:rPr>
  </w:style>
  <w:style w:type="paragraph" w:customStyle="1" w:styleId="xl76">
    <w:name w:val="xl76"/>
    <w:basedOn w:val="Normln"/>
    <w:rsid w:val="00D334BA"/>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line="240" w:lineRule="auto"/>
      <w:jc w:val="center"/>
    </w:pPr>
    <w:rPr>
      <w:rFonts w:ascii="Times New Roman" w:hAnsi="Times New Roman"/>
      <w:b/>
      <w:bCs/>
      <w:szCs w:val="24"/>
    </w:rPr>
  </w:style>
  <w:style w:type="paragraph" w:customStyle="1" w:styleId="xl77">
    <w:name w:val="xl77"/>
    <w:basedOn w:val="Normln"/>
    <w:rsid w:val="00D334BA"/>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line="240" w:lineRule="auto"/>
      <w:jc w:val="center"/>
    </w:pPr>
    <w:rPr>
      <w:rFonts w:ascii="Times New Roman" w:hAnsi="Times New Roman"/>
      <w:b/>
      <w:bCs/>
      <w:szCs w:val="24"/>
    </w:rPr>
  </w:style>
  <w:style w:type="paragraph" w:customStyle="1" w:styleId="xl78">
    <w:name w:val="xl78"/>
    <w:basedOn w:val="Normln"/>
    <w:rsid w:val="00D334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9">
    <w:name w:val="xl79"/>
    <w:basedOn w:val="Normln"/>
    <w:rsid w:val="00D334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80">
    <w:name w:val="xl80"/>
    <w:basedOn w:val="Normln"/>
    <w:rsid w:val="00D334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81">
    <w:name w:val="xl81"/>
    <w:basedOn w:val="Normln"/>
    <w:rsid w:val="00D334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82">
    <w:name w:val="xl82"/>
    <w:basedOn w:val="Normln"/>
    <w:rsid w:val="00D334BA"/>
    <w:pPr>
      <w:pBdr>
        <w:top w:val="single" w:sz="4" w:space="0" w:color="auto"/>
        <w:left w:val="single" w:sz="4" w:space="0" w:color="auto"/>
        <w:bottom w:val="single" w:sz="4" w:space="0" w:color="auto"/>
      </w:pBdr>
      <w:shd w:val="clear" w:color="DCE6F1" w:fill="DCE6F1"/>
      <w:spacing w:before="100" w:beforeAutospacing="1" w:after="100" w:afterAutospacing="1" w:line="240" w:lineRule="auto"/>
      <w:jc w:val="center"/>
    </w:pPr>
    <w:rPr>
      <w:rFonts w:ascii="Times New Roman" w:hAnsi="Times New Roman"/>
      <w:b/>
      <w:bCs/>
      <w:szCs w:val="24"/>
    </w:rPr>
  </w:style>
  <w:style w:type="paragraph" w:customStyle="1" w:styleId="xl83">
    <w:name w:val="xl83"/>
    <w:basedOn w:val="Normln"/>
    <w:rsid w:val="00D334BA"/>
    <w:pPr>
      <w:pBdr>
        <w:top w:val="single" w:sz="4" w:space="0" w:color="auto"/>
        <w:bottom w:val="single" w:sz="4" w:space="0" w:color="auto"/>
      </w:pBdr>
      <w:shd w:val="clear" w:color="DCE6F1" w:fill="DCE6F1"/>
      <w:spacing w:before="100" w:beforeAutospacing="1" w:after="100" w:afterAutospacing="1" w:line="240" w:lineRule="auto"/>
      <w:jc w:val="center"/>
    </w:pPr>
    <w:rPr>
      <w:rFonts w:ascii="Times New Roman" w:hAnsi="Times New Roman"/>
      <w:b/>
      <w:bCs/>
      <w:szCs w:val="24"/>
    </w:rPr>
  </w:style>
  <w:style w:type="paragraph" w:customStyle="1" w:styleId="xl84">
    <w:name w:val="xl84"/>
    <w:basedOn w:val="Normln"/>
    <w:rsid w:val="00D334BA"/>
    <w:pPr>
      <w:pBdr>
        <w:top w:val="single" w:sz="4" w:space="0" w:color="auto"/>
        <w:bottom w:val="single" w:sz="4" w:space="0" w:color="auto"/>
        <w:right w:val="single" w:sz="4" w:space="0" w:color="auto"/>
      </w:pBdr>
      <w:shd w:val="clear" w:color="DCE6F1" w:fill="DCE6F1"/>
      <w:spacing w:before="100" w:beforeAutospacing="1" w:after="100" w:afterAutospacing="1" w:line="240" w:lineRule="auto"/>
      <w:jc w:val="center"/>
    </w:pPr>
    <w:rPr>
      <w:rFonts w:ascii="Times New Roman" w:hAnsi="Times New Roman"/>
      <w:b/>
      <w:bCs/>
      <w:szCs w:val="24"/>
    </w:rPr>
  </w:style>
  <w:style w:type="paragraph" w:customStyle="1" w:styleId="xl85">
    <w:name w:val="xl85"/>
    <w:basedOn w:val="Normln"/>
    <w:rsid w:val="00D334BA"/>
    <w:pPr>
      <w:pBdr>
        <w:right w:val="single" w:sz="4" w:space="0" w:color="auto"/>
      </w:pBdr>
      <w:spacing w:before="100" w:beforeAutospacing="1" w:after="100" w:afterAutospacing="1" w:line="240" w:lineRule="auto"/>
      <w:jc w:val="center"/>
    </w:pPr>
    <w:rPr>
      <w:rFonts w:ascii="Times New Roman" w:hAnsi="Times New Roman"/>
      <w:szCs w:val="24"/>
    </w:rPr>
  </w:style>
  <w:style w:type="paragraph" w:customStyle="1" w:styleId="font5">
    <w:name w:val="font5"/>
    <w:basedOn w:val="Normln"/>
    <w:rsid w:val="002F4A96"/>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Normln"/>
    <w:rsid w:val="002F4A96"/>
    <w:pPr>
      <w:spacing w:before="100" w:beforeAutospacing="1" w:after="100" w:afterAutospacing="1" w:line="240" w:lineRule="auto"/>
    </w:pPr>
    <w:rPr>
      <w:rFonts w:ascii="Tahoma" w:hAnsi="Tahoma" w:cs="Tahoma"/>
      <w:b/>
      <w:bCs/>
      <w:color w:val="000000"/>
      <w:sz w:val="16"/>
      <w:szCs w:val="16"/>
    </w:rPr>
  </w:style>
  <w:style w:type="paragraph" w:styleId="Zkladntext">
    <w:name w:val="Body Text"/>
    <w:basedOn w:val="Normln"/>
    <w:link w:val="ZkladntextChar"/>
    <w:rsid w:val="008D4723"/>
    <w:pPr>
      <w:spacing w:after="120" w:line="240" w:lineRule="auto"/>
    </w:pPr>
    <w:rPr>
      <w:rFonts w:ascii="Times New Roman" w:hAnsi="Times New Roman"/>
      <w:szCs w:val="24"/>
    </w:rPr>
  </w:style>
  <w:style w:type="character" w:customStyle="1" w:styleId="ZkladntextChar">
    <w:name w:val="Základní text Char"/>
    <w:basedOn w:val="Standardnpsmoodstavce"/>
    <w:link w:val="Zkladntext"/>
    <w:rsid w:val="008D4723"/>
    <w:rPr>
      <w:rFonts w:ascii="Times New Roman" w:eastAsia="Times New Roman" w:hAnsi="Times New Roman" w:cs="Times New Roman"/>
      <w:sz w:val="24"/>
      <w:szCs w:val="24"/>
      <w:lang w:eastAsia="cs-CZ"/>
    </w:rPr>
  </w:style>
  <w:style w:type="paragraph" w:customStyle="1" w:styleId="Default">
    <w:name w:val="Default"/>
    <w:rsid w:val="00065064"/>
    <w:pPr>
      <w:autoSpaceDE w:val="0"/>
      <w:autoSpaceDN w:val="0"/>
      <w:adjustRightInd w:val="0"/>
      <w:spacing w:after="0" w:line="240" w:lineRule="auto"/>
    </w:pPr>
    <w:rPr>
      <w:rFonts w:ascii="Arial" w:hAnsi="Arial" w:cs="Arial"/>
      <w:color w:val="000000"/>
      <w:sz w:val="24"/>
      <w:szCs w:val="24"/>
    </w:rPr>
  </w:style>
  <w:style w:type="paragraph" w:customStyle="1" w:styleId="Styl8">
    <w:name w:val="Styl8"/>
    <w:basedOn w:val="Normln"/>
    <w:qFormat/>
    <w:rsid w:val="00A2545B"/>
    <w:pPr>
      <w:spacing w:after="0" w:line="240" w:lineRule="auto"/>
    </w:pPr>
    <w:rPr>
      <w:rFonts w:ascii="Times New Roman" w:hAnsi="Times New Roman"/>
      <w:szCs w:val="24"/>
    </w:rPr>
  </w:style>
  <w:style w:type="paragraph" w:styleId="Revize">
    <w:name w:val="Revision"/>
    <w:hidden/>
    <w:uiPriority w:val="99"/>
    <w:semiHidden/>
    <w:rsid w:val="005A5B0C"/>
    <w:pPr>
      <w:spacing w:after="0" w:line="240" w:lineRule="auto"/>
    </w:pPr>
    <w:rPr>
      <w:rFonts w:ascii="Calibri" w:eastAsia="Times New Roman" w:hAnsi="Calibri" w:cs="Times New Roman"/>
      <w:lang w:eastAsia="cs-CZ"/>
    </w:rPr>
  </w:style>
  <w:style w:type="paragraph" w:styleId="Bezmezer">
    <w:name w:val="No Spacing"/>
    <w:uiPriority w:val="1"/>
    <w:qFormat/>
    <w:rsid w:val="00A52992"/>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styleId="slodku">
    <w:name w:val="line number"/>
    <w:basedOn w:val="Standardnpsmoodstavce"/>
    <w:uiPriority w:val="99"/>
    <w:semiHidden/>
    <w:unhideWhenUsed/>
    <w:rsid w:val="008E6431"/>
  </w:style>
  <w:style w:type="character" w:customStyle="1" w:styleId="Nadpis3Char">
    <w:name w:val="Nadpis 3 Char"/>
    <w:basedOn w:val="Standardnpsmoodstavce"/>
    <w:link w:val="Nadpis3"/>
    <w:uiPriority w:val="9"/>
    <w:rsid w:val="006F08AB"/>
    <w:rPr>
      <w:rFonts w:asciiTheme="majorHAnsi" w:eastAsiaTheme="majorEastAsia" w:hAnsiTheme="majorHAnsi" w:cstheme="majorBidi"/>
      <w:color w:val="243F60" w:themeColor="accent1" w:themeShade="7F"/>
      <w:sz w:val="24"/>
      <w:szCs w:val="24"/>
      <w:lang w:eastAsia="cs-CZ"/>
    </w:rPr>
  </w:style>
  <w:style w:type="paragraph" w:styleId="Nadpisobsahu">
    <w:name w:val="TOC Heading"/>
    <w:basedOn w:val="Nadpis1"/>
    <w:next w:val="Normln"/>
    <w:uiPriority w:val="39"/>
    <w:unhideWhenUsed/>
    <w:qFormat/>
    <w:rsid w:val="006F08AB"/>
    <w:pPr>
      <w:numPr>
        <w:numId w:val="0"/>
      </w:numPr>
      <w:spacing w:before="240" w:line="259" w:lineRule="auto"/>
      <w:outlineLvl w:val="9"/>
    </w:pPr>
    <w:rPr>
      <w:rFonts w:asciiTheme="majorHAnsi" w:hAnsiTheme="majorHAnsi"/>
      <w:b w:val="0"/>
      <w:bCs w:val="0"/>
      <w:color w:val="365F91" w:themeColor="accent1" w:themeShade="BF"/>
      <w:sz w:val="32"/>
      <w:szCs w:val="32"/>
    </w:rPr>
  </w:style>
  <w:style w:type="paragraph" w:styleId="Obsah1">
    <w:name w:val="toc 1"/>
    <w:basedOn w:val="Normln"/>
    <w:next w:val="Normln"/>
    <w:autoRedefine/>
    <w:uiPriority w:val="39"/>
    <w:unhideWhenUsed/>
    <w:rsid w:val="0065207E"/>
    <w:pPr>
      <w:tabs>
        <w:tab w:val="left" w:pos="440"/>
        <w:tab w:val="right" w:leader="dot" w:pos="10194"/>
      </w:tabs>
      <w:spacing w:after="100"/>
    </w:pPr>
  </w:style>
  <w:style w:type="paragraph" w:styleId="Obsah2">
    <w:name w:val="toc 2"/>
    <w:basedOn w:val="Normln"/>
    <w:next w:val="Normln"/>
    <w:autoRedefine/>
    <w:uiPriority w:val="39"/>
    <w:unhideWhenUsed/>
    <w:rsid w:val="0065207E"/>
    <w:pPr>
      <w:tabs>
        <w:tab w:val="left" w:pos="880"/>
        <w:tab w:val="right" w:leader="dot" w:pos="10194"/>
      </w:tabs>
      <w:spacing w:after="100"/>
      <w:ind w:left="220"/>
    </w:pPr>
  </w:style>
  <w:style w:type="character" w:customStyle="1" w:styleId="Nadpis4Char">
    <w:name w:val="Nadpis 4 Char"/>
    <w:basedOn w:val="Standardnpsmoodstavce"/>
    <w:link w:val="Nadpis4"/>
    <w:uiPriority w:val="9"/>
    <w:semiHidden/>
    <w:rsid w:val="005075D9"/>
    <w:rPr>
      <w:rFonts w:asciiTheme="majorHAnsi" w:eastAsiaTheme="majorEastAsia" w:hAnsiTheme="majorHAnsi" w:cstheme="majorBidi"/>
      <w:i/>
      <w:iCs/>
      <w:color w:val="365F91" w:themeColor="accent1" w:themeShade="BF"/>
      <w:lang w:eastAsia="cs-CZ"/>
    </w:rPr>
  </w:style>
  <w:style w:type="character" w:customStyle="1" w:styleId="Nadpis5Char">
    <w:name w:val="Nadpis 5 Char"/>
    <w:basedOn w:val="Standardnpsmoodstavce"/>
    <w:link w:val="Nadpis5"/>
    <w:uiPriority w:val="9"/>
    <w:semiHidden/>
    <w:rsid w:val="005075D9"/>
    <w:rPr>
      <w:rFonts w:asciiTheme="majorHAnsi" w:eastAsiaTheme="majorEastAsia" w:hAnsiTheme="majorHAnsi" w:cstheme="majorBidi"/>
      <w:color w:val="365F91" w:themeColor="accent1" w:themeShade="BF"/>
      <w:lang w:eastAsia="cs-CZ"/>
    </w:rPr>
  </w:style>
  <w:style w:type="character" w:customStyle="1" w:styleId="Nadpis6Char">
    <w:name w:val="Nadpis 6 Char"/>
    <w:basedOn w:val="Standardnpsmoodstavce"/>
    <w:link w:val="Nadpis6"/>
    <w:uiPriority w:val="9"/>
    <w:rsid w:val="005075D9"/>
    <w:rPr>
      <w:rFonts w:asciiTheme="majorHAnsi" w:eastAsiaTheme="majorEastAsia" w:hAnsiTheme="majorHAnsi" w:cstheme="majorBidi"/>
      <w:color w:val="243F60" w:themeColor="accent1" w:themeShade="7F"/>
      <w:lang w:eastAsia="cs-CZ"/>
    </w:rPr>
  </w:style>
  <w:style w:type="character" w:customStyle="1" w:styleId="Nadpis7Char">
    <w:name w:val="Nadpis 7 Char"/>
    <w:basedOn w:val="Standardnpsmoodstavce"/>
    <w:link w:val="Nadpis7"/>
    <w:uiPriority w:val="9"/>
    <w:semiHidden/>
    <w:rsid w:val="005075D9"/>
    <w:rPr>
      <w:rFonts w:asciiTheme="majorHAnsi" w:eastAsiaTheme="majorEastAsia" w:hAnsiTheme="majorHAnsi" w:cstheme="majorBidi"/>
      <w:i/>
      <w:iCs/>
      <w:color w:val="243F60" w:themeColor="accent1" w:themeShade="7F"/>
      <w:lang w:eastAsia="cs-CZ"/>
    </w:rPr>
  </w:style>
  <w:style w:type="character" w:customStyle="1" w:styleId="Nadpis8Char">
    <w:name w:val="Nadpis 8 Char"/>
    <w:basedOn w:val="Standardnpsmoodstavce"/>
    <w:link w:val="Nadpis8"/>
    <w:uiPriority w:val="9"/>
    <w:semiHidden/>
    <w:rsid w:val="005075D9"/>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5075D9"/>
    <w:rPr>
      <w:rFonts w:asciiTheme="majorHAnsi" w:eastAsiaTheme="majorEastAsia" w:hAnsiTheme="majorHAnsi" w:cstheme="majorBidi"/>
      <w:i/>
      <w:iCs/>
      <w:color w:val="272727" w:themeColor="text1" w:themeTint="D8"/>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6928">
      <w:bodyDiv w:val="1"/>
      <w:marLeft w:val="0"/>
      <w:marRight w:val="0"/>
      <w:marTop w:val="0"/>
      <w:marBottom w:val="0"/>
      <w:divBdr>
        <w:top w:val="none" w:sz="0" w:space="0" w:color="auto"/>
        <w:left w:val="none" w:sz="0" w:space="0" w:color="auto"/>
        <w:bottom w:val="none" w:sz="0" w:space="0" w:color="auto"/>
        <w:right w:val="none" w:sz="0" w:space="0" w:color="auto"/>
      </w:divBdr>
    </w:div>
    <w:div w:id="107773625">
      <w:bodyDiv w:val="1"/>
      <w:marLeft w:val="0"/>
      <w:marRight w:val="0"/>
      <w:marTop w:val="0"/>
      <w:marBottom w:val="0"/>
      <w:divBdr>
        <w:top w:val="none" w:sz="0" w:space="0" w:color="auto"/>
        <w:left w:val="none" w:sz="0" w:space="0" w:color="auto"/>
        <w:bottom w:val="none" w:sz="0" w:space="0" w:color="auto"/>
        <w:right w:val="none" w:sz="0" w:space="0" w:color="auto"/>
      </w:divBdr>
      <w:divsChild>
        <w:div w:id="830412108">
          <w:marLeft w:val="0"/>
          <w:marRight w:val="0"/>
          <w:marTop w:val="0"/>
          <w:marBottom w:val="0"/>
          <w:divBdr>
            <w:top w:val="none" w:sz="0" w:space="0" w:color="auto"/>
            <w:left w:val="none" w:sz="0" w:space="0" w:color="auto"/>
            <w:bottom w:val="none" w:sz="0" w:space="0" w:color="auto"/>
            <w:right w:val="none" w:sz="0" w:space="0" w:color="auto"/>
          </w:divBdr>
          <w:divsChild>
            <w:div w:id="1322462292">
              <w:marLeft w:val="0"/>
              <w:marRight w:val="0"/>
              <w:marTop w:val="0"/>
              <w:marBottom w:val="0"/>
              <w:divBdr>
                <w:top w:val="none" w:sz="0" w:space="0" w:color="auto"/>
                <w:left w:val="none" w:sz="0" w:space="0" w:color="auto"/>
                <w:bottom w:val="none" w:sz="0" w:space="0" w:color="auto"/>
                <w:right w:val="none" w:sz="0" w:space="0" w:color="auto"/>
              </w:divBdr>
              <w:divsChild>
                <w:div w:id="1831293746">
                  <w:marLeft w:val="0"/>
                  <w:marRight w:val="0"/>
                  <w:marTop w:val="0"/>
                  <w:marBottom w:val="0"/>
                  <w:divBdr>
                    <w:top w:val="none" w:sz="0" w:space="0" w:color="auto"/>
                    <w:left w:val="none" w:sz="0" w:space="0" w:color="auto"/>
                    <w:bottom w:val="none" w:sz="0" w:space="0" w:color="auto"/>
                    <w:right w:val="none" w:sz="0" w:space="0" w:color="auto"/>
                  </w:divBdr>
                  <w:divsChild>
                    <w:div w:id="1826161830">
                      <w:marLeft w:val="0"/>
                      <w:marRight w:val="0"/>
                      <w:marTop w:val="0"/>
                      <w:marBottom w:val="0"/>
                      <w:divBdr>
                        <w:top w:val="none" w:sz="0" w:space="0" w:color="auto"/>
                        <w:left w:val="none" w:sz="0" w:space="0" w:color="auto"/>
                        <w:bottom w:val="none" w:sz="0" w:space="0" w:color="auto"/>
                        <w:right w:val="none" w:sz="0" w:space="0" w:color="auto"/>
                      </w:divBdr>
                      <w:divsChild>
                        <w:div w:id="1472869416">
                          <w:marLeft w:val="0"/>
                          <w:marRight w:val="0"/>
                          <w:marTop w:val="0"/>
                          <w:marBottom w:val="0"/>
                          <w:divBdr>
                            <w:top w:val="none" w:sz="0" w:space="0" w:color="auto"/>
                            <w:left w:val="none" w:sz="0" w:space="0" w:color="auto"/>
                            <w:bottom w:val="none" w:sz="0" w:space="0" w:color="auto"/>
                            <w:right w:val="none" w:sz="0" w:space="0" w:color="auto"/>
                          </w:divBdr>
                          <w:divsChild>
                            <w:div w:id="128791718">
                              <w:marLeft w:val="0"/>
                              <w:marRight w:val="0"/>
                              <w:marTop w:val="0"/>
                              <w:marBottom w:val="0"/>
                              <w:divBdr>
                                <w:top w:val="none" w:sz="0" w:space="0" w:color="auto"/>
                                <w:left w:val="none" w:sz="0" w:space="0" w:color="auto"/>
                                <w:bottom w:val="none" w:sz="0" w:space="0" w:color="auto"/>
                                <w:right w:val="none" w:sz="0" w:space="0" w:color="auto"/>
                              </w:divBdr>
                              <w:divsChild>
                                <w:div w:id="21256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32897">
      <w:bodyDiv w:val="1"/>
      <w:marLeft w:val="0"/>
      <w:marRight w:val="0"/>
      <w:marTop w:val="0"/>
      <w:marBottom w:val="0"/>
      <w:divBdr>
        <w:top w:val="none" w:sz="0" w:space="0" w:color="auto"/>
        <w:left w:val="none" w:sz="0" w:space="0" w:color="auto"/>
        <w:bottom w:val="none" w:sz="0" w:space="0" w:color="auto"/>
        <w:right w:val="none" w:sz="0" w:space="0" w:color="auto"/>
      </w:divBdr>
    </w:div>
    <w:div w:id="146750534">
      <w:bodyDiv w:val="1"/>
      <w:marLeft w:val="0"/>
      <w:marRight w:val="0"/>
      <w:marTop w:val="0"/>
      <w:marBottom w:val="0"/>
      <w:divBdr>
        <w:top w:val="none" w:sz="0" w:space="0" w:color="auto"/>
        <w:left w:val="none" w:sz="0" w:space="0" w:color="auto"/>
        <w:bottom w:val="none" w:sz="0" w:space="0" w:color="auto"/>
        <w:right w:val="none" w:sz="0" w:space="0" w:color="auto"/>
      </w:divBdr>
    </w:div>
    <w:div w:id="191194701">
      <w:bodyDiv w:val="1"/>
      <w:marLeft w:val="0"/>
      <w:marRight w:val="0"/>
      <w:marTop w:val="0"/>
      <w:marBottom w:val="0"/>
      <w:divBdr>
        <w:top w:val="none" w:sz="0" w:space="0" w:color="auto"/>
        <w:left w:val="none" w:sz="0" w:space="0" w:color="auto"/>
        <w:bottom w:val="none" w:sz="0" w:space="0" w:color="auto"/>
        <w:right w:val="none" w:sz="0" w:space="0" w:color="auto"/>
      </w:divBdr>
    </w:div>
    <w:div w:id="195968984">
      <w:bodyDiv w:val="1"/>
      <w:marLeft w:val="0"/>
      <w:marRight w:val="0"/>
      <w:marTop w:val="0"/>
      <w:marBottom w:val="0"/>
      <w:divBdr>
        <w:top w:val="none" w:sz="0" w:space="0" w:color="auto"/>
        <w:left w:val="none" w:sz="0" w:space="0" w:color="auto"/>
        <w:bottom w:val="none" w:sz="0" w:space="0" w:color="auto"/>
        <w:right w:val="none" w:sz="0" w:space="0" w:color="auto"/>
      </w:divBdr>
    </w:div>
    <w:div w:id="197855906">
      <w:bodyDiv w:val="1"/>
      <w:marLeft w:val="0"/>
      <w:marRight w:val="0"/>
      <w:marTop w:val="0"/>
      <w:marBottom w:val="0"/>
      <w:divBdr>
        <w:top w:val="none" w:sz="0" w:space="0" w:color="auto"/>
        <w:left w:val="none" w:sz="0" w:space="0" w:color="auto"/>
        <w:bottom w:val="none" w:sz="0" w:space="0" w:color="auto"/>
        <w:right w:val="none" w:sz="0" w:space="0" w:color="auto"/>
      </w:divBdr>
    </w:div>
    <w:div w:id="313994828">
      <w:bodyDiv w:val="1"/>
      <w:marLeft w:val="0"/>
      <w:marRight w:val="0"/>
      <w:marTop w:val="0"/>
      <w:marBottom w:val="0"/>
      <w:divBdr>
        <w:top w:val="none" w:sz="0" w:space="0" w:color="auto"/>
        <w:left w:val="none" w:sz="0" w:space="0" w:color="auto"/>
        <w:bottom w:val="none" w:sz="0" w:space="0" w:color="auto"/>
        <w:right w:val="none" w:sz="0" w:space="0" w:color="auto"/>
      </w:divBdr>
    </w:div>
    <w:div w:id="320735646">
      <w:bodyDiv w:val="1"/>
      <w:marLeft w:val="0"/>
      <w:marRight w:val="0"/>
      <w:marTop w:val="0"/>
      <w:marBottom w:val="0"/>
      <w:divBdr>
        <w:top w:val="none" w:sz="0" w:space="0" w:color="auto"/>
        <w:left w:val="none" w:sz="0" w:space="0" w:color="auto"/>
        <w:bottom w:val="none" w:sz="0" w:space="0" w:color="auto"/>
        <w:right w:val="none" w:sz="0" w:space="0" w:color="auto"/>
      </w:divBdr>
    </w:div>
    <w:div w:id="334386922">
      <w:bodyDiv w:val="1"/>
      <w:marLeft w:val="0"/>
      <w:marRight w:val="0"/>
      <w:marTop w:val="0"/>
      <w:marBottom w:val="0"/>
      <w:divBdr>
        <w:top w:val="none" w:sz="0" w:space="0" w:color="auto"/>
        <w:left w:val="none" w:sz="0" w:space="0" w:color="auto"/>
        <w:bottom w:val="none" w:sz="0" w:space="0" w:color="auto"/>
        <w:right w:val="none" w:sz="0" w:space="0" w:color="auto"/>
      </w:divBdr>
    </w:div>
    <w:div w:id="368917795">
      <w:bodyDiv w:val="1"/>
      <w:marLeft w:val="0"/>
      <w:marRight w:val="0"/>
      <w:marTop w:val="0"/>
      <w:marBottom w:val="0"/>
      <w:divBdr>
        <w:top w:val="none" w:sz="0" w:space="0" w:color="auto"/>
        <w:left w:val="none" w:sz="0" w:space="0" w:color="auto"/>
        <w:bottom w:val="none" w:sz="0" w:space="0" w:color="auto"/>
        <w:right w:val="none" w:sz="0" w:space="0" w:color="auto"/>
      </w:divBdr>
    </w:div>
    <w:div w:id="375395266">
      <w:bodyDiv w:val="1"/>
      <w:marLeft w:val="0"/>
      <w:marRight w:val="0"/>
      <w:marTop w:val="0"/>
      <w:marBottom w:val="0"/>
      <w:divBdr>
        <w:top w:val="none" w:sz="0" w:space="0" w:color="auto"/>
        <w:left w:val="none" w:sz="0" w:space="0" w:color="auto"/>
        <w:bottom w:val="none" w:sz="0" w:space="0" w:color="auto"/>
        <w:right w:val="none" w:sz="0" w:space="0" w:color="auto"/>
      </w:divBdr>
    </w:div>
    <w:div w:id="475420910">
      <w:bodyDiv w:val="1"/>
      <w:marLeft w:val="0"/>
      <w:marRight w:val="0"/>
      <w:marTop w:val="0"/>
      <w:marBottom w:val="0"/>
      <w:divBdr>
        <w:top w:val="none" w:sz="0" w:space="0" w:color="auto"/>
        <w:left w:val="none" w:sz="0" w:space="0" w:color="auto"/>
        <w:bottom w:val="none" w:sz="0" w:space="0" w:color="auto"/>
        <w:right w:val="none" w:sz="0" w:space="0" w:color="auto"/>
      </w:divBdr>
    </w:div>
    <w:div w:id="477648159">
      <w:bodyDiv w:val="1"/>
      <w:marLeft w:val="0"/>
      <w:marRight w:val="0"/>
      <w:marTop w:val="0"/>
      <w:marBottom w:val="0"/>
      <w:divBdr>
        <w:top w:val="none" w:sz="0" w:space="0" w:color="auto"/>
        <w:left w:val="none" w:sz="0" w:space="0" w:color="auto"/>
        <w:bottom w:val="none" w:sz="0" w:space="0" w:color="auto"/>
        <w:right w:val="none" w:sz="0" w:space="0" w:color="auto"/>
      </w:divBdr>
    </w:div>
    <w:div w:id="494538158">
      <w:bodyDiv w:val="1"/>
      <w:marLeft w:val="0"/>
      <w:marRight w:val="0"/>
      <w:marTop w:val="0"/>
      <w:marBottom w:val="0"/>
      <w:divBdr>
        <w:top w:val="none" w:sz="0" w:space="0" w:color="auto"/>
        <w:left w:val="none" w:sz="0" w:space="0" w:color="auto"/>
        <w:bottom w:val="none" w:sz="0" w:space="0" w:color="auto"/>
        <w:right w:val="none" w:sz="0" w:space="0" w:color="auto"/>
      </w:divBdr>
    </w:div>
    <w:div w:id="553850198">
      <w:bodyDiv w:val="1"/>
      <w:marLeft w:val="0"/>
      <w:marRight w:val="0"/>
      <w:marTop w:val="0"/>
      <w:marBottom w:val="0"/>
      <w:divBdr>
        <w:top w:val="none" w:sz="0" w:space="0" w:color="auto"/>
        <w:left w:val="none" w:sz="0" w:space="0" w:color="auto"/>
        <w:bottom w:val="none" w:sz="0" w:space="0" w:color="auto"/>
        <w:right w:val="none" w:sz="0" w:space="0" w:color="auto"/>
      </w:divBdr>
    </w:div>
    <w:div w:id="554243215">
      <w:bodyDiv w:val="1"/>
      <w:marLeft w:val="0"/>
      <w:marRight w:val="0"/>
      <w:marTop w:val="0"/>
      <w:marBottom w:val="0"/>
      <w:divBdr>
        <w:top w:val="none" w:sz="0" w:space="0" w:color="auto"/>
        <w:left w:val="none" w:sz="0" w:space="0" w:color="auto"/>
        <w:bottom w:val="none" w:sz="0" w:space="0" w:color="auto"/>
        <w:right w:val="none" w:sz="0" w:space="0" w:color="auto"/>
      </w:divBdr>
    </w:div>
    <w:div w:id="622804171">
      <w:bodyDiv w:val="1"/>
      <w:marLeft w:val="0"/>
      <w:marRight w:val="0"/>
      <w:marTop w:val="0"/>
      <w:marBottom w:val="0"/>
      <w:divBdr>
        <w:top w:val="none" w:sz="0" w:space="0" w:color="auto"/>
        <w:left w:val="none" w:sz="0" w:space="0" w:color="auto"/>
        <w:bottom w:val="none" w:sz="0" w:space="0" w:color="auto"/>
        <w:right w:val="none" w:sz="0" w:space="0" w:color="auto"/>
      </w:divBdr>
    </w:div>
    <w:div w:id="769202831">
      <w:bodyDiv w:val="1"/>
      <w:marLeft w:val="0"/>
      <w:marRight w:val="0"/>
      <w:marTop w:val="0"/>
      <w:marBottom w:val="0"/>
      <w:divBdr>
        <w:top w:val="none" w:sz="0" w:space="0" w:color="auto"/>
        <w:left w:val="none" w:sz="0" w:space="0" w:color="auto"/>
        <w:bottom w:val="none" w:sz="0" w:space="0" w:color="auto"/>
        <w:right w:val="none" w:sz="0" w:space="0" w:color="auto"/>
      </w:divBdr>
    </w:div>
    <w:div w:id="791049436">
      <w:bodyDiv w:val="1"/>
      <w:marLeft w:val="0"/>
      <w:marRight w:val="0"/>
      <w:marTop w:val="0"/>
      <w:marBottom w:val="0"/>
      <w:divBdr>
        <w:top w:val="none" w:sz="0" w:space="0" w:color="auto"/>
        <w:left w:val="none" w:sz="0" w:space="0" w:color="auto"/>
        <w:bottom w:val="none" w:sz="0" w:space="0" w:color="auto"/>
        <w:right w:val="none" w:sz="0" w:space="0" w:color="auto"/>
      </w:divBdr>
    </w:div>
    <w:div w:id="821963749">
      <w:bodyDiv w:val="1"/>
      <w:marLeft w:val="0"/>
      <w:marRight w:val="0"/>
      <w:marTop w:val="0"/>
      <w:marBottom w:val="0"/>
      <w:divBdr>
        <w:top w:val="none" w:sz="0" w:space="0" w:color="auto"/>
        <w:left w:val="none" w:sz="0" w:space="0" w:color="auto"/>
        <w:bottom w:val="none" w:sz="0" w:space="0" w:color="auto"/>
        <w:right w:val="none" w:sz="0" w:space="0" w:color="auto"/>
      </w:divBdr>
    </w:div>
    <w:div w:id="826437875">
      <w:bodyDiv w:val="1"/>
      <w:marLeft w:val="0"/>
      <w:marRight w:val="0"/>
      <w:marTop w:val="0"/>
      <w:marBottom w:val="0"/>
      <w:divBdr>
        <w:top w:val="none" w:sz="0" w:space="0" w:color="auto"/>
        <w:left w:val="none" w:sz="0" w:space="0" w:color="auto"/>
        <w:bottom w:val="none" w:sz="0" w:space="0" w:color="auto"/>
        <w:right w:val="none" w:sz="0" w:space="0" w:color="auto"/>
      </w:divBdr>
    </w:div>
    <w:div w:id="940071468">
      <w:bodyDiv w:val="1"/>
      <w:marLeft w:val="0"/>
      <w:marRight w:val="0"/>
      <w:marTop w:val="0"/>
      <w:marBottom w:val="0"/>
      <w:divBdr>
        <w:top w:val="none" w:sz="0" w:space="0" w:color="auto"/>
        <w:left w:val="none" w:sz="0" w:space="0" w:color="auto"/>
        <w:bottom w:val="none" w:sz="0" w:space="0" w:color="auto"/>
        <w:right w:val="none" w:sz="0" w:space="0" w:color="auto"/>
      </w:divBdr>
    </w:div>
    <w:div w:id="996616715">
      <w:bodyDiv w:val="1"/>
      <w:marLeft w:val="0"/>
      <w:marRight w:val="0"/>
      <w:marTop w:val="0"/>
      <w:marBottom w:val="0"/>
      <w:divBdr>
        <w:top w:val="none" w:sz="0" w:space="0" w:color="auto"/>
        <w:left w:val="none" w:sz="0" w:space="0" w:color="auto"/>
        <w:bottom w:val="none" w:sz="0" w:space="0" w:color="auto"/>
        <w:right w:val="none" w:sz="0" w:space="0" w:color="auto"/>
      </w:divBdr>
    </w:div>
    <w:div w:id="1003512171">
      <w:bodyDiv w:val="1"/>
      <w:marLeft w:val="0"/>
      <w:marRight w:val="0"/>
      <w:marTop w:val="0"/>
      <w:marBottom w:val="0"/>
      <w:divBdr>
        <w:top w:val="none" w:sz="0" w:space="0" w:color="auto"/>
        <w:left w:val="none" w:sz="0" w:space="0" w:color="auto"/>
        <w:bottom w:val="none" w:sz="0" w:space="0" w:color="auto"/>
        <w:right w:val="none" w:sz="0" w:space="0" w:color="auto"/>
      </w:divBdr>
    </w:div>
    <w:div w:id="1023439311">
      <w:bodyDiv w:val="1"/>
      <w:marLeft w:val="0"/>
      <w:marRight w:val="0"/>
      <w:marTop w:val="0"/>
      <w:marBottom w:val="0"/>
      <w:divBdr>
        <w:top w:val="none" w:sz="0" w:space="0" w:color="auto"/>
        <w:left w:val="none" w:sz="0" w:space="0" w:color="auto"/>
        <w:bottom w:val="none" w:sz="0" w:space="0" w:color="auto"/>
        <w:right w:val="none" w:sz="0" w:space="0" w:color="auto"/>
      </w:divBdr>
    </w:div>
    <w:div w:id="1089160707">
      <w:bodyDiv w:val="1"/>
      <w:marLeft w:val="0"/>
      <w:marRight w:val="0"/>
      <w:marTop w:val="0"/>
      <w:marBottom w:val="0"/>
      <w:divBdr>
        <w:top w:val="none" w:sz="0" w:space="0" w:color="auto"/>
        <w:left w:val="none" w:sz="0" w:space="0" w:color="auto"/>
        <w:bottom w:val="none" w:sz="0" w:space="0" w:color="auto"/>
        <w:right w:val="none" w:sz="0" w:space="0" w:color="auto"/>
      </w:divBdr>
    </w:div>
    <w:div w:id="1247610114">
      <w:bodyDiv w:val="1"/>
      <w:marLeft w:val="0"/>
      <w:marRight w:val="0"/>
      <w:marTop w:val="0"/>
      <w:marBottom w:val="0"/>
      <w:divBdr>
        <w:top w:val="none" w:sz="0" w:space="0" w:color="auto"/>
        <w:left w:val="none" w:sz="0" w:space="0" w:color="auto"/>
        <w:bottom w:val="none" w:sz="0" w:space="0" w:color="auto"/>
        <w:right w:val="none" w:sz="0" w:space="0" w:color="auto"/>
      </w:divBdr>
    </w:div>
    <w:div w:id="1251498668">
      <w:bodyDiv w:val="1"/>
      <w:marLeft w:val="0"/>
      <w:marRight w:val="0"/>
      <w:marTop w:val="0"/>
      <w:marBottom w:val="0"/>
      <w:divBdr>
        <w:top w:val="none" w:sz="0" w:space="0" w:color="auto"/>
        <w:left w:val="none" w:sz="0" w:space="0" w:color="auto"/>
        <w:bottom w:val="none" w:sz="0" w:space="0" w:color="auto"/>
        <w:right w:val="none" w:sz="0" w:space="0" w:color="auto"/>
      </w:divBdr>
    </w:div>
    <w:div w:id="1282685520">
      <w:bodyDiv w:val="1"/>
      <w:marLeft w:val="0"/>
      <w:marRight w:val="0"/>
      <w:marTop w:val="0"/>
      <w:marBottom w:val="0"/>
      <w:divBdr>
        <w:top w:val="none" w:sz="0" w:space="0" w:color="auto"/>
        <w:left w:val="none" w:sz="0" w:space="0" w:color="auto"/>
        <w:bottom w:val="none" w:sz="0" w:space="0" w:color="auto"/>
        <w:right w:val="none" w:sz="0" w:space="0" w:color="auto"/>
      </w:divBdr>
    </w:div>
    <w:div w:id="1310014763">
      <w:bodyDiv w:val="1"/>
      <w:marLeft w:val="0"/>
      <w:marRight w:val="0"/>
      <w:marTop w:val="0"/>
      <w:marBottom w:val="0"/>
      <w:divBdr>
        <w:top w:val="none" w:sz="0" w:space="0" w:color="auto"/>
        <w:left w:val="none" w:sz="0" w:space="0" w:color="auto"/>
        <w:bottom w:val="none" w:sz="0" w:space="0" w:color="auto"/>
        <w:right w:val="none" w:sz="0" w:space="0" w:color="auto"/>
      </w:divBdr>
    </w:div>
    <w:div w:id="1314287969">
      <w:bodyDiv w:val="1"/>
      <w:marLeft w:val="0"/>
      <w:marRight w:val="0"/>
      <w:marTop w:val="0"/>
      <w:marBottom w:val="0"/>
      <w:divBdr>
        <w:top w:val="none" w:sz="0" w:space="0" w:color="auto"/>
        <w:left w:val="none" w:sz="0" w:space="0" w:color="auto"/>
        <w:bottom w:val="none" w:sz="0" w:space="0" w:color="auto"/>
        <w:right w:val="none" w:sz="0" w:space="0" w:color="auto"/>
      </w:divBdr>
    </w:div>
    <w:div w:id="1328752216">
      <w:bodyDiv w:val="1"/>
      <w:marLeft w:val="0"/>
      <w:marRight w:val="0"/>
      <w:marTop w:val="0"/>
      <w:marBottom w:val="0"/>
      <w:divBdr>
        <w:top w:val="none" w:sz="0" w:space="0" w:color="auto"/>
        <w:left w:val="none" w:sz="0" w:space="0" w:color="auto"/>
        <w:bottom w:val="none" w:sz="0" w:space="0" w:color="auto"/>
        <w:right w:val="none" w:sz="0" w:space="0" w:color="auto"/>
      </w:divBdr>
    </w:div>
    <w:div w:id="1416240052">
      <w:bodyDiv w:val="1"/>
      <w:marLeft w:val="0"/>
      <w:marRight w:val="0"/>
      <w:marTop w:val="0"/>
      <w:marBottom w:val="0"/>
      <w:divBdr>
        <w:top w:val="none" w:sz="0" w:space="0" w:color="auto"/>
        <w:left w:val="none" w:sz="0" w:space="0" w:color="auto"/>
        <w:bottom w:val="none" w:sz="0" w:space="0" w:color="auto"/>
        <w:right w:val="none" w:sz="0" w:space="0" w:color="auto"/>
      </w:divBdr>
    </w:div>
    <w:div w:id="1417750525">
      <w:bodyDiv w:val="1"/>
      <w:marLeft w:val="0"/>
      <w:marRight w:val="0"/>
      <w:marTop w:val="0"/>
      <w:marBottom w:val="0"/>
      <w:divBdr>
        <w:top w:val="none" w:sz="0" w:space="0" w:color="auto"/>
        <w:left w:val="none" w:sz="0" w:space="0" w:color="auto"/>
        <w:bottom w:val="none" w:sz="0" w:space="0" w:color="auto"/>
        <w:right w:val="none" w:sz="0" w:space="0" w:color="auto"/>
      </w:divBdr>
    </w:div>
    <w:div w:id="1427186457">
      <w:bodyDiv w:val="1"/>
      <w:marLeft w:val="0"/>
      <w:marRight w:val="0"/>
      <w:marTop w:val="0"/>
      <w:marBottom w:val="0"/>
      <w:divBdr>
        <w:top w:val="none" w:sz="0" w:space="0" w:color="auto"/>
        <w:left w:val="none" w:sz="0" w:space="0" w:color="auto"/>
        <w:bottom w:val="none" w:sz="0" w:space="0" w:color="auto"/>
        <w:right w:val="none" w:sz="0" w:space="0" w:color="auto"/>
      </w:divBdr>
    </w:div>
    <w:div w:id="1430928978">
      <w:bodyDiv w:val="1"/>
      <w:marLeft w:val="0"/>
      <w:marRight w:val="0"/>
      <w:marTop w:val="0"/>
      <w:marBottom w:val="0"/>
      <w:divBdr>
        <w:top w:val="none" w:sz="0" w:space="0" w:color="auto"/>
        <w:left w:val="none" w:sz="0" w:space="0" w:color="auto"/>
        <w:bottom w:val="none" w:sz="0" w:space="0" w:color="auto"/>
        <w:right w:val="none" w:sz="0" w:space="0" w:color="auto"/>
      </w:divBdr>
    </w:div>
    <w:div w:id="1504659028">
      <w:bodyDiv w:val="1"/>
      <w:marLeft w:val="0"/>
      <w:marRight w:val="0"/>
      <w:marTop w:val="0"/>
      <w:marBottom w:val="0"/>
      <w:divBdr>
        <w:top w:val="none" w:sz="0" w:space="0" w:color="auto"/>
        <w:left w:val="none" w:sz="0" w:space="0" w:color="auto"/>
        <w:bottom w:val="none" w:sz="0" w:space="0" w:color="auto"/>
        <w:right w:val="none" w:sz="0" w:space="0" w:color="auto"/>
      </w:divBdr>
    </w:div>
    <w:div w:id="1534491475">
      <w:bodyDiv w:val="1"/>
      <w:marLeft w:val="0"/>
      <w:marRight w:val="0"/>
      <w:marTop w:val="0"/>
      <w:marBottom w:val="0"/>
      <w:divBdr>
        <w:top w:val="none" w:sz="0" w:space="0" w:color="auto"/>
        <w:left w:val="none" w:sz="0" w:space="0" w:color="auto"/>
        <w:bottom w:val="none" w:sz="0" w:space="0" w:color="auto"/>
        <w:right w:val="none" w:sz="0" w:space="0" w:color="auto"/>
      </w:divBdr>
    </w:div>
    <w:div w:id="1593009136">
      <w:bodyDiv w:val="1"/>
      <w:marLeft w:val="0"/>
      <w:marRight w:val="0"/>
      <w:marTop w:val="0"/>
      <w:marBottom w:val="0"/>
      <w:divBdr>
        <w:top w:val="none" w:sz="0" w:space="0" w:color="auto"/>
        <w:left w:val="none" w:sz="0" w:space="0" w:color="auto"/>
        <w:bottom w:val="none" w:sz="0" w:space="0" w:color="auto"/>
        <w:right w:val="none" w:sz="0" w:space="0" w:color="auto"/>
      </w:divBdr>
    </w:div>
    <w:div w:id="1624772865">
      <w:bodyDiv w:val="1"/>
      <w:marLeft w:val="0"/>
      <w:marRight w:val="0"/>
      <w:marTop w:val="0"/>
      <w:marBottom w:val="0"/>
      <w:divBdr>
        <w:top w:val="none" w:sz="0" w:space="0" w:color="auto"/>
        <w:left w:val="none" w:sz="0" w:space="0" w:color="auto"/>
        <w:bottom w:val="none" w:sz="0" w:space="0" w:color="auto"/>
        <w:right w:val="none" w:sz="0" w:space="0" w:color="auto"/>
      </w:divBdr>
    </w:div>
    <w:div w:id="1625186474">
      <w:bodyDiv w:val="1"/>
      <w:marLeft w:val="0"/>
      <w:marRight w:val="0"/>
      <w:marTop w:val="0"/>
      <w:marBottom w:val="0"/>
      <w:divBdr>
        <w:top w:val="none" w:sz="0" w:space="0" w:color="auto"/>
        <w:left w:val="none" w:sz="0" w:space="0" w:color="auto"/>
        <w:bottom w:val="none" w:sz="0" w:space="0" w:color="auto"/>
        <w:right w:val="none" w:sz="0" w:space="0" w:color="auto"/>
      </w:divBdr>
    </w:div>
    <w:div w:id="1653635521">
      <w:bodyDiv w:val="1"/>
      <w:marLeft w:val="0"/>
      <w:marRight w:val="0"/>
      <w:marTop w:val="0"/>
      <w:marBottom w:val="0"/>
      <w:divBdr>
        <w:top w:val="none" w:sz="0" w:space="0" w:color="auto"/>
        <w:left w:val="none" w:sz="0" w:space="0" w:color="auto"/>
        <w:bottom w:val="none" w:sz="0" w:space="0" w:color="auto"/>
        <w:right w:val="none" w:sz="0" w:space="0" w:color="auto"/>
      </w:divBdr>
    </w:div>
    <w:div w:id="1698969140">
      <w:bodyDiv w:val="1"/>
      <w:marLeft w:val="0"/>
      <w:marRight w:val="0"/>
      <w:marTop w:val="0"/>
      <w:marBottom w:val="0"/>
      <w:divBdr>
        <w:top w:val="none" w:sz="0" w:space="0" w:color="auto"/>
        <w:left w:val="none" w:sz="0" w:space="0" w:color="auto"/>
        <w:bottom w:val="none" w:sz="0" w:space="0" w:color="auto"/>
        <w:right w:val="none" w:sz="0" w:space="0" w:color="auto"/>
      </w:divBdr>
    </w:div>
    <w:div w:id="1724329122">
      <w:bodyDiv w:val="1"/>
      <w:marLeft w:val="0"/>
      <w:marRight w:val="0"/>
      <w:marTop w:val="0"/>
      <w:marBottom w:val="0"/>
      <w:divBdr>
        <w:top w:val="none" w:sz="0" w:space="0" w:color="auto"/>
        <w:left w:val="none" w:sz="0" w:space="0" w:color="auto"/>
        <w:bottom w:val="none" w:sz="0" w:space="0" w:color="auto"/>
        <w:right w:val="none" w:sz="0" w:space="0" w:color="auto"/>
      </w:divBdr>
    </w:div>
    <w:div w:id="1755661029">
      <w:bodyDiv w:val="1"/>
      <w:marLeft w:val="0"/>
      <w:marRight w:val="0"/>
      <w:marTop w:val="0"/>
      <w:marBottom w:val="0"/>
      <w:divBdr>
        <w:top w:val="none" w:sz="0" w:space="0" w:color="auto"/>
        <w:left w:val="none" w:sz="0" w:space="0" w:color="auto"/>
        <w:bottom w:val="none" w:sz="0" w:space="0" w:color="auto"/>
        <w:right w:val="none" w:sz="0" w:space="0" w:color="auto"/>
      </w:divBdr>
    </w:div>
    <w:div w:id="1762794460">
      <w:bodyDiv w:val="1"/>
      <w:marLeft w:val="0"/>
      <w:marRight w:val="0"/>
      <w:marTop w:val="0"/>
      <w:marBottom w:val="0"/>
      <w:divBdr>
        <w:top w:val="none" w:sz="0" w:space="0" w:color="auto"/>
        <w:left w:val="none" w:sz="0" w:space="0" w:color="auto"/>
        <w:bottom w:val="none" w:sz="0" w:space="0" w:color="auto"/>
        <w:right w:val="none" w:sz="0" w:space="0" w:color="auto"/>
      </w:divBdr>
    </w:div>
    <w:div w:id="1783260862">
      <w:bodyDiv w:val="1"/>
      <w:marLeft w:val="0"/>
      <w:marRight w:val="0"/>
      <w:marTop w:val="0"/>
      <w:marBottom w:val="0"/>
      <w:divBdr>
        <w:top w:val="none" w:sz="0" w:space="0" w:color="auto"/>
        <w:left w:val="none" w:sz="0" w:space="0" w:color="auto"/>
        <w:bottom w:val="none" w:sz="0" w:space="0" w:color="auto"/>
        <w:right w:val="none" w:sz="0" w:space="0" w:color="auto"/>
      </w:divBdr>
    </w:div>
    <w:div w:id="1940988409">
      <w:bodyDiv w:val="1"/>
      <w:marLeft w:val="0"/>
      <w:marRight w:val="0"/>
      <w:marTop w:val="0"/>
      <w:marBottom w:val="0"/>
      <w:divBdr>
        <w:top w:val="none" w:sz="0" w:space="0" w:color="auto"/>
        <w:left w:val="none" w:sz="0" w:space="0" w:color="auto"/>
        <w:bottom w:val="none" w:sz="0" w:space="0" w:color="auto"/>
        <w:right w:val="none" w:sz="0" w:space="0" w:color="auto"/>
      </w:divBdr>
    </w:div>
    <w:div w:id="2008165779">
      <w:bodyDiv w:val="1"/>
      <w:marLeft w:val="0"/>
      <w:marRight w:val="0"/>
      <w:marTop w:val="0"/>
      <w:marBottom w:val="0"/>
      <w:divBdr>
        <w:top w:val="none" w:sz="0" w:space="0" w:color="auto"/>
        <w:left w:val="none" w:sz="0" w:space="0" w:color="auto"/>
        <w:bottom w:val="none" w:sz="0" w:space="0" w:color="auto"/>
        <w:right w:val="none" w:sz="0" w:space="0" w:color="auto"/>
      </w:divBdr>
    </w:div>
    <w:div w:id="2012098005">
      <w:bodyDiv w:val="1"/>
      <w:marLeft w:val="0"/>
      <w:marRight w:val="0"/>
      <w:marTop w:val="0"/>
      <w:marBottom w:val="0"/>
      <w:divBdr>
        <w:top w:val="none" w:sz="0" w:space="0" w:color="auto"/>
        <w:left w:val="none" w:sz="0" w:space="0" w:color="auto"/>
        <w:bottom w:val="none" w:sz="0" w:space="0" w:color="auto"/>
        <w:right w:val="none" w:sz="0" w:space="0" w:color="auto"/>
      </w:divBdr>
    </w:div>
    <w:div w:id="2026785683">
      <w:bodyDiv w:val="1"/>
      <w:marLeft w:val="0"/>
      <w:marRight w:val="0"/>
      <w:marTop w:val="0"/>
      <w:marBottom w:val="0"/>
      <w:divBdr>
        <w:top w:val="none" w:sz="0" w:space="0" w:color="auto"/>
        <w:left w:val="none" w:sz="0" w:space="0" w:color="auto"/>
        <w:bottom w:val="none" w:sz="0" w:space="0" w:color="auto"/>
        <w:right w:val="none" w:sz="0" w:space="0" w:color="auto"/>
      </w:divBdr>
    </w:div>
    <w:div w:id="2084140304">
      <w:bodyDiv w:val="1"/>
      <w:marLeft w:val="0"/>
      <w:marRight w:val="0"/>
      <w:marTop w:val="0"/>
      <w:marBottom w:val="0"/>
      <w:divBdr>
        <w:top w:val="none" w:sz="0" w:space="0" w:color="auto"/>
        <w:left w:val="none" w:sz="0" w:space="0" w:color="auto"/>
        <w:bottom w:val="none" w:sz="0" w:space="0" w:color="auto"/>
        <w:right w:val="none" w:sz="0" w:space="0" w:color="auto"/>
      </w:divBdr>
    </w:div>
    <w:div w:id="2096659571">
      <w:bodyDiv w:val="1"/>
      <w:marLeft w:val="0"/>
      <w:marRight w:val="0"/>
      <w:marTop w:val="0"/>
      <w:marBottom w:val="0"/>
      <w:divBdr>
        <w:top w:val="none" w:sz="0" w:space="0" w:color="auto"/>
        <w:left w:val="none" w:sz="0" w:space="0" w:color="auto"/>
        <w:bottom w:val="none" w:sz="0" w:space="0" w:color="auto"/>
        <w:right w:val="none" w:sz="0" w:space="0" w:color="auto"/>
      </w:divBdr>
    </w:div>
    <w:div w:id="2097361504">
      <w:bodyDiv w:val="1"/>
      <w:marLeft w:val="0"/>
      <w:marRight w:val="0"/>
      <w:marTop w:val="0"/>
      <w:marBottom w:val="0"/>
      <w:divBdr>
        <w:top w:val="none" w:sz="0" w:space="0" w:color="auto"/>
        <w:left w:val="none" w:sz="0" w:space="0" w:color="auto"/>
        <w:bottom w:val="none" w:sz="0" w:space="0" w:color="auto"/>
        <w:right w:val="none" w:sz="0" w:space="0" w:color="auto"/>
      </w:divBdr>
    </w:div>
    <w:div w:id="2133864500">
      <w:bodyDiv w:val="1"/>
      <w:marLeft w:val="0"/>
      <w:marRight w:val="0"/>
      <w:marTop w:val="0"/>
      <w:marBottom w:val="0"/>
      <w:divBdr>
        <w:top w:val="none" w:sz="0" w:space="0" w:color="auto"/>
        <w:left w:val="none" w:sz="0" w:space="0" w:color="auto"/>
        <w:bottom w:val="none" w:sz="0" w:space="0" w:color="auto"/>
        <w:right w:val="none" w:sz="0" w:space="0" w:color="auto"/>
      </w:divBdr>
    </w:div>
    <w:div w:id="21453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bs.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bs.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2FDF9-547C-4918-83C5-B56C3E63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10696</Words>
  <Characters>63110</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
    </vt:vector>
  </TitlesOfParts>
  <Company>mvcr</Company>
  <LinksUpToDate>false</LinksUpToDate>
  <CharactersWithSpaces>73659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Melša</dc:creator>
  <cp:lastModifiedBy>Petr Dimun</cp:lastModifiedBy>
  <cp:revision>2</cp:revision>
  <cp:lastPrinted>2019-03-05T11:15:00Z</cp:lastPrinted>
  <dcterms:created xsi:type="dcterms:W3CDTF">2019-03-06T05:52:00Z</dcterms:created>
  <dcterms:modified xsi:type="dcterms:W3CDTF">2019-03-06T05:52:00Z</dcterms:modified>
</cp:coreProperties>
</file>