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1DA" w:rsidRDefault="00CD51DA" w:rsidP="00446D61">
      <w:pPr>
        <w:ind w:firstLine="357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cs-CZ"/>
        </w:rPr>
      </w:pPr>
      <w:bookmarkStart w:id="0" w:name="_GoBack"/>
      <w:bookmarkEnd w:id="0"/>
    </w:p>
    <w:p w:rsidR="00CD51DA" w:rsidRDefault="00CD51DA" w:rsidP="00446D61">
      <w:pPr>
        <w:ind w:firstLine="357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cs-CZ"/>
        </w:rPr>
      </w:pPr>
    </w:p>
    <w:p w:rsidR="00CD51DA" w:rsidRDefault="00CD51DA" w:rsidP="00446D61">
      <w:pPr>
        <w:ind w:firstLine="357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cs-CZ"/>
        </w:rPr>
      </w:pPr>
    </w:p>
    <w:p w:rsidR="00CD51DA" w:rsidRDefault="00CD51DA" w:rsidP="00446D61">
      <w:pPr>
        <w:ind w:firstLine="357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cs-CZ"/>
        </w:rPr>
      </w:pPr>
    </w:p>
    <w:p w:rsidR="0050454D" w:rsidRPr="00CD51DA" w:rsidRDefault="0050454D" w:rsidP="00446D61">
      <w:pPr>
        <w:ind w:firstLine="357"/>
        <w:jc w:val="center"/>
        <w:rPr>
          <w:rFonts w:ascii="Times New Roman" w:hAnsi="Times New Roman"/>
          <w:b/>
          <w:sz w:val="40"/>
          <w:szCs w:val="40"/>
        </w:rPr>
      </w:pPr>
      <w:r w:rsidRPr="00CD51DA">
        <w:rPr>
          <w:rFonts w:ascii="Times New Roman" w:eastAsia="Times New Roman" w:hAnsi="Times New Roman"/>
          <w:b/>
          <w:bCs/>
          <w:sz w:val="40"/>
          <w:szCs w:val="40"/>
          <w:lang w:eastAsia="cs-CZ"/>
        </w:rPr>
        <w:t xml:space="preserve">Zpráva o realizaci energeticky úsporných opatření </w:t>
      </w:r>
      <w:r w:rsidR="006640B4">
        <w:rPr>
          <w:rFonts w:ascii="Times New Roman" w:eastAsia="Times New Roman" w:hAnsi="Times New Roman"/>
          <w:b/>
          <w:bCs/>
          <w:sz w:val="40"/>
          <w:szCs w:val="40"/>
          <w:lang w:eastAsia="cs-CZ"/>
        </w:rPr>
        <w:t>v </w:t>
      </w:r>
      <w:r w:rsidR="006640B4" w:rsidRPr="00CD51DA">
        <w:rPr>
          <w:rFonts w:ascii="Times New Roman" w:eastAsia="Times New Roman" w:hAnsi="Times New Roman"/>
          <w:b/>
          <w:bCs/>
          <w:sz w:val="40"/>
          <w:szCs w:val="40"/>
          <w:lang w:eastAsia="cs-CZ"/>
        </w:rPr>
        <w:t xml:space="preserve"> resortu Ministerstva spravedlnosti </w:t>
      </w:r>
      <w:r w:rsidRPr="00CD51DA">
        <w:rPr>
          <w:rFonts w:ascii="Times New Roman" w:eastAsia="Times New Roman" w:hAnsi="Times New Roman"/>
          <w:b/>
          <w:bCs/>
          <w:sz w:val="40"/>
          <w:szCs w:val="40"/>
          <w:lang w:eastAsia="cs-CZ"/>
        </w:rPr>
        <w:t>pro naplnění závazku vyplývajícího z čl</w:t>
      </w:r>
      <w:r w:rsidR="006640B4">
        <w:rPr>
          <w:rFonts w:ascii="Times New Roman" w:eastAsia="Times New Roman" w:hAnsi="Times New Roman"/>
          <w:b/>
          <w:bCs/>
          <w:sz w:val="40"/>
          <w:szCs w:val="40"/>
          <w:lang w:eastAsia="cs-CZ"/>
        </w:rPr>
        <w:t>ánku</w:t>
      </w:r>
      <w:r w:rsidRPr="00CD51DA">
        <w:rPr>
          <w:rFonts w:ascii="Times New Roman" w:eastAsia="Times New Roman" w:hAnsi="Times New Roman"/>
          <w:b/>
          <w:bCs/>
          <w:sz w:val="40"/>
          <w:szCs w:val="40"/>
          <w:lang w:eastAsia="cs-CZ"/>
        </w:rPr>
        <w:t xml:space="preserve"> 5 směrnice o energetické </w:t>
      </w:r>
      <w:r w:rsidR="006640B4">
        <w:rPr>
          <w:rFonts w:ascii="Times New Roman" w:eastAsia="Times New Roman" w:hAnsi="Times New Roman"/>
          <w:b/>
          <w:bCs/>
          <w:sz w:val="40"/>
          <w:szCs w:val="40"/>
          <w:lang w:eastAsia="cs-CZ"/>
        </w:rPr>
        <w:t xml:space="preserve">účinnosti </w:t>
      </w:r>
    </w:p>
    <w:p w:rsidR="00735DBF" w:rsidRPr="005D24BF" w:rsidRDefault="0050454D" w:rsidP="00446D61">
      <w:pPr>
        <w:numPr>
          <w:ilvl w:val="0"/>
          <w:numId w:val="9"/>
        </w:numPr>
        <w:tabs>
          <w:tab w:val="left" w:pos="426"/>
        </w:tabs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50454D">
        <w:rPr>
          <w:rFonts w:ascii="Times New Roman" w:eastAsia="Times New Roman" w:hAnsi="Times New Roman"/>
          <w:b/>
          <w:bCs/>
          <w:szCs w:val="24"/>
          <w:lang w:eastAsia="cs-CZ"/>
        </w:rPr>
        <w:br w:type="page"/>
      </w:r>
      <w:r w:rsidR="00735DBF" w:rsidRPr="005D24BF">
        <w:rPr>
          <w:rFonts w:ascii="Times New Roman" w:hAnsi="Times New Roman"/>
          <w:b/>
          <w:sz w:val="24"/>
          <w:szCs w:val="24"/>
        </w:rPr>
        <w:lastRenderedPageBreak/>
        <w:t>Důvod předložení</w:t>
      </w:r>
    </w:p>
    <w:p w:rsidR="00735DBF" w:rsidRPr="005D24BF" w:rsidRDefault="00735DBF" w:rsidP="00A24F14">
      <w:pPr>
        <w:spacing w:before="100" w:beforeAutospacing="1" w:after="100" w:afterAutospacing="1"/>
        <w:ind w:firstLine="357"/>
        <w:jc w:val="both"/>
        <w:rPr>
          <w:rFonts w:ascii="Times New Roman" w:hAnsi="Times New Roman"/>
          <w:sz w:val="24"/>
          <w:szCs w:val="24"/>
        </w:rPr>
      </w:pPr>
      <w:r w:rsidRPr="005D24BF">
        <w:rPr>
          <w:rFonts w:ascii="Times New Roman" w:hAnsi="Times New Roman"/>
          <w:sz w:val="24"/>
          <w:szCs w:val="24"/>
        </w:rPr>
        <w:t xml:space="preserve">Usnesením vlády ČR ze dne 5. června 2017 č. 430 byl Ministerstvu spravedlnosti uložen úkol předkládat každoročně do 30. června zprávu o realizaci energeticky úsporných opatření pro naplnění závazku vyplývající z článku 5. směrnice EP a Rady 2012/27/EU </w:t>
      </w:r>
      <w:r w:rsidR="0049626A">
        <w:rPr>
          <w:rFonts w:ascii="Times New Roman" w:hAnsi="Times New Roman"/>
          <w:sz w:val="24"/>
          <w:szCs w:val="24"/>
        </w:rPr>
        <w:t xml:space="preserve">o energetické účinnosti </w:t>
      </w:r>
      <w:r w:rsidRPr="005D24BF">
        <w:rPr>
          <w:rFonts w:ascii="Times New Roman" w:hAnsi="Times New Roman"/>
          <w:sz w:val="24"/>
          <w:szCs w:val="24"/>
        </w:rPr>
        <w:t>ze dne 25. 1</w:t>
      </w:r>
      <w:r w:rsidR="00A24F14">
        <w:rPr>
          <w:rFonts w:ascii="Times New Roman" w:hAnsi="Times New Roman"/>
          <w:sz w:val="24"/>
          <w:szCs w:val="24"/>
        </w:rPr>
        <w:t>0. 2012 o energetické účinnosti (dále jen „článek 5 EED“).</w:t>
      </w:r>
    </w:p>
    <w:p w:rsidR="00735DBF" w:rsidRPr="005D24BF" w:rsidRDefault="00735DBF" w:rsidP="00446D61">
      <w:pPr>
        <w:spacing w:before="100" w:beforeAutospacing="1" w:after="100" w:afterAutospacing="1"/>
        <w:ind w:firstLine="357"/>
        <w:jc w:val="both"/>
        <w:rPr>
          <w:rFonts w:ascii="Times New Roman" w:hAnsi="Times New Roman"/>
          <w:sz w:val="24"/>
          <w:szCs w:val="24"/>
        </w:rPr>
      </w:pPr>
      <w:r w:rsidRPr="005D24BF">
        <w:rPr>
          <w:rFonts w:ascii="Times New Roman" w:hAnsi="Times New Roman"/>
          <w:sz w:val="24"/>
          <w:szCs w:val="24"/>
        </w:rPr>
        <w:t xml:space="preserve">Závazek úspor organizačních složek v resortu Ministerstva spravedlnosti je </w:t>
      </w:r>
      <w:r w:rsidR="0049626A">
        <w:rPr>
          <w:rFonts w:ascii="Times New Roman" w:hAnsi="Times New Roman"/>
          <w:sz w:val="24"/>
          <w:szCs w:val="24"/>
        </w:rPr>
        <w:t>v důsledku</w:t>
      </w:r>
      <w:r w:rsidR="0049626A" w:rsidRPr="005D24BF">
        <w:rPr>
          <w:rFonts w:ascii="Times New Roman" w:hAnsi="Times New Roman"/>
          <w:sz w:val="24"/>
          <w:szCs w:val="24"/>
        </w:rPr>
        <w:t xml:space="preserve"> </w:t>
      </w:r>
      <w:r w:rsidRPr="005D24BF">
        <w:rPr>
          <w:rFonts w:ascii="Times New Roman" w:hAnsi="Times New Roman"/>
          <w:sz w:val="24"/>
          <w:szCs w:val="24"/>
        </w:rPr>
        <w:t>závazku Vězeňské služby ČR (dále jen VS</w:t>
      </w:r>
      <w:r w:rsidR="00FE6724">
        <w:rPr>
          <w:rFonts w:ascii="Times New Roman" w:hAnsi="Times New Roman"/>
          <w:sz w:val="24"/>
          <w:szCs w:val="24"/>
        </w:rPr>
        <w:t xml:space="preserve"> </w:t>
      </w:r>
      <w:r w:rsidRPr="005D24BF">
        <w:rPr>
          <w:rFonts w:ascii="Times New Roman" w:hAnsi="Times New Roman"/>
          <w:sz w:val="24"/>
          <w:szCs w:val="24"/>
        </w:rPr>
        <w:t>ČR) výrazně nejvyšším ze všech resortů</w:t>
      </w:r>
      <w:r w:rsidR="0049626A">
        <w:rPr>
          <w:rFonts w:ascii="Times New Roman" w:hAnsi="Times New Roman"/>
          <w:sz w:val="24"/>
          <w:szCs w:val="24"/>
        </w:rPr>
        <w:t xml:space="preserve"> dotčených povinností renovovat budovy nesplňující požadavky na energetickou náročnost budov</w:t>
      </w:r>
      <w:r w:rsidRPr="005D24BF">
        <w:rPr>
          <w:rFonts w:ascii="Times New Roman" w:hAnsi="Times New Roman"/>
          <w:sz w:val="24"/>
          <w:szCs w:val="24"/>
        </w:rPr>
        <w:t xml:space="preserve">. </w:t>
      </w:r>
      <w:r w:rsidR="0049626A">
        <w:rPr>
          <w:rFonts w:ascii="Times New Roman" w:hAnsi="Times New Roman"/>
          <w:sz w:val="24"/>
          <w:szCs w:val="24"/>
        </w:rPr>
        <w:t>Pro zajištění naplnění tohoto závazku byl v roce 2017 výše uvedeným usnesením vlády ČR ze dne 5. června č. 430</w:t>
      </w:r>
      <w:r w:rsidR="007F19EC">
        <w:rPr>
          <w:rFonts w:ascii="Times New Roman" w:hAnsi="Times New Roman"/>
          <w:sz w:val="24"/>
          <w:szCs w:val="24"/>
        </w:rPr>
        <w:t xml:space="preserve"> </w:t>
      </w:r>
      <w:r w:rsidRPr="005D24BF">
        <w:rPr>
          <w:rFonts w:ascii="Times New Roman" w:hAnsi="Times New Roman"/>
          <w:sz w:val="24"/>
          <w:szCs w:val="24"/>
        </w:rPr>
        <w:t>navýšen rozpočet výdajů kapitoly 336 – Ministerstvo spravedlnosti</w:t>
      </w:r>
      <w:r w:rsidR="0049626A">
        <w:rPr>
          <w:rFonts w:ascii="Times New Roman" w:hAnsi="Times New Roman"/>
          <w:sz w:val="24"/>
          <w:szCs w:val="24"/>
        </w:rPr>
        <w:t xml:space="preserve">. </w:t>
      </w:r>
      <w:r w:rsidR="007F19EC">
        <w:rPr>
          <w:rFonts w:ascii="Times New Roman" w:hAnsi="Times New Roman"/>
          <w:sz w:val="24"/>
          <w:szCs w:val="24"/>
        </w:rPr>
        <w:t xml:space="preserve">Předkládaný materiál má </w:t>
      </w:r>
      <w:r w:rsidR="0049626A">
        <w:rPr>
          <w:rFonts w:ascii="Times New Roman" w:hAnsi="Times New Roman"/>
          <w:sz w:val="24"/>
          <w:szCs w:val="24"/>
        </w:rPr>
        <w:t>informovat vládu ČR o využití těchto účelových prostředků ve vztahu k plnění závazku realizace úspor energie je</w:t>
      </w:r>
      <w:r w:rsidRPr="005D24BF">
        <w:rPr>
          <w:rFonts w:ascii="Times New Roman" w:hAnsi="Times New Roman"/>
          <w:sz w:val="24"/>
          <w:szCs w:val="24"/>
        </w:rPr>
        <w:t xml:space="preserve"> předkláda</w:t>
      </w:r>
      <w:r w:rsidR="00150302">
        <w:rPr>
          <w:rFonts w:ascii="Times New Roman" w:hAnsi="Times New Roman"/>
          <w:sz w:val="24"/>
          <w:szCs w:val="24"/>
        </w:rPr>
        <w:t xml:space="preserve">t </w:t>
      </w:r>
      <w:r w:rsidR="0049626A">
        <w:rPr>
          <w:rFonts w:ascii="Times New Roman" w:hAnsi="Times New Roman"/>
          <w:sz w:val="24"/>
          <w:szCs w:val="24"/>
        </w:rPr>
        <w:t>tento materiál</w:t>
      </w:r>
      <w:r w:rsidR="00150302">
        <w:rPr>
          <w:rFonts w:ascii="Times New Roman" w:hAnsi="Times New Roman"/>
          <w:sz w:val="24"/>
          <w:szCs w:val="24"/>
        </w:rPr>
        <w:t>.</w:t>
      </w:r>
    </w:p>
    <w:p w:rsidR="00752E19" w:rsidRPr="005D24BF" w:rsidRDefault="00752E19" w:rsidP="00446D61">
      <w:pPr>
        <w:numPr>
          <w:ilvl w:val="0"/>
          <w:numId w:val="9"/>
        </w:numPr>
        <w:ind w:firstLine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5D24B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</w:t>
      </w:r>
      <w:r w:rsidR="007D64EA" w:rsidRPr="005D24B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ězeňská služba </w:t>
      </w:r>
      <w:r w:rsidRPr="005D24B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ČR</w:t>
      </w:r>
    </w:p>
    <w:p w:rsidR="00446D61" w:rsidRDefault="00735DBF" w:rsidP="00446D61">
      <w:pPr>
        <w:tabs>
          <w:tab w:val="left" w:pos="426"/>
        </w:tabs>
        <w:spacing w:before="100" w:beforeAutospacing="1" w:after="100" w:afterAutospacing="1"/>
        <w:ind w:firstLine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5D24BF">
        <w:rPr>
          <w:rFonts w:ascii="Times New Roman" w:hAnsi="Times New Roman"/>
          <w:bCs/>
          <w:sz w:val="24"/>
          <w:szCs w:val="24"/>
        </w:rPr>
        <w:t xml:space="preserve">Ve „Zprávě o plnění Plánu rekonstrukce objektů v působnosti čl. 5 směrnice Evropského parlamentu a Rady 2012/27/EU ze dne 25. října 2012 o energetické účinnosti za rok 2017 a aktualizace výhledu naplňování závazku úspor energie v budovách ústředních institucí do roku 2020 s upřesněním potřebné alokace finančních prostředků k dosažení tohoto závazku“, kterou zpracovalo Ministerstvo průmyslu a obchodu a dne </w:t>
      </w:r>
      <w:r w:rsidR="007F19EC">
        <w:rPr>
          <w:rFonts w:ascii="Times New Roman" w:hAnsi="Times New Roman"/>
          <w:bCs/>
          <w:sz w:val="24"/>
          <w:szCs w:val="24"/>
        </w:rPr>
        <w:t>19</w:t>
      </w:r>
      <w:r w:rsidR="0046403F" w:rsidRPr="005D24BF">
        <w:rPr>
          <w:rFonts w:ascii="Times New Roman" w:hAnsi="Times New Roman"/>
          <w:bCs/>
          <w:sz w:val="24"/>
          <w:szCs w:val="24"/>
        </w:rPr>
        <w:t xml:space="preserve">. 6. </w:t>
      </w:r>
      <w:r w:rsidRPr="005D24BF">
        <w:rPr>
          <w:rFonts w:ascii="Times New Roman" w:hAnsi="Times New Roman"/>
          <w:bCs/>
          <w:sz w:val="24"/>
          <w:szCs w:val="24"/>
        </w:rPr>
        <w:t xml:space="preserve">2018 </w:t>
      </w:r>
      <w:r w:rsidR="007D64EA" w:rsidRPr="005D24BF">
        <w:rPr>
          <w:rFonts w:ascii="Times New Roman" w:hAnsi="Times New Roman"/>
          <w:bCs/>
          <w:sz w:val="24"/>
          <w:szCs w:val="24"/>
        </w:rPr>
        <w:t>projednala</w:t>
      </w:r>
      <w:r w:rsidR="0046403F" w:rsidRPr="005D24BF">
        <w:rPr>
          <w:rFonts w:ascii="Times New Roman" w:hAnsi="Times New Roman"/>
          <w:bCs/>
          <w:sz w:val="24"/>
          <w:szCs w:val="24"/>
        </w:rPr>
        <w:t xml:space="preserve"> vlá</w:t>
      </w:r>
      <w:r w:rsidR="007D64EA" w:rsidRPr="005D24BF">
        <w:rPr>
          <w:rFonts w:ascii="Times New Roman" w:hAnsi="Times New Roman"/>
          <w:bCs/>
          <w:sz w:val="24"/>
          <w:szCs w:val="24"/>
        </w:rPr>
        <w:t xml:space="preserve">da, byl </w:t>
      </w:r>
      <w:r w:rsidRPr="005D24BF">
        <w:rPr>
          <w:rFonts w:ascii="Times New Roman" w:hAnsi="Times New Roman"/>
          <w:bCs/>
          <w:sz w:val="24"/>
          <w:szCs w:val="24"/>
        </w:rPr>
        <w:t xml:space="preserve">po revizi dat o budovách upraven závazek úspor </w:t>
      </w:r>
      <w:r w:rsidR="0049626A">
        <w:rPr>
          <w:rFonts w:ascii="Times New Roman" w:hAnsi="Times New Roman"/>
          <w:bCs/>
          <w:sz w:val="24"/>
          <w:szCs w:val="24"/>
        </w:rPr>
        <w:t>z hodnoty 3</w:t>
      </w:r>
      <w:r w:rsidR="00133064">
        <w:rPr>
          <w:rFonts w:ascii="Times New Roman" w:hAnsi="Times New Roman"/>
          <w:bCs/>
          <w:sz w:val="24"/>
          <w:szCs w:val="24"/>
        </w:rPr>
        <w:t>6 813</w:t>
      </w:r>
      <w:r w:rsidR="0049626A">
        <w:rPr>
          <w:rFonts w:ascii="Times New Roman" w:hAnsi="Times New Roman"/>
          <w:bCs/>
          <w:sz w:val="24"/>
          <w:szCs w:val="24"/>
        </w:rPr>
        <w:t xml:space="preserve"> MW</w:t>
      </w:r>
      <w:r w:rsidR="00133064">
        <w:rPr>
          <w:rFonts w:ascii="Times New Roman" w:hAnsi="Times New Roman"/>
          <w:bCs/>
          <w:sz w:val="24"/>
          <w:szCs w:val="24"/>
        </w:rPr>
        <w:t>h</w:t>
      </w:r>
      <w:r w:rsidR="0049626A">
        <w:rPr>
          <w:rFonts w:ascii="Times New Roman" w:hAnsi="Times New Roman"/>
          <w:bCs/>
          <w:sz w:val="24"/>
          <w:szCs w:val="24"/>
        </w:rPr>
        <w:t xml:space="preserve"> za celé období 2014 – 2020 </w:t>
      </w:r>
      <w:r w:rsidRPr="005D24BF">
        <w:rPr>
          <w:rFonts w:ascii="Times New Roman" w:hAnsi="Times New Roman"/>
          <w:bCs/>
          <w:sz w:val="24"/>
          <w:szCs w:val="24"/>
        </w:rPr>
        <w:t xml:space="preserve">na hodnotu 17 042 MWh. </w:t>
      </w:r>
      <w:r w:rsidR="0049626A">
        <w:rPr>
          <w:rFonts w:ascii="Times New Roman" w:hAnsi="Times New Roman"/>
          <w:bCs/>
          <w:sz w:val="24"/>
          <w:szCs w:val="24"/>
        </w:rPr>
        <w:t>V rámci materiálu</w:t>
      </w:r>
      <w:r w:rsidR="007F19EC">
        <w:rPr>
          <w:rFonts w:ascii="Times New Roman" w:hAnsi="Times New Roman"/>
          <w:bCs/>
          <w:sz w:val="24"/>
          <w:szCs w:val="24"/>
        </w:rPr>
        <w:t xml:space="preserve"> Ministerstva průmyslu a obchodu</w:t>
      </w:r>
      <w:r w:rsidR="0049626A">
        <w:rPr>
          <w:rFonts w:ascii="Times New Roman" w:hAnsi="Times New Roman"/>
          <w:bCs/>
          <w:sz w:val="24"/>
          <w:szCs w:val="24"/>
        </w:rPr>
        <w:t xml:space="preserve"> jsou uvedeny informace o plánovaných projektech poskytnuté ze strany VS ČR, které by měly generovat snížení spotřeby energie ve výši 22 913 MWh.</w:t>
      </w:r>
      <w:r w:rsidR="00774F1D">
        <w:rPr>
          <w:rFonts w:ascii="Times New Roman" w:hAnsi="Times New Roman"/>
          <w:bCs/>
          <w:sz w:val="24"/>
          <w:szCs w:val="24"/>
        </w:rPr>
        <w:t xml:space="preserve"> Pokud by se však podařilo realizovat všechny plánované akce a opatření, jak jsou uvedeny v přílohách předkládaného materiálu, byly by úspory ještě vyšší, a to cca 28 000 MWh.</w:t>
      </w:r>
      <w:r w:rsidR="0049626A">
        <w:rPr>
          <w:rFonts w:ascii="Times New Roman" w:hAnsi="Times New Roman"/>
          <w:bCs/>
          <w:sz w:val="24"/>
          <w:szCs w:val="24"/>
        </w:rPr>
        <w:t xml:space="preserve"> </w:t>
      </w:r>
      <w:r w:rsidR="00774F1D">
        <w:rPr>
          <w:rFonts w:ascii="Times New Roman" w:hAnsi="Times New Roman"/>
          <w:bCs/>
          <w:sz w:val="24"/>
          <w:szCs w:val="24"/>
        </w:rPr>
        <w:t>V</w:t>
      </w:r>
      <w:r w:rsidR="00DC06D9">
        <w:rPr>
          <w:rFonts w:ascii="Times New Roman" w:hAnsi="Times New Roman"/>
          <w:bCs/>
          <w:sz w:val="24"/>
          <w:szCs w:val="24"/>
        </w:rPr>
        <w:t xml:space="preserve"> </w:t>
      </w:r>
      <w:r w:rsidR="00287551">
        <w:rPr>
          <w:rFonts w:ascii="Times New Roman" w:hAnsi="Times New Roman"/>
          <w:bCs/>
          <w:sz w:val="24"/>
          <w:szCs w:val="24"/>
        </w:rPr>
        <w:t xml:space="preserve">Jakékoliv přeplnění závazku </w:t>
      </w:r>
      <w:r w:rsidR="00B42D84">
        <w:rPr>
          <w:rFonts w:ascii="Times New Roman" w:hAnsi="Times New Roman"/>
          <w:bCs/>
          <w:sz w:val="24"/>
          <w:szCs w:val="24"/>
        </w:rPr>
        <w:t>VS</w:t>
      </w:r>
      <w:r w:rsidR="00FE6724">
        <w:rPr>
          <w:rFonts w:ascii="Times New Roman" w:hAnsi="Times New Roman"/>
          <w:bCs/>
          <w:sz w:val="24"/>
          <w:szCs w:val="24"/>
        </w:rPr>
        <w:t xml:space="preserve"> </w:t>
      </w:r>
      <w:r w:rsidR="00B42D84">
        <w:rPr>
          <w:rFonts w:ascii="Times New Roman" w:hAnsi="Times New Roman"/>
          <w:bCs/>
          <w:sz w:val="24"/>
          <w:szCs w:val="24"/>
        </w:rPr>
        <w:t xml:space="preserve">ČR bude </w:t>
      </w:r>
      <w:r w:rsidR="00DC06D9">
        <w:rPr>
          <w:rFonts w:ascii="Times New Roman" w:hAnsi="Times New Roman"/>
          <w:bCs/>
          <w:sz w:val="24"/>
          <w:szCs w:val="24"/>
        </w:rPr>
        <w:t>využit</w:t>
      </w:r>
      <w:r w:rsidR="00B42D84">
        <w:rPr>
          <w:rFonts w:ascii="Times New Roman" w:hAnsi="Times New Roman"/>
          <w:bCs/>
          <w:sz w:val="24"/>
          <w:szCs w:val="24"/>
        </w:rPr>
        <w:t>o</w:t>
      </w:r>
      <w:r w:rsidR="00DC06D9">
        <w:rPr>
          <w:rFonts w:ascii="Times New Roman" w:hAnsi="Times New Roman"/>
          <w:bCs/>
          <w:sz w:val="24"/>
          <w:szCs w:val="24"/>
        </w:rPr>
        <w:t xml:space="preserve"> pro případné neplnění závazku u jiných institucí.</w:t>
      </w:r>
    </w:p>
    <w:p w:rsidR="00735DBF" w:rsidRPr="007150F9" w:rsidRDefault="00735DBF" w:rsidP="00446D61">
      <w:pPr>
        <w:spacing w:before="100" w:beforeAutospacing="1" w:after="100" w:afterAutospacing="1"/>
        <w:ind w:firstLine="357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cs-CZ"/>
        </w:rPr>
      </w:pPr>
      <w:r w:rsidRPr="005D24BF">
        <w:rPr>
          <w:rFonts w:ascii="Times New Roman" w:hAnsi="Times New Roman"/>
          <w:bCs/>
          <w:sz w:val="24"/>
          <w:szCs w:val="24"/>
        </w:rPr>
        <w:t>VS</w:t>
      </w:r>
      <w:r w:rsidR="00A24F14">
        <w:rPr>
          <w:rFonts w:ascii="Times New Roman" w:hAnsi="Times New Roman"/>
          <w:bCs/>
          <w:sz w:val="24"/>
          <w:szCs w:val="24"/>
        </w:rPr>
        <w:t xml:space="preserve"> </w:t>
      </w:r>
      <w:r w:rsidRPr="005D24BF">
        <w:rPr>
          <w:rFonts w:ascii="Times New Roman" w:hAnsi="Times New Roman"/>
          <w:bCs/>
          <w:sz w:val="24"/>
          <w:szCs w:val="24"/>
        </w:rPr>
        <w:t xml:space="preserve">ČR v letech 2014 – 2016 </w:t>
      </w:r>
      <w:r w:rsidR="00C74067" w:rsidRPr="005D24BF">
        <w:rPr>
          <w:rFonts w:ascii="Times New Roman" w:hAnsi="Times New Roman"/>
          <w:bCs/>
          <w:sz w:val="24"/>
          <w:szCs w:val="24"/>
        </w:rPr>
        <w:t>realizovala úspory ve výši 5 102</w:t>
      </w:r>
      <w:r w:rsidRPr="005D24BF">
        <w:rPr>
          <w:rFonts w:ascii="Times New Roman" w:hAnsi="Times New Roman"/>
          <w:bCs/>
          <w:sz w:val="24"/>
          <w:szCs w:val="24"/>
        </w:rPr>
        <w:t xml:space="preserve"> MWh. Tato úspora byla absorbována zpracování</w:t>
      </w:r>
      <w:r w:rsidR="007D64EA" w:rsidRPr="005D24BF">
        <w:rPr>
          <w:rFonts w:ascii="Times New Roman" w:hAnsi="Times New Roman"/>
          <w:bCs/>
          <w:sz w:val="24"/>
          <w:szCs w:val="24"/>
        </w:rPr>
        <w:t>m</w:t>
      </w:r>
      <w:r w:rsidRPr="005D24BF">
        <w:rPr>
          <w:rFonts w:ascii="Times New Roman" w:hAnsi="Times New Roman"/>
          <w:bCs/>
          <w:sz w:val="24"/>
          <w:szCs w:val="24"/>
        </w:rPr>
        <w:t xml:space="preserve"> nových </w:t>
      </w:r>
      <w:r w:rsidR="00795C65">
        <w:rPr>
          <w:rFonts w:ascii="Times New Roman" w:hAnsi="Times New Roman"/>
          <w:bCs/>
          <w:sz w:val="24"/>
          <w:szCs w:val="24"/>
        </w:rPr>
        <w:t>Průkazů energetické náročnosti budov (</w:t>
      </w:r>
      <w:r w:rsidRPr="005D24BF">
        <w:rPr>
          <w:rFonts w:ascii="Times New Roman" w:hAnsi="Times New Roman"/>
          <w:bCs/>
          <w:sz w:val="24"/>
          <w:szCs w:val="24"/>
        </w:rPr>
        <w:t>PENB</w:t>
      </w:r>
      <w:r w:rsidR="00795C65">
        <w:rPr>
          <w:rFonts w:ascii="Times New Roman" w:hAnsi="Times New Roman"/>
          <w:bCs/>
          <w:sz w:val="24"/>
          <w:szCs w:val="24"/>
        </w:rPr>
        <w:t>)</w:t>
      </w:r>
      <w:r w:rsidRPr="005D24BF">
        <w:rPr>
          <w:rFonts w:ascii="Times New Roman" w:hAnsi="Times New Roman"/>
          <w:bCs/>
          <w:sz w:val="24"/>
          <w:szCs w:val="24"/>
        </w:rPr>
        <w:t xml:space="preserve"> na budovy VS</w:t>
      </w:r>
      <w:r w:rsidR="00A24F14">
        <w:rPr>
          <w:rFonts w:ascii="Times New Roman" w:hAnsi="Times New Roman"/>
          <w:bCs/>
          <w:sz w:val="24"/>
          <w:szCs w:val="24"/>
        </w:rPr>
        <w:t xml:space="preserve"> </w:t>
      </w:r>
      <w:r w:rsidRPr="005D24BF">
        <w:rPr>
          <w:rFonts w:ascii="Times New Roman" w:hAnsi="Times New Roman"/>
          <w:bCs/>
          <w:sz w:val="24"/>
          <w:szCs w:val="24"/>
        </w:rPr>
        <w:t>ČR, což mělo za následek částečné snížení celkového závazku na hodnotu 17 042 MWh. Aktuální stav závazku, jeho plnění a čerpání mimořádně přidělených prostředků popisuje následující tabulka.</w:t>
      </w:r>
      <w:r w:rsidR="007150F9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70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0"/>
        <w:gridCol w:w="1555"/>
      </w:tblGrid>
      <w:tr w:rsidR="00735DBF" w:rsidRPr="005D24BF" w:rsidTr="00087D0D">
        <w:trPr>
          <w:trHeight w:val="268"/>
        </w:trPr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Vězeňská služba ČR - stav k 30.</w:t>
            </w:r>
            <w:r w:rsidR="006F08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5D2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4.</w:t>
            </w:r>
            <w:r w:rsidR="006F08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5D2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2018 </w:t>
            </w:r>
          </w:p>
        </w:tc>
      </w:tr>
      <w:tr w:rsidR="00735DBF" w:rsidRPr="005D24BF" w:rsidTr="00087D0D">
        <w:trPr>
          <w:trHeight w:val="255"/>
        </w:trPr>
        <w:tc>
          <w:tcPr>
            <w:tcW w:w="5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Závazek úspor energie (MWh)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774F1D">
            <w:pPr>
              <w:spacing w:after="0" w:line="240" w:lineRule="auto"/>
              <w:ind w:firstLine="3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17 04</w:t>
            </w:r>
            <w:r w:rsidR="00774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="00774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</w:tr>
      <w:tr w:rsidR="00735DBF" w:rsidRPr="005D24BF" w:rsidTr="00087D0D">
        <w:trPr>
          <w:trHeight w:val="255"/>
        </w:trPr>
        <w:tc>
          <w:tcPr>
            <w:tcW w:w="5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Stav plnění (MWh)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3 259,00</w:t>
            </w:r>
          </w:p>
        </w:tc>
      </w:tr>
      <w:tr w:rsidR="00735DBF" w:rsidRPr="005D24BF" w:rsidTr="00087D0D">
        <w:trPr>
          <w:trHeight w:val="255"/>
        </w:trPr>
        <w:tc>
          <w:tcPr>
            <w:tcW w:w="5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Stav plnění v %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19,12</w:t>
            </w:r>
          </w:p>
        </w:tc>
      </w:tr>
      <w:tr w:rsidR="00735DBF" w:rsidRPr="005D24BF" w:rsidTr="00087D0D">
        <w:trPr>
          <w:trHeight w:val="255"/>
        </w:trPr>
        <w:tc>
          <w:tcPr>
            <w:tcW w:w="5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Plán plnění do roku 2020 (MWh)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22 913,00</w:t>
            </w:r>
          </w:p>
        </w:tc>
      </w:tr>
    </w:tbl>
    <w:p w:rsidR="00735DBF" w:rsidRDefault="00735DBF" w:rsidP="00446D61">
      <w:pPr>
        <w:spacing w:before="100" w:beforeAutospacing="1" w:after="100" w:afterAutospacing="1" w:line="240" w:lineRule="auto"/>
        <w:ind w:right="113" w:firstLine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65282" w:rsidRDefault="00F65282" w:rsidP="00446D61">
      <w:pPr>
        <w:spacing w:before="100" w:beforeAutospacing="1" w:after="100" w:afterAutospacing="1" w:line="240" w:lineRule="auto"/>
        <w:ind w:right="113" w:firstLine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65282" w:rsidRDefault="00F65282" w:rsidP="00446D61">
      <w:pPr>
        <w:spacing w:before="100" w:beforeAutospacing="1" w:after="100" w:afterAutospacing="1" w:line="240" w:lineRule="auto"/>
        <w:ind w:right="113" w:firstLine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65282" w:rsidRPr="005D24BF" w:rsidRDefault="00F65282" w:rsidP="00446D61">
      <w:pPr>
        <w:spacing w:before="100" w:beforeAutospacing="1" w:after="100" w:afterAutospacing="1" w:line="240" w:lineRule="auto"/>
        <w:ind w:right="113" w:firstLine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27A64" w:rsidRPr="005D24BF" w:rsidRDefault="00735DBF" w:rsidP="00446D61">
      <w:pPr>
        <w:numPr>
          <w:ilvl w:val="1"/>
          <w:numId w:val="9"/>
        </w:numPr>
        <w:tabs>
          <w:tab w:val="left" w:pos="851"/>
        </w:tabs>
        <w:ind w:firstLine="357"/>
        <w:rPr>
          <w:rFonts w:ascii="Times New Roman" w:hAnsi="Times New Roman"/>
          <w:b/>
          <w:sz w:val="24"/>
          <w:szCs w:val="24"/>
        </w:rPr>
      </w:pPr>
      <w:r w:rsidRPr="005D24BF">
        <w:rPr>
          <w:rFonts w:ascii="Times New Roman" w:hAnsi="Times New Roman"/>
          <w:b/>
          <w:sz w:val="24"/>
          <w:szCs w:val="24"/>
        </w:rPr>
        <w:t>Opatření k zajištění splnění závazku VS</w:t>
      </w:r>
      <w:r w:rsidR="00A24F14">
        <w:rPr>
          <w:rFonts w:ascii="Times New Roman" w:hAnsi="Times New Roman"/>
          <w:b/>
          <w:sz w:val="24"/>
          <w:szCs w:val="24"/>
        </w:rPr>
        <w:t xml:space="preserve"> </w:t>
      </w:r>
      <w:r w:rsidRPr="005D24BF">
        <w:rPr>
          <w:rFonts w:ascii="Times New Roman" w:hAnsi="Times New Roman"/>
          <w:b/>
          <w:sz w:val="24"/>
          <w:szCs w:val="24"/>
        </w:rPr>
        <w:t>ČR</w:t>
      </w:r>
    </w:p>
    <w:p w:rsidR="00F108AE" w:rsidRPr="00F108AE" w:rsidRDefault="00735DBF" w:rsidP="00F108AE">
      <w:pPr>
        <w:spacing w:before="100" w:beforeAutospacing="1" w:after="100" w:afterAutospacing="1"/>
        <w:ind w:firstLine="357"/>
        <w:jc w:val="both"/>
        <w:rPr>
          <w:rFonts w:ascii="Times New Roman" w:hAnsi="Times New Roman"/>
          <w:sz w:val="24"/>
          <w:szCs w:val="24"/>
        </w:rPr>
      </w:pPr>
      <w:r w:rsidRPr="005D24BF">
        <w:rPr>
          <w:rFonts w:ascii="Times New Roman" w:hAnsi="Times New Roman"/>
          <w:sz w:val="24"/>
          <w:szCs w:val="24"/>
        </w:rPr>
        <w:t>Pro zajištění závazku VS</w:t>
      </w:r>
      <w:r w:rsidR="00FE6724">
        <w:rPr>
          <w:rFonts w:ascii="Times New Roman" w:hAnsi="Times New Roman"/>
          <w:sz w:val="24"/>
          <w:szCs w:val="24"/>
        </w:rPr>
        <w:t xml:space="preserve"> </w:t>
      </w:r>
      <w:r w:rsidRPr="005D24BF">
        <w:rPr>
          <w:rFonts w:ascii="Times New Roman" w:hAnsi="Times New Roman"/>
          <w:sz w:val="24"/>
          <w:szCs w:val="24"/>
        </w:rPr>
        <w:t xml:space="preserve">ČR </w:t>
      </w:r>
      <w:r w:rsidR="00952902" w:rsidRPr="005D24BF">
        <w:rPr>
          <w:rFonts w:ascii="Times New Roman" w:hAnsi="Times New Roman"/>
          <w:sz w:val="24"/>
          <w:szCs w:val="24"/>
        </w:rPr>
        <w:t>budou realizována</w:t>
      </w:r>
      <w:r w:rsidRPr="005D24BF">
        <w:rPr>
          <w:rFonts w:ascii="Times New Roman" w:hAnsi="Times New Roman"/>
          <w:sz w:val="24"/>
          <w:szCs w:val="24"/>
        </w:rPr>
        <w:t xml:space="preserve"> opatření a to technologická, stavební a režimová. Garantem za realizaci úsporných opatření dle člá</w:t>
      </w:r>
      <w:r w:rsidR="007D64EA" w:rsidRPr="005D24BF">
        <w:rPr>
          <w:rFonts w:ascii="Times New Roman" w:hAnsi="Times New Roman"/>
          <w:sz w:val="24"/>
          <w:szCs w:val="24"/>
        </w:rPr>
        <w:t>nku 5</w:t>
      </w:r>
      <w:r w:rsidR="00A24F14">
        <w:rPr>
          <w:rFonts w:ascii="Times New Roman" w:hAnsi="Times New Roman"/>
          <w:sz w:val="24"/>
          <w:szCs w:val="24"/>
        </w:rPr>
        <w:t xml:space="preserve"> EED</w:t>
      </w:r>
      <w:r w:rsidR="007D64EA" w:rsidRPr="005D24BF">
        <w:rPr>
          <w:rFonts w:ascii="Times New Roman" w:hAnsi="Times New Roman"/>
          <w:sz w:val="24"/>
          <w:szCs w:val="24"/>
        </w:rPr>
        <w:t xml:space="preserve"> se stal odbor logistiky Generálního ředitelství</w:t>
      </w:r>
      <w:r w:rsidRPr="005D24BF">
        <w:rPr>
          <w:rFonts w:ascii="Times New Roman" w:hAnsi="Times New Roman"/>
          <w:sz w:val="24"/>
          <w:szCs w:val="24"/>
        </w:rPr>
        <w:t xml:space="preserve"> VS</w:t>
      </w:r>
      <w:r w:rsidR="00FE6724">
        <w:rPr>
          <w:rFonts w:ascii="Times New Roman" w:hAnsi="Times New Roman"/>
          <w:sz w:val="24"/>
          <w:szCs w:val="24"/>
        </w:rPr>
        <w:t xml:space="preserve"> </w:t>
      </w:r>
      <w:r w:rsidRPr="005D24BF">
        <w:rPr>
          <w:rFonts w:ascii="Times New Roman" w:hAnsi="Times New Roman"/>
          <w:sz w:val="24"/>
          <w:szCs w:val="24"/>
        </w:rPr>
        <w:t>ČR.</w:t>
      </w:r>
      <w:r w:rsidR="00E71A57">
        <w:rPr>
          <w:rFonts w:ascii="Times New Roman" w:hAnsi="Times New Roman"/>
          <w:sz w:val="24"/>
          <w:szCs w:val="24"/>
        </w:rPr>
        <w:t xml:space="preserve"> </w:t>
      </w:r>
    </w:p>
    <w:p w:rsidR="00F27A64" w:rsidRPr="005D24BF" w:rsidRDefault="00735DBF" w:rsidP="00446D61">
      <w:pPr>
        <w:numPr>
          <w:ilvl w:val="2"/>
          <w:numId w:val="9"/>
        </w:numPr>
        <w:spacing w:before="100" w:beforeAutospacing="1" w:after="100" w:afterAutospacing="1" w:line="240" w:lineRule="auto"/>
        <w:ind w:right="113" w:firstLine="357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D24BF">
        <w:rPr>
          <w:rFonts w:ascii="Times New Roman" w:eastAsia="Times New Roman" w:hAnsi="Times New Roman"/>
          <w:b/>
          <w:sz w:val="24"/>
          <w:szCs w:val="24"/>
          <w:lang w:eastAsia="cs-CZ"/>
        </w:rPr>
        <w:t>Technologická opatření</w:t>
      </w:r>
    </w:p>
    <w:p w:rsidR="00735DBF" w:rsidRPr="005D24BF" w:rsidRDefault="00735DBF" w:rsidP="00446D61">
      <w:pPr>
        <w:spacing w:before="100" w:beforeAutospacing="1" w:after="100" w:afterAutospacing="1" w:line="240" w:lineRule="auto"/>
        <w:ind w:right="113" w:firstLine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>S ohledem na reálnou efektivitu a proveditelnost v čase budou VS</w:t>
      </w:r>
      <w:r w:rsidR="00FE672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>ČR přijímána</w:t>
      </w: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br/>
        <w:t>a realizována technologická opatření primárně před ostatními. Toto rozhodnutí souvisí jednak s možností dosažení nejvyšších možných úspor, jednak nutností technologické obměny, které vyplývají z Vyhlášky č. 415/2012 Sb. o přípustné úrovni znečišťování.</w:t>
      </w:r>
    </w:p>
    <w:p w:rsidR="00735DBF" w:rsidRPr="005D24BF" w:rsidRDefault="00735DBF" w:rsidP="00446D61">
      <w:pPr>
        <w:spacing w:before="100" w:beforeAutospacing="1" w:after="100" w:afterAutospacing="1" w:line="240" w:lineRule="auto"/>
        <w:ind w:left="1134" w:right="113" w:firstLine="35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5D24B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Kotelny: </w:t>
      </w:r>
    </w:p>
    <w:p w:rsidR="00735DBF" w:rsidRPr="005D24BF" w:rsidRDefault="002713A3" w:rsidP="00446D61">
      <w:pPr>
        <w:spacing w:before="100" w:beforeAutospacing="1" w:after="100" w:afterAutospacing="1" w:line="240" w:lineRule="auto"/>
        <w:ind w:right="113" w:firstLine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 xml:space="preserve">Investiční </w:t>
      </w:r>
      <w:r w:rsidR="00862752">
        <w:rPr>
          <w:rFonts w:ascii="Times New Roman" w:eastAsia="Times New Roman" w:hAnsi="Times New Roman"/>
          <w:sz w:val="24"/>
          <w:szCs w:val="24"/>
          <w:lang w:eastAsia="cs-CZ"/>
        </w:rPr>
        <w:t>záměry (</w:t>
      </w: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 xml:space="preserve">dále jen </w:t>
      </w:r>
      <w:r w:rsidR="00A24F14">
        <w:rPr>
          <w:rFonts w:ascii="Times New Roman" w:eastAsia="Times New Roman" w:hAnsi="Times New Roman"/>
          <w:sz w:val="24"/>
          <w:szCs w:val="24"/>
          <w:lang w:eastAsia="cs-CZ"/>
        </w:rPr>
        <w:t>„</w:t>
      </w:r>
      <w:r w:rsidR="00735DBF" w:rsidRPr="005D24BF">
        <w:rPr>
          <w:rFonts w:ascii="Times New Roman" w:eastAsia="Times New Roman" w:hAnsi="Times New Roman"/>
          <w:sz w:val="24"/>
          <w:szCs w:val="24"/>
          <w:lang w:eastAsia="cs-CZ"/>
        </w:rPr>
        <w:t>IZ</w:t>
      </w:r>
      <w:r w:rsidR="00A24F14">
        <w:rPr>
          <w:rFonts w:ascii="Times New Roman" w:eastAsia="Times New Roman" w:hAnsi="Times New Roman"/>
          <w:sz w:val="24"/>
          <w:szCs w:val="24"/>
          <w:lang w:eastAsia="cs-CZ"/>
        </w:rPr>
        <w:t>“</w:t>
      </w: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735DBF" w:rsidRPr="005D24BF">
        <w:rPr>
          <w:rFonts w:ascii="Times New Roman" w:eastAsia="Times New Roman" w:hAnsi="Times New Roman"/>
          <w:sz w:val="24"/>
          <w:szCs w:val="24"/>
          <w:lang w:eastAsia="cs-CZ"/>
        </w:rPr>
        <w:t xml:space="preserve"> týkající se výměny technologií za modernější plnící emisní limity 6 tj. 56 mg/m</w:t>
      </w:r>
      <w:r w:rsidR="00735DBF" w:rsidRPr="005D24BF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>3</w:t>
      </w:r>
      <w:r w:rsidRPr="005D24BF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 xml:space="preserve"> </w:t>
      </w: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>(viz vyhláška č. 415/2012 Sb.)</w:t>
      </w:r>
      <w:r w:rsidR="00735DBF" w:rsidRPr="005D24BF">
        <w:rPr>
          <w:rFonts w:ascii="Times New Roman" w:eastAsia="Times New Roman" w:hAnsi="Times New Roman"/>
          <w:sz w:val="24"/>
          <w:szCs w:val="24"/>
          <w:lang w:eastAsia="cs-CZ"/>
        </w:rPr>
        <w:t>. Současně se řeší nový systém měření a regulace resp. monitoring energonositelů.</w:t>
      </w:r>
    </w:p>
    <w:p w:rsidR="00735DBF" w:rsidRPr="005D24BF" w:rsidRDefault="007D64EA" w:rsidP="00446D61">
      <w:pPr>
        <w:spacing w:before="100" w:beforeAutospacing="1" w:after="100" w:afterAutospacing="1" w:line="240" w:lineRule="auto"/>
        <w:ind w:right="113" w:firstLine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>V současné době probíhá zadávací</w:t>
      </w:r>
      <w:r w:rsidR="00735DBF" w:rsidRPr="005D24BF">
        <w:rPr>
          <w:rFonts w:ascii="Times New Roman" w:eastAsia="Times New Roman" w:hAnsi="Times New Roman"/>
          <w:sz w:val="24"/>
          <w:szCs w:val="24"/>
          <w:lang w:eastAsia="cs-CZ"/>
        </w:rPr>
        <w:t xml:space="preserve"> řízení na zpracování projektové dokumentace na dotčené kotelny, které v roce 2019 nebudou splňovat emisní limity. Jedná se o 14 kotelen, z nichž byla již dokončena revitalizace kotelen v Karviné a v Odolově, kde byl ukončen zkušební provoz a zahájeno kolaudační řízení stavby.</w:t>
      </w:r>
    </w:p>
    <w:p w:rsidR="00735DBF" w:rsidRPr="005D24BF" w:rsidRDefault="00A24F14" w:rsidP="00446D61">
      <w:pPr>
        <w:spacing w:before="100" w:beforeAutospacing="1" w:after="100" w:afterAutospacing="1" w:line="240" w:lineRule="auto"/>
        <w:ind w:right="113" w:firstLine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Metodou  </w:t>
      </w:r>
      <w:r>
        <w:rPr>
          <w:rFonts w:ascii="Times New Roman" w:eastAsia="Times New Roman" w:hAnsi="Times New Roman"/>
          <w:sz w:val="24"/>
          <w:szCs w:val="24"/>
          <w:lang w:val="en-US" w:eastAsia="cs-CZ"/>
        </w:rPr>
        <w:t>Energy Performance Contracting (</w:t>
      </w:r>
      <w:r w:rsidR="00177334" w:rsidRPr="00FE6724">
        <w:rPr>
          <w:rFonts w:ascii="Times New Roman" w:eastAsia="Times New Roman" w:hAnsi="Times New Roman"/>
          <w:sz w:val="24"/>
          <w:szCs w:val="24"/>
          <w:lang w:eastAsia="cs-CZ"/>
        </w:rPr>
        <w:t>dá</w:t>
      </w:r>
      <w:r w:rsidRPr="00FE6724">
        <w:rPr>
          <w:rFonts w:ascii="Times New Roman" w:eastAsia="Times New Roman" w:hAnsi="Times New Roman"/>
          <w:sz w:val="24"/>
          <w:szCs w:val="24"/>
          <w:lang w:eastAsia="cs-CZ"/>
        </w:rPr>
        <w:t>le jen</w:t>
      </w:r>
      <w:r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 “EPC”</w:t>
      </w:r>
      <w:r w:rsidR="00177334">
        <w:rPr>
          <w:rFonts w:ascii="Times New Roman" w:eastAsia="Times New Roman" w:hAnsi="Times New Roman"/>
          <w:sz w:val="24"/>
          <w:szCs w:val="24"/>
          <w:lang w:val="en-US" w:eastAsia="cs-CZ"/>
        </w:rPr>
        <w:t>)</w:t>
      </w:r>
      <w:r w:rsidR="00735DBF" w:rsidRPr="005D24BF">
        <w:rPr>
          <w:rFonts w:ascii="Times New Roman" w:eastAsia="Times New Roman" w:hAnsi="Times New Roman"/>
          <w:sz w:val="24"/>
          <w:szCs w:val="24"/>
          <w:lang w:eastAsia="cs-CZ"/>
        </w:rPr>
        <w:t xml:space="preserve"> b</w:t>
      </w:r>
      <w:r w:rsidR="007D64EA" w:rsidRPr="005D24BF">
        <w:rPr>
          <w:rFonts w:ascii="Times New Roman" w:eastAsia="Times New Roman" w:hAnsi="Times New Roman"/>
          <w:sz w:val="24"/>
          <w:szCs w:val="24"/>
          <w:lang w:eastAsia="cs-CZ"/>
        </w:rPr>
        <w:t>udou realizovány</w:t>
      </w:r>
      <w:r w:rsidR="00127003">
        <w:rPr>
          <w:rFonts w:ascii="Times New Roman" w:eastAsia="Times New Roman" w:hAnsi="Times New Roman"/>
          <w:sz w:val="24"/>
          <w:szCs w:val="24"/>
          <w:lang w:eastAsia="cs-CZ"/>
        </w:rPr>
        <w:t xml:space="preserve"> investiční akce vybraných organizačních jednotek </w:t>
      </w:r>
      <w:r w:rsidR="007D64EA" w:rsidRPr="005D24BF">
        <w:rPr>
          <w:rFonts w:ascii="Times New Roman" w:eastAsia="Times New Roman" w:hAnsi="Times New Roman"/>
          <w:sz w:val="24"/>
          <w:szCs w:val="24"/>
          <w:lang w:eastAsia="cs-CZ"/>
        </w:rPr>
        <w:t xml:space="preserve">(dále jen </w:t>
      </w:r>
      <w:r w:rsidR="00177334">
        <w:rPr>
          <w:rFonts w:ascii="Times New Roman" w:eastAsia="Times New Roman" w:hAnsi="Times New Roman"/>
          <w:sz w:val="24"/>
          <w:szCs w:val="24"/>
          <w:lang w:eastAsia="cs-CZ"/>
        </w:rPr>
        <w:t>„</w:t>
      </w:r>
      <w:r w:rsidR="007D64EA" w:rsidRPr="005D24BF">
        <w:rPr>
          <w:rFonts w:ascii="Times New Roman" w:eastAsia="Times New Roman" w:hAnsi="Times New Roman"/>
          <w:sz w:val="24"/>
          <w:szCs w:val="24"/>
          <w:lang w:eastAsia="cs-CZ"/>
        </w:rPr>
        <w:t>OJ</w:t>
      </w:r>
      <w:r w:rsidR="00177334">
        <w:rPr>
          <w:rFonts w:ascii="Times New Roman" w:eastAsia="Times New Roman" w:hAnsi="Times New Roman"/>
          <w:sz w:val="24"/>
          <w:szCs w:val="24"/>
          <w:lang w:eastAsia="cs-CZ"/>
        </w:rPr>
        <w:t>“</w:t>
      </w:r>
      <w:r w:rsidR="007D64EA" w:rsidRPr="005D24BF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735DBF" w:rsidRPr="005D24BF">
        <w:rPr>
          <w:rFonts w:ascii="Times New Roman" w:eastAsia="Times New Roman" w:hAnsi="Times New Roman"/>
          <w:sz w:val="24"/>
          <w:szCs w:val="24"/>
          <w:lang w:eastAsia="cs-CZ"/>
        </w:rPr>
        <w:t xml:space="preserve">: Jiřice, Ostrov, Všehrdy, Nové Sedlo (není nutná </w:t>
      </w:r>
      <w:r w:rsidR="00177334">
        <w:rPr>
          <w:rFonts w:ascii="Times New Roman" w:eastAsia="Times New Roman" w:hAnsi="Times New Roman"/>
          <w:sz w:val="24"/>
          <w:szCs w:val="24"/>
          <w:lang w:eastAsia="cs-CZ"/>
        </w:rPr>
        <w:t>revitalizace kotelny) a Pankrác</w:t>
      </w:r>
      <w:r w:rsidR="00735DBF" w:rsidRPr="005D24BF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27003">
        <w:rPr>
          <w:rFonts w:ascii="Times New Roman" w:eastAsia="Times New Roman" w:hAnsi="Times New Roman"/>
          <w:sz w:val="24"/>
          <w:szCs w:val="24"/>
          <w:lang w:eastAsia="cs-CZ"/>
        </w:rPr>
        <w:t xml:space="preserve"> Projekty EPC jsou zaměřeny na komplexní řešení úspor v celých věznicích. Významným přínosem je skutečnost, že u projektů EPC ručí projektant a zhotovitel za skutečně dosažené úspory resp. je finančně sankcionován v případě, že úspory nedosahují předpokládané výše.</w:t>
      </w:r>
    </w:p>
    <w:p w:rsidR="00735DBF" w:rsidRPr="005D24BF" w:rsidRDefault="00735DBF" w:rsidP="00446D61">
      <w:pPr>
        <w:spacing w:before="100" w:beforeAutospacing="1" w:after="100" w:afterAutospacing="1" w:line="240" w:lineRule="auto"/>
        <w:ind w:right="113" w:firstLine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>Aktuálně probíhá realizace nové kotelny v OJ Drahonice a zpracování dokumen</w:t>
      </w:r>
      <w:r w:rsidR="00177334">
        <w:rPr>
          <w:rFonts w:ascii="Times New Roman" w:eastAsia="Times New Roman" w:hAnsi="Times New Roman"/>
          <w:sz w:val="24"/>
          <w:szCs w:val="24"/>
          <w:lang w:eastAsia="cs-CZ"/>
        </w:rPr>
        <w:t xml:space="preserve">tací pro provádění stavby </w:t>
      </w: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>v OJ Valdice, Břeclav a Skuteč.</w:t>
      </w:r>
    </w:p>
    <w:p w:rsidR="00735DBF" w:rsidRPr="005D24BF" w:rsidRDefault="00735DBF" w:rsidP="00446D61">
      <w:pPr>
        <w:spacing w:before="100" w:beforeAutospacing="1" w:after="100" w:afterAutospacing="1" w:line="240" w:lineRule="auto"/>
        <w:ind w:right="113" w:firstLine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>Ministerstvem spravedlnosti ČR byly vydány Registrace na rekonstrukce kotelen v OJ Bělušice, Brno, Teplice, Znojmo a Kuřim, kde</w:t>
      </w:r>
      <w:r w:rsidR="00EF64B8" w:rsidRPr="005D24BF">
        <w:rPr>
          <w:rFonts w:ascii="Times New Roman" w:eastAsia="Times New Roman" w:hAnsi="Times New Roman"/>
          <w:sz w:val="24"/>
          <w:szCs w:val="24"/>
          <w:lang w:eastAsia="cs-CZ"/>
        </w:rPr>
        <w:t xml:space="preserve"> v současné době již probíhá</w:t>
      </w: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F64B8" w:rsidRPr="005D24BF">
        <w:rPr>
          <w:rFonts w:ascii="Times New Roman" w:eastAsia="Times New Roman" w:hAnsi="Times New Roman"/>
          <w:sz w:val="24"/>
          <w:szCs w:val="24"/>
          <w:lang w:eastAsia="cs-CZ"/>
        </w:rPr>
        <w:t>zpracování projektových dokumentací a dochází k výběru technického dozoru.</w:t>
      </w:r>
    </w:p>
    <w:p w:rsidR="00735DBF" w:rsidRPr="005D24BF" w:rsidRDefault="00735DBF" w:rsidP="00446D61">
      <w:pPr>
        <w:spacing w:before="100" w:beforeAutospacing="1" w:after="100" w:afterAutospacing="1" w:line="240" w:lineRule="auto"/>
        <w:ind w:left="1134" w:right="113" w:firstLine="35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5D24B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Obnova velkokuchyňské a prádelenské technologie:</w:t>
      </w:r>
    </w:p>
    <w:p w:rsidR="00735DBF" w:rsidRDefault="00735DBF" w:rsidP="00446D61">
      <w:pP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 xml:space="preserve">Veškeré IZ týkající se výměny technologií za modernější (velkokuchyňské, prádelenské) jsou nově posuzovány z pohledu úspor energie </w:t>
      </w:r>
      <w:r w:rsidR="00EF64B8" w:rsidRPr="005D24BF">
        <w:rPr>
          <w:rFonts w:ascii="Times New Roman" w:eastAsia="Times New Roman" w:hAnsi="Times New Roman"/>
          <w:sz w:val="24"/>
          <w:szCs w:val="24"/>
          <w:lang w:eastAsia="cs-CZ"/>
        </w:rPr>
        <w:t xml:space="preserve">a </w:t>
      </w: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>v případě reálné úspory do celkového součtu úspor zahrnuty. Obnovy velkokuchyňské a prádelenské technologie byly zaháje</w:t>
      </w:r>
      <w:r w:rsidR="00F27A64" w:rsidRPr="005D24BF">
        <w:rPr>
          <w:rFonts w:ascii="Times New Roman" w:eastAsia="Times New Roman" w:hAnsi="Times New Roman"/>
          <w:sz w:val="24"/>
          <w:szCs w:val="24"/>
          <w:lang w:eastAsia="cs-CZ"/>
        </w:rPr>
        <w:t>ny, jsou uzavřeny rámcové smlouvy</w:t>
      </w: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 xml:space="preserve">, prostřednictvím kterých se obnoví zařízení na 25 OJ. Vzhledem k tomu, že na stávajících </w:t>
      </w:r>
      <w:r w:rsidR="00F27A64" w:rsidRPr="005D24BF">
        <w:rPr>
          <w:rFonts w:ascii="Times New Roman" w:eastAsia="Times New Roman" w:hAnsi="Times New Roman"/>
          <w:sz w:val="24"/>
          <w:szCs w:val="24"/>
          <w:lang w:eastAsia="cs-CZ"/>
        </w:rPr>
        <w:t xml:space="preserve">zastaralých </w:t>
      </w: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 xml:space="preserve">zařízeních není instalováno podvojné měření, </w:t>
      </w: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předpokládaná úspora bude vycházet pouze z technického popisu nových zařízení, jejich srovnání se starým zařízením a na tomto základě i kvalifikovaném odhadu.</w:t>
      </w:r>
    </w:p>
    <w:p w:rsidR="00E71A57" w:rsidRPr="005D24BF" w:rsidRDefault="00E71A57" w:rsidP="00446D61">
      <w:pP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35DBF" w:rsidRPr="005D24BF" w:rsidRDefault="00735DBF" w:rsidP="00446D61">
      <w:pPr>
        <w:spacing w:before="100" w:beforeAutospacing="1" w:after="100" w:afterAutospacing="1" w:line="240" w:lineRule="auto"/>
        <w:ind w:left="1134" w:right="113" w:firstLine="357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5D24B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Osvětlení:</w:t>
      </w:r>
    </w:p>
    <w:p w:rsidR="001269C8" w:rsidRDefault="00735DBF" w:rsidP="00446D61">
      <w:pPr>
        <w:spacing w:before="100" w:beforeAutospacing="1" w:after="100" w:afterAutospacing="1" w:line="240" w:lineRule="auto"/>
        <w:ind w:right="113" w:firstLine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>Dalším technologickým opatřením, které přinese úsporu energie, je rekonstrukce osvětlení věznic, se zvláštním zřetelem na venkovní osvětlení</w:t>
      </w:r>
      <w:r w:rsidR="001269C8">
        <w:rPr>
          <w:rFonts w:ascii="Times New Roman" w:eastAsia="Times New Roman" w:hAnsi="Times New Roman"/>
          <w:sz w:val="24"/>
          <w:szCs w:val="24"/>
          <w:lang w:eastAsia="cs-CZ"/>
        </w:rPr>
        <w:t xml:space="preserve"> perimetru střežených prostorů.</w:t>
      </w:r>
    </w:p>
    <w:p w:rsidR="00735DBF" w:rsidRPr="005D24BF" w:rsidRDefault="00862752" w:rsidP="00446D61">
      <w:pPr>
        <w:spacing w:before="100" w:beforeAutospacing="1" w:after="100" w:afterAutospacing="1" w:line="240" w:lineRule="auto"/>
        <w:ind w:right="113" w:firstLine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2713A3" w:rsidRPr="005D24BF">
        <w:rPr>
          <w:rFonts w:ascii="Times New Roman" w:eastAsia="Times New Roman" w:hAnsi="Times New Roman"/>
          <w:sz w:val="24"/>
          <w:szCs w:val="24"/>
          <w:lang w:eastAsia="cs-CZ"/>
        </w:rPr>
        <w:t>současné době je schválen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IZ v OJ</w:t>
      </w:r>
      <w:r w:rsidR="00735DBF" w:rsidRPr="005D24BF">
        <w:rPr>
          <w:rFonts w:ascii="Times New Roman" w:eastAsia="Times New Roman" w:hAnsi="Times New Roman"/>
          <w:sz w:val="24"/>
          <w:szCs w:val="24"/>
          <w:lang w:eastAsia="cs-CZ"/>
        </w:rPr>
        <w:t xml:space="preserve"> Plzeň.</w:t>
      </w:r>
      <w:r w:rsidR="002713A3" w:rsidRPr="005D24BF">
        <w:rPr>
          <w:rFonts w:ascii="Times New Roman" w:eastAsia="Times New Roman" w:hAnsi="Times New Roman"/>
          <w:sz w:val="24"/>
          <w:szCs w:val="24"/>
          <w:lang w:eastAsia="cs-CZ"/>
        </w:rPr>
        <w:t xml:space="preserve"> V rámci oprav dochází k výměně světel na OJ Pardubice, Rýnovice a Oráčov. Metodou EPC dojde k výměně světel na OJ Pankrác, Všehrdy, Nové Sedlo, Jiřice a Ostrov. </w:t>
      </w:r>
      <w:r w:rsidR="00735DBF" w:rsidRPr="005D24BF">
        <w:rPr>
          <w:rFonts w:ascii="Times New Roman" w:eastAsia="Times New Roman" w:hAnsi="Times New Roman"/>
          <w:sz w:val="24"/>
          <w:szCs w:val="24"/>
          <w:lang w:eastAsia="cs-CZ"/>
        </w:rPr>
        <w:t xml:space="preserve"> Mimo úsporu elektrické energie přinese nový druh osvětlení i úspory v oblasti údržby a v podstatně delší životnosti moderních LED svítidel oproti současným výbojkám.</w:t>
      </w:r>
    </w:p>
    <w:p w:rsidR="00735DBF" w:rsidRPr="005D24BF" w:rsidRDefault="00735DBF" w:rsidP="00446D61">
      <w:pPr>
        <w:spacing w:before="100" w:beforeAutospacing="1" w:after="100" w:afterAutospacing="1" w:line="240" w:lineRule="auto"/>
        <w:ind w:right="113" w:firstLine="357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>V případě rekonstrukcí a oprav vnitřních prostor budou veškeré úpravy vnitřního osvětlení sledovány odděleně od stavebních prací, abychom zajistili registraci případných úspor u prováděných změn vnitřního osvětlení.</w:t>
      </w:r>
    </w:p>
    <w:p w:rsidR="00F27A64" w:rsidRPr="005D24BF" w:rsidRDefault="00735DBF" w:rsidP="00446D61">
      <w:pPr>
        <w:numPr>
          <w:ilvl w:val="2"/>
          <w:numId w:val="9"/>
        </w:numPr>
        <w:spacing w:before="100" w:beforeAutospacing="1" w:after="100" w:afterAutospacing="1" w:line="240" w:lineRule="auto"/>
        <w:ind w:right="113" w:firstLine="357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D24BF">
        <w:rPr>
          <w:rFonts w:ascii="Times New Roman" w:eastAsia="Times New Roman" w:hAnsi="Times New Roman"/>
          <w:b/>
          <w:sz w:val="24"/>
          <w:szCs w:val="24"/>
          <w:lang w:eastAsia="cs-CZ"/>
        </w:rPr>
        <w:t>Stavební opatření</w:t>
      </w:r>
    </w:p>
    <w:p w:rsidR="006F6517" w:rsidRDefault="00735DBF" w:rsidP="00446D61">
      <w:pPr>
        <w:spacing w:before="100" w:beforeAutospacing="1" w:after="100" w:afterAutospacing="1" w:line="240" w:lineRule="auto"/>
        <w:ind w:right="113"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>V souvislosti s plněním článku 5. EED se</w:t>
      </w:r>
      <w:r w:rsidR="00F27A64" w:rsidRPr="005D24BF">
        <w:rPr>
          <w:rFonts w:ascii="Times New Roman" w:eastAsia="Times New Roman" w:hAnsi="Times New Roman"/>
          <w:sz w:val="24"/>
          <w:szCs w:val="24"/>
          <w:lang w:eastAsia="cs-CZ"/>
        </w:rPr>
        <w:t xml:space="preserve"> VS</w:t>
      </w:r>
      <w:r w:rsidR="00FE672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27A64" w:rsidRPr="005D24BF">
        <w:rPr>
          <w:rFonts w:ascii="Times New Roman" w:eastAsia="Times New Roman" w:hAnsi="Times New Roman"/>
          <w:sz w:val="24"/>
          <w:szCs w:val="24"/>
          <w:lang w:eastAsia="cs-CZ"/>
        </w:rPr>
        <w:t>ČR bude zabývat</w:t>
      </w: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 xml:space="preserve"> stavebními opatřeními jak v rámci IZ, tak v rámci plánovaných oprav, protože jejich přínosy ke splnění požadavků na úsporu energií jsou stejně jako u technologických opatření podstatné. Stavební opatření, která jsou dlouhodobě plánována a budou do roku 2020 realizována, budou do plnění, pokud to bude možné, zahrnuta. U stavebních opatření, zasahujících do vnitřních prostor ubytoven odsouzených osob, je nutno očekávat výrazně delší dobu realizace, než při stavebních opatřeních prováděných v běžných prostorách.</w:t>
      </w:r>
      <w:r w:rsidR="00867D9F">
        <w:rPr>
          <w:rFonts w:ascii="Times New Roman" w:hAnsi="Times New Roman"/>
          <w:sz w:val="24"/>
          <w:szCs w:val="24"/>
        </w:rPr>
        <w:t xml:space="preserve"> S</w:t>
      </w:r>
      <w:r w:rsidR="00867D9F">
        <w:rPr>
          <w:rFonts w:ascii="Times New Roman" w:eastAsia="Times New Roman" w:hAnsi="Times New Roman"/>
          <w:sz w:val="24"/>
          <w:szCs w:val="24"/>
          <w:lang w:eastAsia="cs-CZ"/>
        </w:rPr>
        <w:t xml:space="preserve">tavebními opatřeními budou zejména </w:t>
      </w:r>
      <w:r w:rsidR="00867D9F">
        <w:rPr>
          <w:rFonts w:ascii="Times New Roman" w:hAnsi="Times New Roman"/>
          <w:sz w:val="24"/>
          <w:szCs w:val="24"/>
        </w:rPr>
        <w:t xml:space="preserve">zateplení fasády, výměna oken, </w:t>
      </w:r>
      <w:r w:rsidRPr="005D24BF">
        <w:rPr>
          <w:rFonts w:ascii="Times New Roman" w:hAnsi="Times New Roman"/>
          <w:sz w:val="24"/>
          <w:szCs w:val="24"/>
        </w:rPr>
        <w:t>stavebně technická zabezpečení</w:t>
      </w:r>
      <w:r w:rsidR="00867D9F">
        <w:rPr>
          <w:rFonts w:ascii="Times New Roman" w:hAnsi="Times New Roman"/>
          <w:sz w:val="24"/>
          <w:szCs w:val="24"/>
        </w:rPr>
        <w:t>.</w:t>
      </w:r>
    </w:p>
    <w:p w:rsidR="006F6517" w:rsidRDefault="006F6517" w:rsidP="00446D61">
      <w:pPr>
        <w:spacing w:before="100" w:beforeAutospacing="1" w:after="100" w:afterAutospacing="1" w:line="240" w:lineRule="auto"/>
        <w:ind w:right="113" w:firstLine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5DBF" w:rsidRDefault="00735DBF" w:rsidP="00446D61">
      <w:pPr>
        <w:spacing w:before="100" w:beforeAutospacing="1" w:after="100" w:afterAutospacing="1" w:line="240" w:lineRule="auto"/>
        <w:ind w:right="113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>Veškeré opravy a rekonstrukce, které se budou provádět v </w:t>
      </w:r>
      <w:r w:rsidR="00867D9F">
        <w:rPr>
          <w:rFonts w:ascii="Times New Roman" w:eastAsia="Times New Roman" w:hAnsi="Times New Roman"/>
          <w:sz w:val="24"/>
          <w:szCs w:val="24"/>
          <w:lang w:eastAsia="cs-CZ"/>
        </w:rPr>
        <w:t>organizačních jednotkách VS</w:t>
      </w:r>
      <w:r w:rsidR="00FE672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67D9F">
        <w:rPr>
          <w:rFonts w:ascii="Times New Roman" w:eastAsia="Times New Roman" w:hAnsi="Times New Roman"/>
          <w:sz w:val="24"/>
          <w:szCs w:val="24"/>
          <w:lang w:eastAsia="cs-CZ"/>
        </w:rPr>
        <w:t>ČR</w:t>
      </w:r>
      <w:r w:rsidR="00295C02" w:rsidRPr="005D24B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67D9F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>úspory vody, úspory TUV, větrání, cirkulace vzduchu, vytápění</w:t>
      </w:r>
      <w:r w:rsidR="00867D9F">
        <w:rPr>
          <w:rFonts w:ascii="Times New Roman" w:eastAsia="Times New Roman" w:hAnsi="Times New Roman"/>
          <w:sz w:val="24"/>
          <w:szCs w:val="24"/>
          <w:lang w:eastAsia="cs-CZ"/>
        </w:rPr>
        <w:t>, …)</w:t>
      </w: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 xml:space="preserve"> se musí plánovat s ohledem na nutná omezení na straně odsouzených osob. Ze zkušeností personálu věznic je nutno veškeré změny a opravy ve výsledku provádět výhradně tak, aby odsouzené osoby neměly možnost ovlivňovat chod zařízení</w:t>
      </w:r>
    </w:p>
    <w:p w:rsidR="006F6517" w:rsidRPr="006F6517" w:rsidRDefault="006F6517" w:rsidP="00446D61">
      <w:pPr>
        <w:spacing w:before="100" w:beforeAutospacing="1" w:after="100" w:afterAutospacing="1" w:line="240" w:lineRule="auto"/>
        <w:ind w:right="113" w:firstLine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5DBF" w:rsidRPr="005D24BF" w:rsidRDefault="00735DBF" w:rsidP="00446D61">
      <w:pPr>
        <w:numPr>
          <w:ilvl w:val="2"/>
          <w:numId w:val="9"/>
        </w:numPr>
        <w:spacing w:before="100" w:beforeAutospacing="1" w:after="100" w:afterAutospacing="1" w:line="240" w:lineRule="auto"/>
        <w:ind w:right="113" w:firstLine="357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D24BF">
        <w:rPr>
          <w:rFonts w:ascii="Times New Roman" w:eastAsia="Times New Roman" w:hAnsi="Times New Roman"/>
          <w:b/>
          <w:sz w:val="24"/>
          <w:szCs w:val="24"/>
          <w:lang w:eastAsia="cs-CZ"/>
        </w:rPr>
        <w:t>Režimová opatření</w:t>
      </w:r>
    </w:p>
    <w:p w:rsidR="00642226" w:rsidRPr="005D24BF" w:rsidRDefault="00735DBF" w:rsidP="00446D61">
      <w:pPr>
        <w:spacing w:before="100" w:beforeAutospacing="1" w:after="100" w:afterAutospacing="1" w:line="240" w:lineRule="auto"/>
        <w:ind w:right="113" w:firstLine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 xml:space="preserve">V rámci </w:t>
      </w:r>
      <w:r w:rsidR="00642226" w:rsidRPr="005D24BF">
        <w:rPr>
          <w:rFonts w:ascii="Times New Roman" w:eastAsia="Times New Roman" w:hAnsi="Times New Roman"/>
          <w:sz w:val="24"/>
          <w:szCs w:val="24"/>
          <w:lang w:eastAsia="cs-CZ"/>
        </w:rPr>
        <w:t>dosažení energetických úspor VS</w:t>
      </w:r>
      <w:r w:rsidR="00FE672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>ČR</w:t>
      </w:r>
      <w:r w:rsidR="00642226" w:rsidRPr="005D24BF">
        <w:rPr>
          <w:rFonts w:ascii="Times New Roman" w:eastAsia="Times New Roman" w:hAnsi="Times New Roman"/>
          <w:sz w:val="24"/>
          <w:szCs w:val="24"/>
          <w:lang w:eastAsia="cs-CZ"/>
        </w:rPr>
        <w:t xml:space="preserve"> přijala a</w:t>
      </w: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 xml:space="preserve"> je připravena př</w:t>
      </w:r>
      <w:r w:rsidR="00295C02" w:rsidRPr="005D24BF">
        <w:rPr>
          <w:rFonts w:ascii="Times New Roman" w:eastAsia="Times New Roman" w:hAnsi="Times New Roman"/>
          <w:sz w:val="24"/>
          <w:szCs w:val="24"/>
          <w:lang w:eastAsia="cs-CZ"/>
        </w:rPr>
        <w:t>ijmout i režimová opatření</w:t>
      </w:r>
      <w:r w:rsidR="00642226" w:rsidRPr="005D24BF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:rsidR="00642226" w:rsidRPr="005D24BF" w:rsidRDefault="00735DBF" w:rsidP="00446D61">
      <w:pPr>
        <w:numPr>
          <w:ilvl w:val="1"/>
          <w:numId w:val="1"/>
        </w:numPr>
        <w:spacing w:before="100" w:beforeAutospacing="1" w:after="100" w:afterAutospacing="1" w:line="240" w:lineRule="auto"/>
        <w:ind w:right="113" w:firstLine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D24BF">
        <w:rPr>
          <w:rFonts w:ascii="Times New Roman" w:hAnsi="Times New Roman"/>
          <w:sz w:val="24"/>
          <w:szCs w:val="24"/>
        </w:rPr>
        <w:t xml:space="preserve">dosažení normovaných teplot dle příslušného předpisu (po instalaci </w:t>
      </w:r>
      <w:r w:rsidR="009C47EA">
        <w:rPr>
          <w:rFonts w:ascii="Times New Roman" w:hAnsi="Times New Roman"/>
          <w:sz w:val="24"/>
          <w:szCs w:val="24"/>
        </w:rPr>
        <w:tab/>
      </w:r>
      <w:r w:rsidR="009C47EA">
        <w:rPr>
          <w:rFonts w:ascii="Times New Roman" w:hAnsi="Times New Roman"/>
          <w:sz w:val="24"/>
          <w:szCs w:val="24"/>
        </w:rPr>
        <w:tab/>
      </w:r>
      <w:r w:rsidRPr="005D24BF">
        <w:rPr>
          <w:rFonts w:ascii="Times New Roman" w:hAnsi="Times New Roman"/>
          <w:sz w:val="24"/>
          <w:szCs w:val="24"/>
        </w:rPr>
        <w:t>MaR a implementace</w:t>
      </w:r>
      <w:r w:rsidR="00642226" w:rsidRPr="005D24B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32566" w:rsidRPr="005D24BF">
        <w:rPr>
          <w:rFonts w:ascii="Times New Roman" w:hAnsi="Times New Roman"/>
          <w:sz w:val="24"/>
          <w:szCs w:val="24"/>
        </w:rPr>
        <w:t>energetických managementů)</w:t>
      </w:r>
    </w:p>
    <w:p w:rsidR="00642226" w:rsidRPr="005D24BF" w:rsidRDefault="00735DBF" w:rsidP="00446D61">
      <w:pPr>
        <w:numPr>
          <w:ilvl w:val="1"/>
          <w:numId w:val="1"/>
        </w:numPr>
        <w:spacing w:before="100" w:beforeAutospacing="1" w:after="100" w:afterAutospacing="1" w:line="240" w:lineRule="auto"/>
        <w:ind w:right="113" w:firstLine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D24BF">
        <w:rPr>
          <w:rFonts w:ascii="Times New Roman" w:hAnsi="Times New Roman"/>
          <w:sz w:val="24"/>
          <w:szCs w:val="24"/>
        </w:rPr>
        <w:t>dosažení efektivníh</w:t>
      </w:r>
      <w:r w:rsidR="00642226" w:rsidRPr="005D24BF">
        <w:rPr>
          <w:rFonts w:ascii="Times New Roman" w:hAnsi="Times New Roman"/>
          <w:sz w:val="24"/>
          <w:szCs w:val="24"/>
        </w:rPr>
        <w:t>o hospodaření s bílou technikou</w:t>
      </w:r>
    </w:p>
    <w:p w:rsidR="00735DBF" w:rsidRPr="005D24BF" w:rsidRDefault="00735DBF" w:rsidP="00446D61">
      <w:pPr>
        <w:numPr>
          <w:ilvl w:val="1"/>
          <w:numId w:val="1"/>
        </w:numPr>
        <w:spacing w:before="100" w:beforeAutospacing="1" w:after="100" w:afterAutospacing="1" w:line="240" w:lineRule="auto"/>
        <w:ind w:right="113" w:firstLine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D24BF">
        <w:rPr>
          <w:rFonts w:ascii="Times New Roman" w:hAnsi="Times New Roman"/>
          <w:sz w:val="24"/>
          <w:szCs w:val="24"/>
        </w:rPr>
        <w:t xml:space="preserve">VS ČR byla v červnu 2017 certifikována ISO 50001 energetický </w:t>
      </w:r>
      <w:r w:rsidR="009C47EA">
        <w:rPr>
          <w:rFonts w:ascii="Times New Roman" w:hAnsi="Times New Roman"/>
          <w:sz w:val="24"/>
          <w:szCs w:val="24"/>
        </w:rPr>
        <w:tab/>
      </w:r>
      <w:r w:rsidR="009C47EA">
        <w:rPr>
          <w:rFonts w:ascii="Times New Roman" w:hAnsi="Times New Roman"/>
          <w:sz w:val="24"/>
          <w:szCs w:val="24"/>
        </w:rPr>
        <w:tab/>
      </w:r>
      <w:r w:rsidR="009C47EA">
        <w:rPr>
          <w:rFonts w:ascii="Times New Roman" w:hAnsi="Times New Roman"/>
          <w:sz w:val="24"/>
          <w:szCs w:val="24"/>
        </w:rPr>
        <w:tab/>
      </w:r>
      <w:r w:rsidRPr="005D24BF">
        <w:rPr>
          <w:rFonts w:ascii="Times New Roman" w:hAnsi="Times New Roman"/>
          <w:sz w:val="24"/>
          <w:szCs w:val="24"/>
        </w:rPr>
        <w:t>management.</w:t>
      </w:r>
    </w:p>
    <w:p w:rsidR="00735DBF" w:rsidRPr="005D24BF" w:rsidRDefault="00735DBF" w:rsidP="00446D61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ind w:right="113" w:firstLine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5DBF" w:rsidRPr="005D24BF" w:rsidRDefault="00735DBF" w:rsidP="00446D61">
      <w:pPr>
        <w:spacing w:before="100" w:beforeAutospacing="1" w:after="100" w:afterAutospacing="1" w:line="240" w:lineRule="auto"/>
        <w:ind w:right="113" w:firstLine="3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D24B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>K možnosti rozšíření a vytipování dalších úsporných opatření a udržení dosažených výsledků v rámci úsporných opatření je dále nutné odměřit jednotlivé energonositele a vyhodnotit spotřeby jednotlivých budov a provozů v rámci  VS ČR. OL připravuje plán měřících míst v jednotlivých OJ (elektřiny, tepla, teplé a studené vody a plynu).</w:t>
      </w:r>
    </w:p>
    <w:p w:rsidR="00642226" w:rsidRPr="005D24BF" w:rsidRDefault="00642226" w:rsidP="00446D61">
      <w:pPr>
        <w:spacing w:before="100" w:beforeAutospacing="1" w:after="100" w:afterAutospacing="1" w:line="240" w:lineRule="auto"/>
        <w:ind w:right="113" w:firstLine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6F6517" w:rsidRDefault="00735DBF" w:rsidP="00446D61">
      <w:pPr>
        <w:spacing w:before="100" w:beforeAutospacing="1" w:after="100" w:afterAutospacing="1" w:line="240" w:lineRule="auto"/>
        <w:ind w:right="113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>Oddělení energetiky a životního prostředí pracuje na dalším vytipování energetických opatření</w:t>
      </w:r>
      <w:r w:rsidR="00862752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>Cílem je realizace rekonstrukcí prádelenské a kuchyňské technologie, zateplení budov (obálek a střech) a výměny o</w:t>
      </w:r>
      <w:r w:rsidR="00F108AE">
        <w:rPr>
          <w:rFonts w:ascii="Times New Roman" w:eastAsia="Times New Roman" w:hAnsi="Times New Roman"/>
          <w:sz w:val="24"/>
          <w:szCs w:val="24"/>
          <w:lang w:eastAsia="cs-CZ"/>
        </w:rPr>
        <w:t>světlení za LED.</w:t>
      </w:r>
    </w:p>
    <w:p w:rsidR="001269C8" w:rsidRDefault="001269C8" w:rsidP="00446D61">
      <w:pPr>
        <w:spacing w:before="100" w:beforeAutospacing="1" w:after="100" w:afterAutospacing="1" w:line="240" w:lineRule="auto"/>
        <w:ind w:right="113" w:firstLine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5D24BF" w:rsidRPr="005D24BF" w:rsidRDefault="00F27A64" w:rsidP="00446D61">
      <w:pPr>
        <w:numPr>
          <w:ilvl w:val="1"/>
          <w:numId w:val="9"/>
        </w:numPr>
        <w:spacing w:before="100" w:beforeAutospacing="1" w:after="100" w:afterAutospacing="1" w:line="240" w:lineRule="auto"/>
        <w:ind w:right="113" w:firstLine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D24BF">
        <w:rPr>
          <w:rFonts w:ascii="Times New Roman" w:hAnsi="Times New Roman"/>
          <w:b/>
          <w:sz w:val="24"/>
          <w:szCs w:val="24"/>
        </w:rPr>
        <w:t>Financování</w:t>
      </w:r>
    </w:p>
    <w:p w:rsidR="005D24BF" w:rsidRPr="005D24BF" w:rsidRDefault="005D24BF" w:rsidP="00446D61">
      <w:pPr>
        <w:spacing w:before="100" w:beforeAutospacing="1" w:after="100" w:afterAutospacing="1" w:line="240" w:lineRule="auto"/>
        <w:ind w:left="480" w:right="113" w:firstLine="3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50302" w:rsidRPr="001269C8" w:rsidRDefault="001269C8" w:rsidP="00446D61">
      <w:pPr>
        <w:spacing w:before="100" w:beforeAutospacing="1" w:after="100" w:afterAutospacing="1" w:line="240" w:lineRule="auto"/>
        <w:ind w:left="480" w:right="113"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1269C8">
        <w:rPr>
          <w:rFonts w:ascii="Times New Roman" w:hAnsi="Times New Roman"/>
          <w:sz w:val="24"/>
          <w:szCs w:val="24"/>
        </w:rPr>
        <w:t>Financování plnění závazku úspor vyplývajícího z článku 5 EED bude zajištěno ze tří zdrojů. Jedná se o státní rozpočet</w:t>
      </w:r>
      <w:r w:rsidR="00862752">
        <w:rPr>
          <w:rFonts w:ascii="Times New Roman" w:hAnsi="Times New Roman"/>
          <w:sz w:val="24"/>
          <w:szCs w:val="24"/>
        </w:rPr>
        <w:t xml:space="preserve">, </w:t>
      </w:r>
      <w:r w:rsidR="00177334">
        <w:rPr>
          <w:rFonts w:ascii="Times New Roman" w:hAnsi="Times New Roman"/>
          <w:sz w:val="24"/>
          <w:szCs w:val="24"/>
        </w:rPr>
        <w:t>prostředky Operačního programu Životní</w:t>
      </w:r>
      <w:r w:rsidR="00150302">
        <w:rPr>
          <w:rFonts w:ascii="Times New Roman" w:hAnsi="Times New Roman"/>
          <w:sz w:val="24"/>
          <w:szCs w:val="24"/>
        </w:rPr>
        <w:t xml:space="preserve"> prostředí (</w:t>
      </w:r>
      <w:r w:rsidR="00FE6724">
        <w:rPr>
          <w:rFonts w:ascii="Times New Roman" w:hAnsi="Times New Roman"/>
          <w:sz w:val="24"/>
          <w:szCs w:val="24"/>
        </w:rPr>
        <w:t xml:space="preserve">dále jen </w:t>
      </w:r>
      <w:r w:rsidR="00177334">
        <w:rPr>
          <w:rFonts w:ascii="Times New Roman" w:hAnsi="Times New Roman"/>
          <w:sz w:val="24"/>
          <w:szCs w:val="24"/>
        </w:rPr>
        <w:t>„</w:t>
      </w:r>
      <w:r w:rsidR="00150302">
        <w:rPr>
          <w:rFonts w:ascii="Times New Roman" w:hAnsi="Times New Roman"/>
          <w:sz w:val="24"/>
          <w:szCs w:val="24"/>
        </w:rPr>
        <w:t>OPŽP</w:t>
      </w:r>
      <w:r w:rsidR="00177334">
        <w:rPr>
          <w:rFonts w:ascii="Times New Roman" w:hAnsi="Times New Roman"/>
          <w:sz w:val="24"/>
          <w:szCs w:val="24"/>
        </w:rPr>
        <w:t>“</w:t>
      </w:r>
      <w:r w:rsidR="00150302">
        <w:rPr>
          <w:rFonts w:ascii="Times New Roman" w:hAnsi="Times New Roman"/>
          <w:sz w:val="24"/>
          <w:szCs w:val="24"/>
        </w:rPr>
        <w:t xml:space="preserve">) a prostředky </w:t>
      </w:r>
      <w:r>
        <w:rPr>
          <w:rFonts w:ascii="Times New Roman" w:hAnsi="Times New Roman"/>
          <w:sz w:val="24"/>
          <w:szCs w:val="24"/>
        </w:rPr>
        <w:t>z</w:t>
      </w:r>
      <w:r w:rsidR="00FE6724">
        <w:rPr>
          <w:rFonts w:ascii="Times New Roman" w:hAnsi="Times New Roman"/>
          <w:sz w:val="24"/>
          <w:szCs w:val="24"/>
        </w:rPr>
        <w:t xml:space="preserve"> Nová </w:t>
      </w:r>
      <w:r w:rsidR="00177334">
        <w:rPr>
          <w:rFonts w:ascii="Times New Roman" w:hAnsi="Times New Roman"/>
          <w:sz w:val="24"/>
          <w:szCs w:val="24"/>
        </w:rPr>
        <w:t xml:space="preserve">zelená </w:t>
      </w:r>
      <w:r w:rsidR="00150302">
        <w:rPr>
          <w:rFonts w:ascii="Times New Roman" w:hAnsi="Times New Roman"/>
          <w:sz w:val="24"/>
          <w:szCs w:val="24"/>
        </w:rPr>
        <w:t>úsporám (</w:t>
      </w:r>
      <w:r w:rsidR="00FE6724">
        <w:rPr>
          <w:rFonts w:ascii="Times New Roman" w:hAnsi="Times New Roman"/>
          <w:sz w:val="24"/>
          <w:szCs w:val="24"/>
        </w:rPr>
        <w:t xml:space="preserve">dále jen </w:t>
      </w:r>
      <w:r w:rsidR="00177334">
        <w:rPr>
          <w:rFonts w:ascii="Times New Roman" w:hAnsi="Times New Roman"/>
          <w:sz w:val="24"/>
          <w:szCs w:val="24"/>
        </w:rPr>
        <w:t>„</w:t>
      </w:r>
      <w:r w:rsidR="00150302">
        <w:rPr>
          <w:rFonts w:ascii="Times New Roman" w:hAnsi="Times New Roman"/>
          <w:sz w:val="24"/>
          <w:szCs w:val="24"/>
        </w:rPr>
        <w:t>NZÚ</w:t>
      </w:r>
      <w:r w:rsidR="00177334">
        <w:rPr>
          <w:rFonts w:ascii="Times New Roman" w:hAnsi="Times New Roman"/>
          <w:sz w:val="24"/>
          <w:szCs w:val="24"/>
        </w:rPr>
        <w:t>“</w:t>
      </w:r>
      <w:r w:rsidR="00150302">
        <w:rPr>
          <w:rFonts w:ascii="Times New Roman" w:hAnsi="Times New Roman"/>
          <w:sz w:val="24"/>
          <w:szCs w:val="24"/>
        </w:rPr>
        <w:t>).</w:t>
      </w:r>
    </w:p>
    <w:p w:rsidR="001269C8" w:rsidRPr="005D24BF" w:rsidRDefault="001269C8" w:rsidP="00446D61">
      <w:pPr>
        <w:spacing w:before="100" w:beforeAutospacing="1" w:after="100" w:afterAutospacing="1" w:line="240" w:lineRule="auto"/>
        <w:ind w:left="480" w:right="113" w:firstLine="3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E65A4" w:rsidRPr="00150302" w:rsidRDefault="00C45374" w:rsidP="00446D61">
      <w:pPr>
        <w:numPr>
          <w:ilvl w:val="2"/>
          <w:numId w:val="9"/>
        </w:numPr>
        <w:spacing w:before="100" w:beforeAutospacing="1" w:after="100" w:afterAutospacing="1" w:line="240" w:lineRule="auto"/>
        <w:ind w:right="113" w:firstLine="357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Státní rozpočet</w:t>
      </w:r>
    </w:p>
    <w:p w:rsidR="009E65A4" w:rsidRPr="009E65A4" w:rsidRDefault="009E65A4" w:rsidP="00446D61">
      <w:pPr>
        <w:numPr>
          <w:ilvl w:val="0"/>
          <w:numId w:val="12"/>
        </w:numPr>
        <w:spacing w:before="100" w:beforeAutospacing="1" w:after="100" w:afterAutospacing="1" w:line="240" w:lineRule="auto"/>
        <w:ind w:right="113" w:firstLine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E65A4">
        <w:rPr>
          <w:rFonts w:ascii="Times New Roman" w:hAnsi="Times New Roman"/>
          <w:b/>
          <w:sz w:val="24"/>
          <w:szCs w:val="24"/>
        </w:rPr>
        <w:t>Ostatní věcné výdaje – opravy</w:t>
      </w:r>
      <w:r w:rsidR="004E6C9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207B7A" w:rsidRDefault="009E65A4" w:rsidP="00446D61">
      <w:pPr>
        <w:spacing w:before="100" w:beforeAutospacing="1" w:after="100" w:afterAutospacing="1" w:line="240" w:lineRule="auto"/>
        <w:ind w:left="720" w:right="113"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9E65A4">
        <w:rPr>
          <w:rFonts w:ascii="Times New Roman" w:hAnsi="Times New Roman"/>
          <w:sz w:val="24"/>
          <w:szCs w:val="24"/>
        </w:rPr>
        <w:t>Na opravy (energeticky úsporného charakteru) bylo VS</w:t>
      </w:r>
      <w:r w:rsidR="00177334">
        <w:rPr>
          <w:rFonts w:ascii="Times New Roman" w:hAnsi="Times New Roman"/>
          <w:sz w:val="24"/>
          <w:szCs w:val="24"/>
        </w:rPr>
        <w:t xml:space="preserve"> </w:t>
      </w:r>
      <w:r w:rsidRPr="009E65A4">
        <w:rPr>
          <w:rFonts w:ascii="Times New Roman" w:hAnsi="Times New Roman"/>
          <w:sz w:val="24"/>
          <w:szCs w:val="24"/>
        </w:rPr>
        <w:t>ČR přiděleno 40 mil. Kč. V současné době je 35 mil. Kč již rozděleno na konkrétní akce, přičemž plánovaná úspora z takto vynaložených prostředků činí cca 700 MWh.</w:t>
      </w:r>
    </w:p>
    <w:p w:rsidR="009E65A4" w:rsidRPr="004E6C90" w:rsidRDefault="004E6C90" w:rsidP="00446D61">
      <w:pPr>
        <w:spacing w:before="100" w:beforeAutospacing="1" w:after="100" w:afterAutospacing="1" w:line="240" w:lineRule="auto"/>
        <w:ind w:left="720" w:right="113" w:firstLine="35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0D3C00">
        <w:rPr>
          <w:rFonts w:ascii="Times New Roman" w:hAnsi="Times New Roman"/>
          <w:sz w:val="24"/>
          <w:szCs w:val="24"/>
        </w:rPr>
        <w:t>Viz příloha č.</w:t>
      </w:r>
      <w:r w:rsidR="00207B7A">
        <w:rPr>
          <w:rFonts w:ascii="Times New Roman" w:hAnsi="Times New Roman"/>
          <w:sz w:val="24"/>
          <w:szCs w:val="24"/>
        </w:rPr>
        <w:t xml:space="preserve"> </w:t>
      </w:r>
      <w:r w:rsidRPr="000D3C00">
        <w:rPr>
          <w:rFonts w:ascii="Times New Roman" w:hAnsi="Times New Roman"/>
          <w:sz w:val="24"/>
          <w:szCs w:val="24"/>
        </w:rPr>
        <w:t>1</w:t>
      </w:r>
    </w:p>
    <w:p w:rsidR="009E65A4" w:rsidRDefault="009E65A4" w:rsidP="00446D61">
      <w:pPr>
        <w:spacing w:before="100" w:beforeAutospacing="1" w:after="100" w:afterAutospacing="1" w:line="240" w:lineRule="auto"/>
        <w:ind w:left="720" w:right="113" w:firstLine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4E6C90" w:rsidRPr="000D3C00" w:rsidRDefault="004E6C90" w:rsidP="00446D61">
      <w:pPr>
        <w:numPr>
          <w:ilvl w:val="0"/>
          <w:numId w:val="12"/>
        </w:numPr>
        <w:spacing w:before="100" w:beforeAutospacing="1" w:after="100" w:afterAutospacing="1" w:line="240" w:lineRule="auto"/>
        <w:ind w:right="113"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0D3C00">
        <w:rPr>
          <w:rFonts w:ascii="Times New Roman" w:hAnsi="Times New Roman"/>
          <w:b/>
          <w:sz w:val="24"/>
          <w:szCs w:val="24"/>
        </w:rPr>
        <w:t>Investiční prostředky</w:t>
      </w:r>
    </w:p>
    <w:p w:rsidR="00207B7A" w:rsidRDefault="009E65A4" w:rsidP="00446D61">
      <w:pPr>
        <w:spacing w:before="100" w:beforeAutospacing="1" w:after="100" w:afterAutospacing="1" w:line="240" w:lineRule="auto"/>
        <w:ind w:left="720" w:right="113"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4E6C90">
        <w:rPr>
          <w:rFonts w:ascii="Times New Roman" w:hAnsi="Times New Roman"/>
          <w:sz w:val="24"/>
          <w:szCs w:val="24"/>
        </w:rPr>
        <w:t>V rámci investičního rozpočtu VS</w:t>
      </w:r>
      <w:r w:rsidR="00177334">
        <w:rPr>
          <w:rFonts w:ascii="Times New Roman" w:hAnsi="Times New Roman"/>
          <w:sz w:val="24"/>
          <w:szCs w:val="24"/>
        </w:rPr>
        <w:t xml:space="preserve"> </w:t>
      </w:r>
      <w:r w:rsidRPr="004E6C90">
        <w:rPr>
          <w:rFonts w:ascii="Times New Roman" w:hAnsi="Times New Roman"/>
          <w:sz w:val="24"/>
          <w:szCs w:val="24"/>
        </w:rPr>
        <w:t xml:space="preserve">ČR jsou hrazeny akce, které nemají primárně energeticky úsporný charakter, ale při jejich realizace může částečně dojít ke snížení energetické zátěže a následně je jejich přínos zaveden do evidence úspor. </w:t>
      </w:r>
    </w:p>
    <w:p w:rsidR="009E65A4" w:rsidRPr="004E6C90" w:rsidRDefault="004E6C90" w:rsidP="00446D61">
      <w:pPr>
        <w:spacing w:before="100" w:beforeAutospacing="1" w:after="100" w:afterAutospacing="1" w:line="240" w:lineRule="auto"/>
        <w:ind w:left="720" w:right="113" w:firstLine="35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0D3C00">
        <w:rPr>
          <w:rFonts w:ascii="Times New Roman" w:hAnsi="Times New Roman"/>
          <w:sz w:val="24"/>
          <w:szCs w:val="24"/>
        </w:rPr>
        <w:t>Viz Příloha č.</w:t>
      </w:r>
      <w:r w:rsidR="00207B7A">
        <w:rPr>
          <w:rFonts w:ascii="Times New Roman" w:hAnsi="Times New Roman"/>
          <w:sz w:val="24"/>
          <w:szCs w:val="24"/>
        </w:rPr>
        <w:t xml:space="preserve"> </w:t>
      </w:r>
      <w:r w:rsidRPr="000D3C00">
        <w:rPr>
          <w:rFonts w:ascii="Times New Roman" w:hAnsi="Times New Roman"/>
          <w:sz w:val="24"/>
          <w:szCs w:val="24"/>
        </w:rPr>
        <w:t>2</w:t>
      </w:r>
    </w:p>
    <w:p w:rsidR="009E65A4" w:rsidRDefault="009E65A4" w:rsidP="00446D61">
      <w:pPr>
        <w:spacing w:before="100" w:beforeAutospacing="1" w:after="100" w:afterAutospacing="1" w:line="240" w:lineRule="auto"/>
        <w:ind w:left="720" w:right="113" w:firstLine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9E65A4" w:rsidRPr="009E65A4" w:rsidRDefault="004E6C90" w:rsidP="00446D61">
      <w:pPr>
        <w:numPr>
          <w:ilvl w:val="0"/>
          <w:numId w:val="12"/>
        </w:numPr>
        <w:spacing w:before="100" w:beforeAutospacing="1" w:after="100" w:afterAutospacing="1" w:line="240" w:lineRule="auto"/>
        <w:ind w:right="113" w:firstLine="35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Mimořádně přidělené investiční prostředky</w:t>
      </w:r>
    </w:p>
    <w:p w:rsidR="00207B7A" w:rsidRDefault="009E65A4" w:rsidP="00446D61">
      <w:pPr>
        <w:spacing w:before="100" w:beforeAutospacing="1" w:after="100" w:afterAutospacing="1" w:line="240" w:lineRule="auto"/>
        <w:ind w:left="720" w:right="113"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5D24BF">
        <w:rPr>
          <w:rFonts w:ascii="Times New Roman" w:hAnsi="Times New Roman"/>
          <w:sz w:val="24"/>
          <w:szCs w:val="24"/>
        </w:rPr>
        <w:t>Usnesením vlády č 430 ze dne 5. července 2017 byl Ministerstvu spravedlnosti navýšen rozpočet výdajů kapitoly 336 na pokrytí finančních potřeb VS</w:t>
      </w:r>
      <w:r w:rsidR="00177334">
        <w:rPr>
          <w:rFonts w:ascii="Times New Roman" w:hAnsi="Times New Roman"/>
          <w:sz w:val="24"/>
          <w:szCs w:val="24"/>
        </w:rPr>
        <w:t xml:space="preserve"> </w:t>
      </w:r>
      <w:r w:rsidRPr="005D24BF">
        <w:rPr>
          <w:rFonts w:ascii="Times New Roman" w:hAnsi="Times New Roman"/>
          <w:sz w:val="24"/>
          <w:szCs w:val="24"/>
        </w:rPr>
        <w:t xml:space="preserve">ČR na realizaci energetických úsporných </w:t>
      </w:r>
      <w:r w:rsidR="00177334">
        <w:rPr>
          <w:rFonts w:ascii="Times New Roman" w:hAnsi="Times New Roman"/>
          <w:sz w:val="24"/>
          <w:szCs w:val="24"/>
        </w:rPr>
        <w:t xml:space="preserve">opatření podle </w:t>
      </w:r>
      <w:r w:rsidR="00FE6724">
        <w:rPr>
          <w:rFonts w:ascii="Times New Roman" w:hAnsi="Times New Roman"/>
          <w:sz w:val="24"/>
          <w:szCs w:val="24"/>
        </w:rPr>
        <w:t xml:space="preserve">článku 5 </w:t>
      </w:r>
      <w:r w:rsidR="00177334">
        <w:rPr>
          <w:rFonts w:ascii="Times New Roman" w:hAnsi="Times New Roman"/>
          <w:sz w:val="24"/>
          <w:szCs w:val="24"/>
        </w:rPr>
        <w:t>EED</w:t>
      </w:r>
      <w:r w:rsidRPr="005D24BF">
        <w:rPr>
          <w:rFonts w:ascii="Times New Roman" w:hAnsi="Times New Roman"/>
          <w:sz w:val="24"/>
          <w:szCs w:val="24"/>
        </w:rPr>
        <w:t xml:space="preserve"> v roce 2018 o 408 039 798,-</w:t>
      </w:r>
      <w:r w:rsidR="000D3C00">
        <w:rPr>
          <w:rFonts w:ascii="Times New Roman" w:hAnsi="Times New Roman"/>
          <w:sz w:val="24"/>
          <w:szCs w:val="24"/>
        </w:rPr>
        <w:t xml:space="preserve"> </w:t>
      </w:r>
      <w:r w:rsidRPr="005D24BF">
        <w:rPr>
          <w:rFonts w:ascii="Times New Roman" w:hAnsi="Times New Roman"/>
          <w:sz w:val="24"/>
          <w:szCs w:val="24"/>
        </w:rPr>
        <w:t>Kč. Po dohodě s Ministerstvem financí byla nakonec do rozpočtu roku 2018 přidělena pouze částka 158 000 tis. Kč s tím, že další prostředky byly zahrnuty do střednědobého výhledu (</w:t>
      </w:r>
      <w:r w:rsidR="00177334">
        <w:rPr>
          <w:rFonts w:ascii="Times New Roman" w:hAnsi="Times New Roman"/>
          <w:sz w:val="24"/>
          <w:szCs w:val="24"/>
        </w:rPr>
        <w:t>dále jen „</w:t>
      </w:r>
      <w:r w:rsidRPr="005D24BF">
        <w:rPr>
          <w:rFonts w:ascii="Times New Roman" w:hAnsi="Times New Roman"/>
          <w:sz w:val="24"/>
          <w:szCs w:val="24"/>
        </w:rPr>
        <w:t>SDV</w:t>
      </w:r>
      <w:r w:rsidR="00177334">
        <w:rPr>
          <w:rFonts w:ascii="Times New Roman" w:hAnsi="Times New Roman"/>
          <w:sz w:val="24"/>
          <w:szCs w:val="24"/>
        </w:rPr>
        <w:t>“</w:t>
      </w:r>
      <w:r w:rsidRPr="005D24BF">
        <w:rPr>
          <w:rFonts w:ascii="Times New Roman" w:hAnsi="Times New Roman"/>
          <w:sz w:val="24"/>
          <w:szCs w:val="24"/>
        </w:rPr>
        <w:t>).</w:t>
      </w:r>
    </w:p>
    <w:p w:rsidR="009E65A4" w:rsidRPr="005D24BF" w:rsidRDefault="009E65A4" w:rsidP="00446D61">
      <w:pPr>
        <w:spacing w:before="100" w:beforeAutospacing="1" w:after="100" w:afterAutospacing="1" w:line="240" w:lineRule="auto"/>
        <w:ind w:left="720" w:right="113" w:firstLine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9E65A4" w:rsidRPr="005D24BF" w:rsidRDefault="009E65A4" w:rsidP="00446D61">
      <w:pPr>
        <w:spacing w:before="100" w:beforeAutospacing="1" w:after="100" w:afterAutospacing="1" w:line="240" w:lineRule="auto"/>
        <w:ind w:left="720" w:right="113" w:firstLine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D24BF">
        <w:rPr>
          <w:rFonts w:ascii="Times New Roman" w:hAnsi="Times New Roman"/>
          <w:sz w:val="24"/>
          <w:szCs w:val="24"/>
        </w:rPr>
        <w:t>Rozdělení investičních prostředků</w:t>
      </w:r>
      <w:r w:rsidR="00623654">
        <w:rPr>
          <w:rFonts w:ascii="Times New Roman" w:hAnsi="Times New Roman"/>
          <w:sz w:val="24"/>
          <w:szCs w:val="24"/>
        </w:rPr>
        <w:t xml:space="preserve"> ve výši 800 000 tis. Kč</w:t>
      </w:r>
      <w:r w:rsidRPr="005D24BF">
        <w:rPr>
          <w:rFonts w:ascii="Times New Roman" w:hAnsi="Times New Roman"/>
          <w:sz w:val="24"/>
          <w:szCs w:val="24"/>
        </w:rPr>
        <w:t xml:space="preserve"> pro plnění závazku úspor vyplývajících z čl</w:t>
      </w:r>
      <w:r w:rsidR="00FE6724">
        <w:rPr>
          <w:rFonts w:ascii="Times New Roman" w:hAnsi="Times New Roman"/>
          <w:sz w:val="24"/>
          <w:szCs w:val="24"/>
        </w:rPr>
        <w:t>ánku</w:t>
      </w:r>
      <w:r w:rsidRPr="005D24BF">
        <w:rPr>
          <w:rFonts w:ascii="Times New Roman" w:hAnsi="Times New Roman"/>
          <w:sz w:val="24"/>
          <w:szCs w:val="24"/>
        </w:rPr>
        <w:t xml:space="preserve"> 5 EED</w:t>
      </w:r>
      <w:r w:rsidR="00623654">
        <w:rPr>
          <w:rFonts w:ascii="Times New Roman" w:hAnsi="Times New Roman"/>
          <w:sz w:val="24"/>
          <w:szCs w:val="24"/>
        </w:rPr>
        <w:t xml:space="preserve"> do let</w:t>
      </w:r>
      <w:r>
        <w:rPr>
          <w:rFonts w:ascii="Times New Roman" w:hAnsi="Times New Roman"/>
          <w:sz w:val="24"/>
          <w:szCs w:val="24"/>
        </w:rPr>
        <w:t>:</w:t>
      </w:r>
      <w:r w:rsidRPr="005D24BF">
        <w:rPr>
          <w:rFonts w:ascii="Times New Roman" w:hAnsi="Times New Roman"/>
          <w:b/>
          <w:sz w:val="24"/>
          <w:szCs w:val="24"/>
        </w:rPr>
        <w:t xml:space="preserve">      </w:t>
      </w:r>
    </w:p>
    <w:p w:rsidR="009E65A4" w:rsidRPr="005D24BF" w:rsidRDefault="009E65A4" w:rsidP="00446D61">
      <w:pPr>
        <w:spacing w:before="100" w:beforeAutospacing="1" w:after="100" w:afterAutospacing="1" w:line="240" w:lineRule="auto"/>
        <w:ind w:left="720" w:right="113" w:firstLine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D24BF">
        <w:rPr>
          <w:rFonts w:ascii="Times New Roman" w:hAnsi="Times New Roman"/>
          <w:b/>
          <w:sz w:val="24"/>
          <w:szCs w:val="24"/>
        </w:rPr>
        <w:t xml:space="preserve">    </w:t>
      </w:r>
    </w:p>
    <w:p w:rsidR="009E65A4" w:rsidRPr="005D24BF" w:rsidRDefault="009E65A4" w:rsidP="00446D61">
      <w:pPr>
        <w:spacing w:before="100" w:beforeAutospacing="1" w:after="100" w:afterAutospacing="1" w:line="240" w:lineRule="auto"/>
        <w:ind w:right="113"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5D24BF">
        <w:rPr>
          <w:rFonts w:ascii="Times New Roman" w:hAnsi="Times New Roman"/>
          <w:sz w:val="24"/>
          <w:szCs w:val="24"/>
        </w:rPr>
        <w:t>2018 – 158 000 tis. Kč</w:t>
      </w:r>
      <w:r w:rsidR="00DC06D9">
        <w:rPr>
          <w:rFonts w:ascii="Times New Roman" w:hAnsi="Times New Roman"/>
          <w:sz w:val="24"/>
          <w:szCs w:val="24"/>
        </w:rPr>
        <w:t xml:space="preserve"> (rozpočet)</w:t>
      </w:r>
    </w:p>
    <w:p w:rsidR="009E65A4" w:rsidRPr="005D24BF" w:rsidRDefault="009E65A4" w:rsidP="00446D61">
      <w:pPr>
        <w:spacing w:before="100" w:beforeAutospacing="1" w:after="100" w:afterAutospacing="1" w:line="240" w:lineRule="auto"/>
        <w:ind w:right="113"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5D24BF">
        <w:rPr>
          <w:rFonts w:ascii="Times New Roman" w:hAnsi="Times New Roman"/>
          <w:sz w:val="24"/>
          <w:szCs w:val="24"/>
        </w:rPr>
        <w:t>2019 – 400 000 tis. Kč (SDV)</w:t>
      </w:r>
    </w:p>
    <w:p w:rsidR="009E65A4" w:rsidRPr="005D24BF" w:rsidRDefault="009E65A4" w:rsidP="00446D61">
      <w:pPr>
        <w:spacing w:before="100" w:beforeAutospacing="1" w:after="100" w:afterAutospacing="1" w:line="240" w:lineRule="auto"/>
        <w:ind w:right="113"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5D24BF">
        <w:rPr>
          <w:rFonts w:ascii="Times New Roman" w:hAnsi="Times New Roman"/>
          <w:sz w:val="24"/>
          <w:szCs w:val="24"/>
        </w:rPr>
        <w:t>2020 – 242 000 tis. Kč (SDV)</w:t>
      </w:r>
    </w:p>
    <w:p w:rsidR="009E65A4" w:rsidRDefault="009E65A4" w:rsidP="00446D61">
      <w:pPr>
        <w:spacing w:before="100" w:beforeAutospacing="1" w:after="100" w:afterAutospacing="1" w:line="240" w:lineRule="auto"/>
        <w:ind w:left="720" w:right="113" w:firstLine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9E65A4" w:rsidRPr="00623654" w:rsidRDefault="009E65A4" w:rsidP="00623654">
      <w:pPr>
        <w:spacing w:before="100" w:beforeAutospacing="1" w:after="100" w:afterAutospacing="1" w:line="240" w:lineRule="auto"/>
        <w:ind w:left="720" w:right="113" w:firstLine="35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těchto mimořádně přidělených prostředků jsou a budou realizovány pouze energeticky úsporné akce.</w:t>
      </w:r>
      <w:r w:rsidR="00623654">
        <w:rPr>
          <w:rFonts w:ascii="Times New Roman" w:hAnsi="Times New Roman"/>
          <w:sz w:val="24"/>
          <w:szCs w:val="24"/>
        </w:rPr>
        <w:t xml:space="preserve"> V součas</w:t>
      </w:r>
      <w:r w:rsidR="0028786C">
        <w:rPr>
          <w:rFonts w:ascii="Times New Roman" w:hAnsi="Times New Roman"/>
          <w:sz w:val="24"/>
          <w:szCs w:val="24"/>
        </w:rPr>
        <w:t>né době je předpoklad využití 351</w:t>
      </w:r>
      <w:r w:rsidR="00623654">
        <w:rPr>
          <w:rFonts w:ascii="Times New Roman" w:hAnsi="Times New Roman"/>
          <w:sz w:val="24"/>
          <w:szCs w:val="24"/>
        </w:rPr>
        <w:t> </w:t>
      </w:r>
      <w:r w:rsidR="0028786C">
        <w:rPr>
          <w:rFonts w:ascii="Times New Roman" w:hAnsi="Times New Roman"/>
          <w:sz w:val="24"/>
          <w:szCs w:val="24"/>
        </w:rPr>
        <w:t>537</w:t>
      </w:r>
      <w:r w:rsidR="00623654">
        <w:rPr>
          <w:rFonts w:ascii="Times New Roman" w:hAnsi="Times New Roman"/>
          <w:sz w:val="24"/>
          <w:szCs w:val="24"/>
        </w:rPr>
        <w:t>,</w:t>
      </w:r>
      <w:r w:rsidR="0028786C">
        <w:rPr>
          <w:rFonts w:ascii="Times New Roman" w:hAnsi="Times New Roman"/>
          <w:sz w:val="24"/>
          <w:szCs w:val="24"/>
        </w:rPr>
        <w:t>95</w:t>
      </w:r>
      <w:r w:rsidR="00623654">
        <w:rPr>
          <w:rFonts w:ascii="Times New Roman" w:hAnsi="Times New Roman"/>
          <w:sz w:val="24"/>
          <w:szCs w:val="24"/>
        </w:rPr>
        <w:t xml:space="preserve"> tis. Kč. V</w:t>
      </w:r>
      <w:r w:rsidR="00623654" w:rsidRPr="000D3C00">
        <w:rPr>
          <w:rFonts w:ascii="Times New Roman" w:hAnsi="Times New Roman"/>
          <w:sz w:val="24"/>
          <w:szCs w:val="24"/>
        </w:rPr>
        <w:t>iz Příloha č.</w:t>
      </w:r>
      <w:r w:rsidR="00623654">
        <w:rPr>
          <w:rFonts w:ascii="Times New Roman" w:hAnsi="Times New Roman"/>
          <w:sz w:val="24"/>
          <w:szCs w:val="24"/>
        </w:rPr>
        <w:t xml:space="preserve"> </w:t>
      </w:r>
      <w:r w:rsidR="00623654" w:rsidRPr="000D3C00">
        <w:rPr>
          <w:rFonts w:ascii="Times New Roman" w:hAnsi="Times New Roman"/>
          <w:sz w:val="24"/>
          <w:szCs w:val="24"/>
        </w:rPr>
        <w:t>3</w:t>
      </w:r>
      <w:r w:rsidR="00623654">
        <w:rPr>
          <w:rFonts w:ascii="Times New Roman" w:hAnsi="Times New Roman"/>
          <w:sz w:val="24"/>
          <w:szCs w:val="24"/>
        </w:rPr>
        <w:t>.</w:t>
      </w:r>
      <w:r w:rsidR="0062365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23654">
        <w:rPr>
          <w:rFonts w:ascii="Times New Roman" w:hAnsi="Times New Roman"/>
          <w:sz w:val="24"/>
          <w:szCs w:val="24"/>
        </w:rPr>
        <w:t xml:space="preserve">Není však vyloučeno, že potřeba prostředků v průběhu realizací akcí vzroste. </w:t>
      </w:r>
    </w:p>
    <w:p w:rsidR="00150302" w:rsidRDefault="00150302" w:rsidP="00446D61">
      <w:pPr>
        <w:spacing w:before="100" w:beforeAutospacing="1" w:after="100" w:afterAutospacing="1" w:line="240" w:lineRule="auto"/>
        <w:ind w:left="720" w:right="113" w:firstLine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5D24BF" w:rsidRDefault="005D24BF" w:rsidP="00446D61">
      <w:pPr>
        <w:spacing w:before="100" w:beforeAutospacing="1" w:after="100" w:afterAutospacing="1" w:line="240" w:lineRule="auto"/>
        <w:ind w:right="113" w:firstLine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FE6724" w:rsidRDefault="00FE6724" w:rsidP="00446D61">
      <w:pPr>
        <w:spacing w:before="100" w:beforeAutospacing="1" w:after="100" w:afterAutospacing="1" w:line="240" w:lineRule="auto"/>
        <w:ind w:right="113" w:firstLine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FE6724" w:rsidRDefault="00FE6724" w:rsidP="00446D61">
      <w:pPr>
        <w:spacing w:before="100" w:beforeAutospacing="1" w:after="100" w:afterAutospacing="1" w:line="240" w:lineRule="auto"/>
        <w:ind w:right="113" w:firstLine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FE6724" w:rsidRDefault="00FE6724" w:rsidP="00446D61">
      <w:pPr>
        <w:spacing w:before="100" w:beforeAutospacing="1" w:after="100" w:afterAutospacing="1" w:line="240" w:lineRule="auto"/>
        <w:ind w:right="113" w:firstLine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177334" w:rsidRDefault="00177334" w:rsidP="00446D61">
      <w:pPr>
        <w:spacing w:before="100" w:beforeAutospacing="1" w:after="100" w:afterAutospacing="1" w:line="240" w:lineRule="auto"/>
        <w:ind w:right="113" w:firstLine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177334" w:rsidRPr="009E65A4" w:rsidRDefault="00177334" w:rsidP="00446D61">
      <w:pPr>
        <w:spacing w:before="100" w:beforeAutospacing="1" w:after="100" w:afterAutospacing="1" w:line="240" w:lineRule="auto"/>
        <w:ind w:right="113" w:firstLine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DF6B5E" w:rsidRDefault="00BF3416" w:rsidP="00446D61">
      <w:pPr>
        <w:numPr>
          <w:ilvl w:val="2"/>
          <w:numId w:val="9"/>
        </w:numPr>
        <w:spacing w:before="100" w:beforeAutospacing="1" w:after="100" w:afterAutospacing="1" w:line="240" w:lineRule="auto"/>
        <w:ind w:right="113" w:firstLine="357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F6B5E">
        <w:rPr>
          <w:rFonts w:ascii="Times New Roman" w:eastAsia="Times New Roman" w:hAnsi="Times New Roman"/>
          <w:b/>
          <w:sz w:val="24"/>
          <w:szCs w:val="24"/>
          <w:lang w:eastAsia="cs-CZ"/>
        </w:rPr>
        <w:t>Prostředky OPŽP</w:t>
      </w:r>
    </w:p>
    <w:p w:rsidR="00DF6B5E" w:rsidRPr="00DF6B5E" w:rsidRDefault="00DF6B5E" w:rsidP="00DF6B5E">
      <w:pPr>
        <w:spacing w:before="100" w:beforeAutospacing="1" w:after="100" w:afterAutospacing="1" w:line="240" w:lineRule="auto"/>
        <w:ind w:left="709" w:right="113" w:firstLine="37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 současné době má vězeňská služba schváleny dotace z OPŽP u celkem pěti akcí. Jsou to Energeticky úsporný projekt (dále jen EÚP) ve věznici Jiřice, EÚP ve věznici Nové Sedlo, EÚP ve věznici Ostrov, EÚP ve věznici Valdice a EÚP ve věznici Všehrdy. Připravuje se další projekt a žádost o dotaci z OPŽP, a to EÚP ve věznici Pankrác. Schválená částka z prostředků OPŽP činí bez prozatím neschváleného projektu ve vězn</w:t>
      </w:r>
      <w:r w:rsidR="00177334">
        <w:rPr>
          <w:rFonts w:ascii="Times New Roman" w:eastAsia="Times New Roman" w:hAnsi="Times New Roman"/>
          <w:sz w:val="24"/>
          <w:szCs w:val="24"/>
          <w:lang w:eastAsia="cs-CZ"/>
        </w:rPr>
        <w:t>ici Pankrác částku 158 660 tis.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Kč. Financování z OPŽP tvoří 40 % z celkových uznatelných výdajů akce. Více viz Příloha č. 3.</w:t>
      </w:r>
    </w:p>
    <w:p w:rsidR="00BF3416" w:rsidRPr="00DF6B5E" w:rsidRDefault="00BF3416" w:rsidP="00446D61">
      <w:pPr>
        <w:numPr>
          <w:ilvl w:val="2"/>
          <w:numId w:val="9"/>
        </w:numPr>
        <w:spacing w:before="100" w:beforeAutospacing="1" w:after="100" w:afterAutospacing="1" w:line="240" w:lineRule="auto"/>
        <w:ind w:right="113" w:firstLine="357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F6B5E">
        <w:rPr>
          <w:rFonts w:ascii="Times New Roman" w:eastAsia="Times New Roman" w:hAnsi="Times New Roman"/>
          <w:b/>
          <w:sz w:val="24"/>
          <w:szCs w:val="24"/>
          <w:lang w:eastAsia="cs-CZ"/>
        </w:rPr>
        <w:t>Nová zelená úsporám</w:t>
      </w:r>
    </w:p>
    <w:p w:rsidR="0085386B" w:rsidRDefault="0085386B" w:rsidP="00446D61">
      <w:pPr>
        <w:spacing w:before="100" w:beforeAutospacing="1" w:after="100" w:afterAutospacing="1" w:line="240" w:lineRule="auto"/>
        <w:ind w:right="113" w:firstLine="3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6B5E" w:rsidRPr="00DF6B5E" w:rsidRDefault="00DF6B5E" w:rsidP="00DF6B5E">
      <w:pPr>
        <w:spacing w:before="100" w:beforeAutospacing="1" w:after="100" w:afterAutospacing="1" w:line="240" w:lineRule="auto"/>
        <w:ind w:left="709" w:right="113" w:firstLine="36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Všechny projekty zmíněné v bodě 2.2.2 budou současně s prostředků OPŽP spolufinancovány i z prostředků NZÚ.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Financování z NZÚ tvoří 45 % z celkových uznatelných výdajů akce. Více viz Příloha č. 3.</w:t>
      </w:r>
    </w:p>
    <w:p w:rsidR="006F6517" w:rsidRDefault="006F6517" w:rsidP="00446D61">
      <w:pPr>
        <w:autoSpaceDE w:val="0"/>
        <w:autoSpaceDN w:val="0"/>
        <w:adjustRightInd w:val="0"/>
        <w:spacing w:after="0" w:line="240" w:lineRule="auto"/>
        <w:ind w:left="360" w:firstLine="357"/>
        <w:rPr>
          <w:rFonts w:ascii="Times New Roman" w:hAnsi="Times New Roman"/>
          <w:b/>
          <w:sz w:val="24"/>
          <w:szCs w:val="24"/>
          <w:lang w:eastAsia="cs-CZ"/>
        </w:rPr>
      </w:pPr>
    </w:p>
    <w:p w:rsidR="0028786C" w:rsidRDefault="0028786C" w:rsidP="00446D61">
      <w:pPr>
        <w:autoSpaceDE w:val="0"/>
        <w:autoSpaceDN w:val="0"/>
        <w:adjustRightInd w:val="0"/>
        <w:spacing w:after="0" w:line="240" w:lineRule="auto"/>
        <w:ind w:left="360" w:firstLine="357"/>
        <w:rPr>
          <w:rFonts w:ascii="Times New Roman" w:hAnsi="Times New Roman"/>
          <w:b/>
          <w:sz w:val="24"/>
          <w:szCs w:val="24"/>
          <w:lang w:eastAsia="cs-CZ"/>
        </w:rPr>
      </w:pPr>
    </w:p>
    <w:p w:rsidR="00862752" w:rsidRPr="005D24BF" w:rsidRDefault="00862752" w:rsidP="00446D61">
      <w:pPr>
        <w:autoSpaceDE w:val="0"/>
        <w:autoSpaceDN w:val="0"/>
        <w:adjustRightInd w:val="0"/>
        <w:spacing w:after="0" w:line="240" w:lineRule="auto"/>
        <w:ind w:left="360" w:firstLine="357"/>
        <w:rPr>
          <w:rFonts w:ascii="Times New Roman" w:hAnsi="Times New Roman"/>
          <w:b/>
          <w:sz w:val="24"/>
          <w:szCs w:val="24"/>
          <w:lang w:eastAsia="cs-CZ"/>
        </w:rPr>
      </w:pPr>
    </w:p>
    <w:p w:rsidR="00735DBF" w:rsidRPr="005D24BF" w:rsidRDefault="00735DBF" w:rsidP="00446D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  <w:b/>
          <w:sz w:val="24"/>
          <w:szCs w:val="24"/>
          <w:lang w:eastAsia="cs-CZ"/>
        </w:rPr>
      </w:pPr>
      <w:r w:rsidRPr="005D24BF">
        <w:rPr>
          <w:rFonts w:ascii="Times New Roman" w:hAnsi="Times New Roman"/>
          <w:b/>
          <w:sz w:val="24"/>
          <w:szCs w:val="24"/>
          <w:lang w:eastAsia="cs-CZ"/>
        </w:rPr>
        <w:t>Nejvyšší správní soud</w:t>
      </w:r>
    </w:p>
    <w:p w:rsidR="00F27A64" w:rsidRPr="005D24BF" w:rsidRDefault="00F27A64" w:rsidP="00446D61">
      <w:pPr>
        <w:autoSpaceDE w:val="0"/>
        <w:autoSpaceDN w:val="0"/>
        <w:adjustRightInd w:val="0"/>
        <w:spacing w:after="0" w:line="240" w:lineRule="auto"/>
        <w:ind w:left="1440" w:firstLine="357"/>
        <w:rPr>
          <w:rFonts w:ascii="Times New Roman" w:hAnsi="Times New Roman"/>
          <w:b/>
          <w:sz w:val="24"/>
          <w:szCs w:val="24"/>
          <w:lang w:eastAsia="cs-CZ"/>
        </w:rPr>
      </w:pPr>
    </w:p>
    <w:tbl>
      <w:tblPr>
        <w:tblW w:w="61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6"/>
        <w:gridCol w:w="1072"/>
      </w:tblGrid>
      <w:tr w:rsidR="00735DBF" w:rsidRPr="005D24BF" w:rsidTr="00795C65">
        <w:trPr>
          <w:trHeight w:val="217"/>
        </w:trPr>
        <w:tc>
          <w:tcPr>
            <w:tcW w:w="6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Nejvyšší správní soud</w:t>
            </w:r>
            <w:r w:rsidR="002878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-</w:t>
            </w:r>
            <w:r w:rsidRPr="005D2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8786C" w:rsidRPr="005D2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stav k 30.</w:t>
            </w:r>
            <w:r w:rsidR="002878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8786C" w:rsidRPr="005D2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4.</w:t>
            </w:r>
            <w:r w:rsidR="002878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8786C" w:rsidRPr="005D2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2018</w:t>
            </w:r>
          </w:p>
        </w:tc>
      </w:tr>
      <w:tr w:rsidR="00735DBF" w:rsidRPr="005D24BF" w:rsidTr="00795C65">
        <w:trPr>
          <w:trHeight w:val="205"/>
        </w:trPr>
        <w:tc>
          <w:tcPr>
            <w:tcW w:w="5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Závazek úspor energie (MWh)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74F1D" w:rsidP="00774F1D">
            <w:pPr>
              <w:spacing w:after="0" w:line="240" w:lineRule="auto"/>
              <w:ind w:firstLine="3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64,71</w:t>
            </w:r>
          </w:p>
        </w:tc>
      </w:tr>
      <w:tr w:rsidR="00735DBF" w:rsidRPr="005D24BF" w:rsidTr="00795C65">
        <w:trPr>
          <w:trHeight w:val="205"/>
        </w:trPr>
        <w:tc>
          <w:tcPr>
            <w:tcW w:w="5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Stav plnění (MWh)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795C65" w:rsidRPr="005D24BF" w:rsidTr="00795C65">
        <w:trPr>
          <w:trHeight w:val="205"/>
        </w:trPr>
        <w:tc>
          <w:tcPr>
            <w:tcW w:w="5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C65" w:rsidRPr="005D24BF" w:rsidRDefault="00795C65" w:rsidP="00446D61">
            <w:pPr>
              <w:spacing w:after="0" w:line="240" w:lineRule="auto"/>
              <w:ind w:firstLine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Stav plnění v 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5C65" w:rsidRPr="005D24BF" w:rsidRDefault="00795C65" w:rsidP="00446D61">
            <w:pPr>
              <w:spacing w:after="0" w:line="240" w:lineRule="auto"/>
              <w:ind w:firstLine="3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735DBF" w:rsidRPr="005D24BF" w:rsidTr="00795C65">
        <w:trPr>
          <w:trHeight w:val="205"/>
        </w:trPr>
        <w:tc>
          <w:tcPr>
            <w:tcW w:w="5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95C65" w:rsidP="00446D61">
            <w:pPr>
              <w:spacing w:after="0" w:line="240" w:lineRule="auto"/>
              <w:ind w:firstLine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Plán plnění do roku 2020 (MWh)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95C65" w:rsidP="00774F1D">
            <w:pPr>
              <w:spacing w:after="0" w:line="240" w:lineRule="auto"/>
              <w:ind w:firstLine="3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94,</w:t>
            </w:r>
            <w:r w:rsidR="00774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</w:tbl>
    <w:p w:rsidR="00735DBF" w:rsidRDefault="00913F08" w:rsidP="00446D61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357"/>
        <w:jc w:val="both"/>
        <w:rPr>
          <w:rFonts w:ascii="Times New Roman" w:hAnsi="Times New Roman"/>
          <w:sz w:val="24"/>
          <w:szCs w:val="24"/>
          <w:lang w:eastAsia="cs-CZ"/>
        </w:rPr>
      </w:pPr>
      <w:r w:rsidRPr="005D24BF">
        <w:rPr>
          <w:rFonts w:ascii="Times New Roman" w:hAnsi="Times New Roman"/>
          <w:sz w:val="24"/>
          <w:szCs w:val="24"/>
          <w:lang w:eastAsia="cs-CZ"/>
        </w:rPr>
        <w:t>Plán Rekonstrukce objektů ukládá plnit Nejvyš</w:t>
      </w:r>
      <w:r w:rsidR="0085386B">
        <w:rPr>
          <w:rFonts w:ascii="Times New Roman" w:hAnsi="Times New Roman"/>
          <w:sz w:val="24"/>
          <w:szCs w:val="24"/>
          <w:lang w:eastAsia="cs-CZ"/>
        </w:rPr>
        <w:t xml:space="preserve">šímu správnímu soudu do r. 2020 </w:t>
      </w:r>
      <w:r w:rsidRPr="005D24BF">
        <w:rPr>
          <w:rFonts w:ascii="Times New Roman" w:hAnsi="Times New Roman"/>
          <w:sz w:val="24"/>
          <w:szCs w:val="24"/>
          <w:lang w:eastAsia="cs-CZ"/>
        </w:rPr>
        <w:t xml:space="preserve">úsporná opatření v celkové hodnotě 65 MWh, tj. </w:t>
      </w:r>
      <w:r w:rsidR="00774F1D">
        <w:rPr>
          <w:rFonts w:ascii="Times New Roman" w:hAnsi="Times New Roman"/>
          <w:sz w:val="24"/>
          <w:szCs w:val="24"/>
          <w:lang w:eastAsia="cs-CZ"/>
        </w:rPr>
        <w:t>233</w:t>
      </w:r>
      <w:r w:rsidRPr="005D24BF">
        <w:rPr>
          <w:rFonts w:ascii="Times New Roman" w:hAnsi="Times New Roman"/>
          <w:sz w:val="24"/>
          <w:szCs w:val="24"/>
          <w:lang w:eastAsia="cs-CZ"/>
        </w:rPr>
        <w:t>GJ</w:t>
      </w:r>
      <w:r w:rsidR="0085386B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735DBF" w:rsidRPr="005D24BF">
        <w:rPr>
          <w:rFonts w:ascii="Times New Roman" w:hAnsi="Times New Roman"/>
          <w:sz w:val="24"/>
          <w:szCs w:val="24"/>
          <w:lang w:eastAsia="cs-CZ"/>
        </w:rPr>
        <w:t xml:space="preserve">Pro naplnění </w:t>
      </w:r>
      <w:r w:rsidR="00735DBF" w:rsidRPr="005D24BF">
        <w:rPr>
          <w:rFonts w:ascii="Times New Roman" w:hAnsi="Times New Roman"/>
          <w:bCs/>
          <w:sz w:val="24"/>
          <w:szCs w:val="24"/>
          <w:lang w:eastAsia="cs-CZ"/>
        </w:rPr>
        <w:t>plánu rekonstrukce objektů</w:t>
      </w:r>
      <w:r w:rsidR="00735DBF" w:rsidRPr="005D24BF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r w:rsidR="00735DBF" w:rsidRPr="005D24BF">
        <w:rPr>
          <w:rFonts w:ascii="Times New Roman" w:hAnsi="Times New Roman"/>
          <w:sz w:val="24"/>
          <w:szCs w:val="24"/>
          <w:lang w:eastAsia="cs-CZ"/>
        </w:rPr>
        <w:t>plánuje provést rekonstrukci výměníkové stanice. V současné době je Nejvyšší správní soud zásobován parovodem z centrálního zdroje tepla. V roce 2019 bude dodavatel tepla, Teplárny Brno, a.s., realizovat výměnu parovodů za horkovody a dojde ke změně topného média, která si vyžádá rekonstrukci výměníkové stranice v budově Nejvyššího správního soudu.</w:t>
      </w:r>
    </w:p>
    <w:p w:rsidR="00862752" w:rsidRDefault="00735DBF" w:rsidP="005050C2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357"/>
        <w:jc w:val="both"/>
        <w:rPr>
          <w:rFonts w:ascii="Times New Roman" w:hAnsi="Times New Roman"/>
          <w:sz w:val="24"/>
          <w:szCs w:val="24"/>
          <w:lang w:eastAsia="cs-CZ"/>
        </w:rPr>
      </w:pPr>
      <w:r w:rsidRPr="005D24BF">
        <w:rPr>
          <w:rFonts w:ascii="Times New Roman" w:hAnsi="Times New Roman"/>
          <w:sz w:val="24"/>
          <w:szCs w:val="24"/>
          <w:lang w:eastAsia="cs-CZ"/>
        </w:rPr>
        <w:t xml:space="preserve">Změnou topného média dojde ke snížení spotřeby tepla o cca 15 %, tj. o cca </w:t>
      </w:r>
      <w:r w:rsidR="00177334">
        <w:rPr>
          <w:rFonts w:ascii="Times New Roman" w:hAnsi="Times New Roman"/>
          <w:sz w:val="24"/>
          <w:szCs w:val="24"/>
          <w:lang w:eastAsia="cs-CZ"/>
        </w:rPr>
        <w:t>94,7 MWh (</w:t>
      </w:r>
      <w:r w:rsidR="00774F1D">
        <w:rPr>
          <w:rFonts w:ascii="Times New Roman" w:hAnsi="Times New Roman"/>
          <w:sz w:val="24"/>
          <w:szCs w:val="24"/>
          <w:lang w:eastAsia="cs-CZ"/>
        </w:rPr>
        <w:t>341</w:t>
      </w:r>
      <w:r w:rsidRPr="005D24BF">
        <w:rPr>
          <w:rFonts w:ascii="Times New Roman" w:hAnsi="Times New Roman"/>
          <w:sz w:val="24"/>
          <w:szCs w:val="24"/>
          <w:lang w:eastAsia="cs-CZ"/>
        </w:rPr>
        <w:t>GJ</w:t>
      </w:r>
      <w:r w:rsidR="00177334">
        <w:rPr>
          <w:rFonts w:ascii="Times New Roman" w:hAnsi="Times New Roman"/>
          <w:sz w:val="24"/>
          <w:szCs w:val="24"/>
          <w:lang w:eastAsia="cs-CZ"/>
        </w:rPr>
        <w:t>)</w:t>
      </w:r>
      <w:r w:rsidRPr="005D24BF">
        <w:rPr>
          <w:rFonts w:ascii="Times New Roman" w:hAnsi="Times New Roman"/>
          <w:sz w:val="24"/>
          <w:szCs w:val="24"/>
          <w:lang w:eastAsia="cs-CZ"/>
        </w:rPr>
        <w:t xml:space="preserve"> za rok, při </w:t>
      </w:r>
      <w:r w:rsidR="00F27A64" w:rsidRPr="005D24BF">
        <w:rPr>
          <w:rFonts w:ascii="Times New Roman" w:hAnsi="Times New Roman"/>
          <w:sz w:val="24"/>
          <w:szCs w:val="24"/>
          <w:lang w:eastAsia="cs-CZ"/>
        </w:rPr>
        <w:t xml:space="preserve">průměrné roční spotřebě 2 </w:t>
      </w:r>
      <w:r w:rsidRPr="005D24BF">
        <w:rPr>
          <w:rFonts w:ascii="Times New Roman" w:hAnsi="Times New Roman"/>
          <w:sz w:val="24"/>
          <w:szCs w:val="24"/>
          <w:lang w:eastAsia="cs-CZ"/>
        </w:rPr>
        <w:t>270 GJ. Finanční úspora by představovala cca 180 tis. Kč ročn</w:t>
      </w:r>
      <w:r w:rsidR="00177334">
        <w:rPr>
          <w:rFonts w:ascii="Times New Roman" w:hAnsi="Times New Roman"/>
          <w:sz w:val="24"/>
          <w:szCs w:val="24"/>
          <w:lang w:eastAsia="cs-CZ"/>
        </w:rPr>
        <w:t xml:space="preserve">ě. </w:t>
      </w:r>
      <w:r w:rsidRPr="005D24BF">
        <w:rPr>
          <w:rFonts w:ascii="Times New Roman" w:hAnsi="Times New Roman"/>
          <w:sz w:val="24"/>
          <w:szCs w:val="24"/>
          <w:lang w:eastAsia="cs-CZ"/>
        </w:rPr>
        <w:t>Realizace</w:t>
      </w:r>
      <w:r w:rsidR="00F27A64" w:rsidRPr="005D24BF">
        <w:rPr>
          <w:rFonts w:ascii="Times New Roman" w:hAnsi="Times New Roman"/>
          <w:sz w:val="24"/>
          <w:szCs w:val="24"/>
          <w:lang w:eastAsia="cs-CZ"/>
        </w:rPr>
        <w:t xml:space="preserve"> je předpokládána v roce</w:t>
      </w:r>
      <w:r w:rsidRPr="005D24BF">
        <w:rPr>
          <w:rFonts w:ascii="Times New Roman" w:hAnsi="Times New Roman"/>
          <w:sz w:val="24"/>
          <w:szCs w:val="24"/>
          <w:lang w:eastAsia="cs-CZ"/>
        </w:rPr>
        <w:t xml:space="preserve"> 2019</w:t>
      </w:r>
      <w:r w:rsidR="00F27A64" w:rsidRPr="005D24BF">
        <w:rPr>
          <w:rFonts w:ascii="Times New Roman" w:hAnsi="Times New Roman"/>
          <w:sz w:val="24"/>
          <w:szCs w:val="24"/>
          <w:lang w:eastAsia="cs-CZ"/>
        </w:rPr>
        <w:t>.</w:t>
      </w:r>
    </w:p>
    <w:p w:rsidR="005050C2" w:rsidRDefault="005050C2" w:rsidP="005050C2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357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8786C" w:rsidRDefault="0028786C" w:rsidP="005050C2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357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8786C" w:rsidRPr="005D24BF" w:rsidRDefault="0028786C" w:rsidP="005050C2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357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735DBF" w:rsidRPr="005D24BF" w:rsidRDefault="00735DBF" w:rsidP="00446D61">
      <w:pPr>
        <w:numPr>
          <w:ilvl w:val="0"/>
          <w:numId w:val="9"/>
        </w:numPr>
        <w:spacing w:before="100" w:beforeAutospacing="1" w:after="100" w:afterAutospacing="1" w:line="240" w:lineRule="auto"/>
        <w:ind w:right="113" w:firstLine="357"/>
        <w:jc w:val="both"/>
        <w:rPr>
          <w:rFonts w:ascii="Times New Roman" w:hAnsi="Times New Roman"/>
          <w:b/>
          <w:sz w:val="24"/>
          <w:szCs w:val="24"/>
        </w:rPr>
      </w:pPr>
      <w:r w:rsidRPr="005D24BF">
        <w:rPr>
          <w:rFonts w:ascii="Times New Roman" w:hAnsi="Times New Roman"/>
          <w:b/>
          <w:sz w:val="24"/>
          <w:szCs w:val="24"/>
        </w:rPr>
        <w:lastRenderedPageBreak/>
        <w:t>Nejvyšší soud</w:t>
      </w:r>
    </w:p>
    <w:tbl>
      <w:tblPr>
        <w:tblW w:w="61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1411"/>
      </w:tblGrid>
      <w:tr w:rsidR="00735DBF" w:rsidRPr="005D24BF" w:rsidTr="00087D0D">
        <w:trPr>
          <w:trHeight w:val="304"/>
        </w:trPr>
        <w:tc>
          <w:tcPr>
            <w:tcW w:w="6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5DBF" w:rsidRPr="005D24BF" w:rsidRDefault="00952902" w:rsidP="00446D61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Nejvyšší</w:t>
            </w:r>
            <w:r w:rsidR="00735DBF" w:rsidRPr="005D2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soud</w:t>
            </w:r>
            <w:r w:rsidR="002878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- </w:t>
            </w:r>
            <w:r w:rsidR="0028786C" w:rsidRPr="005D2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stav k 30.</w:t>
            </w:r>
            <w:r w:rsidR="002878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8786C" w:rsidRPr="005D2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4.</w:t>
            </w:r>
            <w:r w:rsidR="002878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8786C" w:rsidRPr="005D2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2018 </w:t>
            </w:r>
            <w:r w:rsidR="00735DBF" w:rsidRPr="005D2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35DBF" w:rsidRPr="005D24BF" w:rsidTr="00087D0D">
        <w:trPr>
          <w:trHeight w:val="29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Závazek úspor energie (MWh)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74F1D" w:rsidP="00446D61">
            <w:pPr>
              <w:spacing w:after="0" w:line="240" w:lineRule="auto"/>
              <w:ind w:firstLine="3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132,73</w:t>
            </w:r>
          </w:p>
        </w:tc>
      </w:tr>
      <w:tr w:rsidR="00735DBF" w:rsidRPr="005D24BF" w:rsidTr="00087D0D">
        <w:trPr>
          <w:trHeight w:val="29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Stav plnění (MWh)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735DBF" w:rsidRPr="005D24BF" w:rsidTr="00087D0D">
        <w:trPr>
          <w:trHeight w:val="29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Stav plnění v 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735DBF" w:rsidRPr="005D24BF" w:rsidTr="00087D0D">
        <w:trPr>
          <w:trHeight w:val="29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Plán plnění do roku 2020 (MWh)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952902" w:rsidP="00446D61">
            <w:pPr>
              <w:spacing w:after="0" w:line="240" w:lineRule="auto"/>
              <w:ind w:firstLine="3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735DBF"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</w:tbl>
    <w:p w:rsidR="00795C65" w:rsidRDefault="00795C65" w:rsidP="00446D61">
      <w:pPr>
        <w:spacing w:before="100" w:beforeAutospacing="1" w:after="100" w:afterAutospacing="1" w:line="240" w:lineRule="auto"/>
        <w:ind w:firstLine="357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F6517" w:rsidRDefault="00FE5291" w:rsidP="00177334">
      <w:pPr>
        <w:spacing w:before="100" w:beforeAutospacing="1" w:after="100" w:afterAutospacing="1" w:line="240" w:lineRule="auto"/>
        <w:ind w:firstLine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Nejvyšší soud plánuje závazek splnit výměnou a repasí oken.</w:t>
      </w:r>
      <w:r w:rsidR="0085386B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V současné době již Nejvyšší soud</w:t>
      </w:r>
      <w:r w:rsidR="00735DBF" w:rsidRPr="005D24BF">
        <w:rPr>
          <w:rFonts w:ascii="Times New Roman" w:hAnsi="Times New Roman"/>
          <w:sz w:val="24"/>
          <w:szCs w:val="24"/>
          <w:lang w:eastAsia="cs-CZ"/>
        </w:rPr>
        <w:t xml:space="preserve"> realizuje investiční záměr „Paspo</w:t>
      </w:r>
      <w:r>
        <w:rPr>
          <w:rFonts w:ascii="Times New Roman" w:hAnsi="Times New Roman"/>
          <w:sz w:val="24"/>
          <w:szCs w:val="24"/>
          <w:lang w:eastAsia="cs-CZ"/>
        </w:rPr>
        <w:t>rtizace okenních výplní</w:t>
      </w:r>
      <w:r w:rsidR="00735DBF" w:rsidRPr="005D24BF">
        <w:rPr>
          <w:rFonts w:ascii="Times New Roman" w:hAnsi="Times New Roman"/>
          <w:sz w:val="24"/>
          <w:szCs w:val="24"/>
          <w:lang w:eastAsia="cs-CZ"/>
        </w:rPr>
        <w:t xml:space="preserve"> jakožto požadavek orgánů památkové ochrany</w:t>
      </w:r>
      <w:r w:rsidR="0085386B">
        <w:rPr>
          <w:rFonts w:ascii="Times New Roman" w:hAnsi="Times New Roman"/>
          <w:sz w:val="24"/>
          <w:szCs w:val="24"/>
          <w:lang w:eastAsia="cs-CZ"/>
        </w:rPr>
        <w:t>.</w:t>
      </w:r>
      <w:r w:rsidR="00735DBF" w:rsidRPr="005D24B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5386B">
        <w:rPr>
          <w:rFonts w:ascii="Times New Roman" w:hAnsi="Times New Roman"/>
          <w:sz w:val="24"/>
          <w:szCs w:val="24"/>
          <w:lang w:eastAsia="cs-CZ"/>
        </w:rPr>
        <w:t>Samotná realizace výměn oken je předpokládána v roce 2020. Přesné ú</w:t>
      </w:r>
      <w:r w:rsidR="00952902" w:rsidRPr="005D24BF">
        <w:rPr>
          <w:rFonts w:ascii="Times New Roman" w:hAnsi="Times New Roman"/>
          <w:sz w:val="24"/>
          <w:szCs w:val="24"/>
          <w:lang w:eastAsia="cs-CZ"/>
        </w:rPr>
        <w:t>spory zatím nejsou vyčísleny.</w:t>
      </w:r>
    </w:p>
    <w:p w:rsidR="00177334" w:rsidRPr="005D24BF" w:rsidRDefault="00177334" w:rsidP="00177334">
      <w:pPr>
        <w:spacing w:before="100" w:beforeAutospacing="1" w:after="100" w:afterAutospacing="1" w:line="240" w:lineRule="auto"/>
        <w:ind w:firstLine="357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735DBF" w:rsidRPr="005D24BF" w:rsidRDefault="00735DBF" w:rsidP="00446D61">
      <w:pPr>
        <w:numPr>
          <w:ilvl w:val="0"/>
          <w:numId w:val="9"/>
        </w:numPr>
        <w:ind w:firstLine="357"/>
        <w:rPr>
          <w:rFonts w:ascii="Times New Roman" w:hAnsi="Times New Roman"/>
          <w:b/>
          <w:sz w:val="24"/>
          <w:szCs w:val="24"/>
          <w:lang w:eastAsia="cs-CZ"/>
        </w:rPr>
      </w:pPr>
      <w:r w:rsidRPr="005D24BF">
        <w:rPr>
          <w:rFonts w:ascii="Times New Roman" w:hAnsi="Times New Roman"/>
          <w:b/>
          <w:sz w:val="24"/>
          <w:szCs w:val="24"/>
          <w:lang w:eastAsia="cs-CZ"/>
        </w:rPr>
        <w:t>Nejvyšší státní zastupitelství</w:t>
      </w:r>
    </w:p>
    <w:tbl>
      <w:tblPr>
        <w:tblW w:w="61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8"/>
        <w:gridCol w:w="1347"/>
      </w:tblGrid>
      <w:tr w:rsidR="00735DBF" w:rsidRPr="005D24BF" w:rsidTr="00087D0D">
        <w:trPr>
          <w:trHeight w:val="326"/>
        </w:trPr>
        <w:tc>
          <w:tcPr>
            <w:tcW w:w="6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5DBF" w:rsidRPr="005D24BF" w:rsidRDefault="00C74067" w:rsidP="00446D61">
            <w:pPr>
              <w:spacing w:after="0" w:line="240" w:lineRule="auto"/>
              <w:ind w:firstLine="3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Nejvyšší státní zastupitelství</w:t>
            </w:r>
            <w:r w:rsidR="002878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- </w:t>
            </w:r>
            <w:r w:rsidR="0028786C" w:rsidRPr="005D2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stav k 30.</w:t>
            </w:r>
            <w:r w:rsidR="002878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8786C" w:rsidRPr="005D2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4.</w:t>
            </w:r>
            <w:r w:rsidR="002878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8786C" w:rsidRPr="005D2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2018</w:t>
            </w:r>
          </w:p>
        </w:tc>
      </w:tr>
      <w:tr w:rsidR="00735DBF" w:rsidRPr="005D24BF" w:rsidTr="00087D0D">
        <w:trPr>
          <w:trHeight w:val="310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Závazek úspor energie (MWh)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74F1D" w:rsidP="00446D61">
            <w:pPr>
              <w:spacing w:after="0" w:line="240" w:lineRule="auto"/>
              <w:ind w:firstLine="3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28,84</w:t>
            </w:r>
          </w:p>
        </w:tc>
      </w:tr>
      <w:tr w:rsidR="00735DBF" w:rsidRPr="005D24BF" w:rsidTr="00087D0D">
        <w:trPr>
          <w:trHeight w:val="310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Stav plnění (MWh)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735DBF" w:rsidRPr="005D24BF" w:rsidTr="00087D0D">
        <w:trPr>
          <w:trHeight w:val="310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Stav plnění v 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735DBF" w:rsidRPr="005D24BF" w:rsidTr="00087D0D">
        <w:trPr>
          <w:trHeight w:val="310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Plán plnění do roku 2020 (MWh)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DE1A21" w:rsidP="00446D61">
            <w:pPr>
              <w:spacing w:after="0" w:line="240" w:lineRule="auto"/>
              <w:ind w:firstLine="3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      0      </w:t>
            </w:r>
          </w:p>
        </w:tc>
      </w:tr>
    </w:tbl>
    <w:p w:rsidR="006F6517" w:rsidRDefault="006F6517" w:rsidP="00446D61">
      <w:pPr>
        <w:ind w:firstLine="357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735DBF" w:rsidRPr="005D24BF" w:rsidRDefault="0085386B" w:rsidP="00446D61">
      <w:pPr>
        <w:spacing w:before="100" w:beforeAutospacing="1" w:after="100" w:afterAutospacing="1"/>
        <w:ind w:firstLine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 budově Nejvyššího státního zastupitelství budou</w:t>
      </w:r>
      <w:r w:rsidR="00735DBF" w:rsidRPr="005D24BF">
        <w:rPr>
          <w:rFonts w:ascii="Times New Roman" w:hAnsi="Times New Roman"/>
          <w:sz w:val="24"/>
          <w:szCs w:val="24"/>
          <w:lang w:eastAsia="cs-CZ"/>
        </w:rPr>
        <w:t xml:space="preserve"> realizo</w:t>
      </w:r>
      <w:r>
        <w:rPr>
          <w:rFonts w:ascii="Times New Roman" w:hAnsi="Times New Roman"/>
          <w:sz w:val="24"/>
          <w:szCs w:val="24"/>
          <w:lang w:eastAsia="cs-CZ"/>
        </w:rPr>
        <w:t xml:space="preserve">vána opatření na úsporu energie, a to zejména </w:t>
      </w:r>
      <w:r w:rsidR="00735DBF" w:rsidRPr="005D24BF">
        <w:rPr>
          <w:rFonts w:ascii="Times New Roman" w:hAnsi="Times New Roman"/>
          <w:sz w:val="24"/>
          <w:szCs w:val="24"/>
          <w:lang w:eastAsia="cs-CZ"/>
        </w:rPr>
        <w:t>instal</w:t>
      </w:r>
      <w:r>
        <w:rPr>
          <w:rFonts w:ascii="Times New Roman" w:hAnsi="Times New Roman"/>
          <w:sz w:val="24"/>
          <w:szCs w:val="24"/>
          <w:lang w:eastAsia="cs-CZ"/>
        </w:rPr>
        <w:t>ace</w:t>
      </w:r>
      <w:r w:rsidR="00735DBF" w:rsidRPr="005D24BF">
        <w:rPr>
          <w:rFonts w:ascii="Times New Roman" w:hAnsi="Times New Roman"/>
          <w:sz w:val="24"/>
          <w:szCs w:val="24"/>
          <w:lang w:eastAsia="cs-CZ"/>
        </w:rPr>
        <w:t xml:space="preserve"> svět</w:t>
      </w:r>
      <w:r>
        <w:rPr>
          <w:rFonts w:ascii="Times New Roman" w:hAnsi="Times New Roman"/>
          <w:sz w:val="24"/>
          <w:szCs w:val="24"/>
          <w:lang w:eastAsia="cs-CZ"/>
        </w:rPr>
        <w:t>el</w:t>
      </w:r>
      <w:r w:rsidR="00735DBF" w:rsidRPr="005D24BF">
        <w:rPr>
          <w:rFonts w:ascii="Times New Roman" w:hAnsi="Times New Roman"/>
          <w:sz w:val="24"/>
          <w:szCs w:val="24"/>
          <w:lang w:eastAsia="cs-CZ"/>
        </w:rPr>
        <w:t xml:space="preserve"> s automatickým spínáním pomocí vestavěných čidel a průběžná náhrada odporových žárovek LED. Tato opatření nemohou splnit požadavky plnění roč</w:t>
      </w:r>
      <w:r w:rsidR="00FE6724">
        <w:rPr>
          <w:rFonts w:ascii="Times New Roman" w:hAnsi="Times New Roman"/>
          <w:sz w:val="24"/>
          <w:szCs w:val="24"/>
          <w:lang w:eastAsia="cs-CZ"/>
        </w:rPr>
        <w:t>ního závazku vyplývajícího z článku</w:t>
      </w:r>
      <w:r w:rsidR="00735DBF" w:rsidRPr="005D24BF">
        <w:rPr>
          <w:rFonts w:ascii="Times New Roman" w:hAnsi="Times New Roman"/>
          <w:sz w:val="24"/>
          <w:szCs w:val="24"/>
          <w:lang w:eastAsia="cs-CZ"/>
        </w:rPr>
        <w:t xml:space="preserve"> 5 </w:t>
      </w:r>
      <w:r w:rsidR="00FE6724">
        <w:rPr>
          <w:rFonts w:ascii="Times New Roman" w:hAnsi="Times New Roman"/>
          <w:sz w:val="24"/>
          <w:szCs w:val="24"/>
          <w:lang w:eastAsia="cs-CZ"/>
        </w:rPr>
        <w:t>EED.</w:t>
      </w:r>
    </w:p>
    <w:p w:rsidR="00862752" w:rsidRPr="00150302" w:rsidRDefault="00DC06D9" w:rsidP="00177334">
      <w:pPr>
        <w:spacing w:before="100" w:beforeAutospacing="1" w:after="100" w:afterAutospacing="1"/>
        <w:ind w:firstLine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Vzhledem </w:t>
      </w:r>
      <w:r w:rsidR="00E71A57">
        <w:rPr>
          <w:rFonts w:ascii="Times New Roman" w:hAnsi="Times New Roman"/>
          <w:sz w:val="24"/>
          <w:szCs w:val="24"/>
          <w:lang w:eastAsia="cs-CZ"/>
        </w:rPr>
        <w:t>k tomu, že nejsou plánována žádná opatření</w:t>
      </w:r>
      <w:r>
        <w:rPr>
          <w:rFonts w:ascii="Times New Roman" w:hAnsi="Times New Roman"/>
          <w:sz w:val="24"/>
          <w:szCs w:val="24"/>
          <w:lang w:eastAsia="cs-CZ"/>
        </w:rPr>
        <w:t>,</w:t>
      </w:r>
      <w:r w:rsidR="00E71A57">
        <w:rPr>
          <w:rFonts w:ascii="Times New Roman" w:hAnsi="Times New Roman"/>
          <w:sz w:val="24"/>
          <w:szCs w:val="24"/>
          <w:lang w:eastAsia="cs-CZ"/>
        </w:rPr>
        <w:t xml:space="preserve"> bude nutné</w:t>
      </w:r>
      <w:r w:rsidRPr="005D24BF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úspory nahradit z případně přeplněného závazku u jiné organizační složky v resortu.</w:t>
      </w:r>
    </w:p>
    <w:p w:rsidR="00735DBF" w:rsidRPr="005D24BF" w:rsidRDefault="00735DBF" w:rsidP="00446D61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40" w:lineRule="auto"/>
        <w:ind w:right="113" w:firstLine="357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5D24BF">
        <w:rPr>
          <w:rFonts w:ascii="Times New Roman" w:hAnsi="Times New Roman"/>
          <w:b/>
          <w:sz w:val="24"/>
          <w:szCs w:val="24"/>
          <w:lang w:eastAsia="cs-CZ"/>
        </w:rPr>
        <w:t>Ministerstvo spravedlnosti</w:t>
      </w:r>
    </w:p>
    <w:tbl>
      <w:tblPr>
        <w:tblW w:w="60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8"/>
        <w:gridCol w:w="1339"/>
      </w:tblGrid>
      <w:tr w:rsidR="00735DBF" w:rsidRPr="005D24BF" w:rsidTr="00795C65">
        <w:trPr>
          <w:trHeight w:val="322"/>
        </w:trPr>
        <w:tc>
          <w:tcPr>
            <w:tcW w:w="6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Ministerstvo spravedlnosti</w:t>
            </w:r>
            <w:r w:rsidR="002878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- </w:t>
            </w:r>
            <w:r w:rsidR="0028786C" w:rsidRPr="005D2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stav k 30.</w:t>
            </w:r>
            <w:r w:rsidR="002878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8786C" w:rsidRPr="005D2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4.</w:t>
            </w:r>
            <w:r w:rsidR="002878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8786C" w:rsidRPr="005D2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2018 </w:t>
            </w:r>
            <w:r w:rsidRPr="005D2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35DBF" w:rsidRPr="005D24BF" w:rsidTr="00795C65">
        <w:trPr>
          <w:trHeight w:val="306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Závazek úspor energie (MWh)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74F1D" w:rsidP="00446D61">
            <w:pPr>
              <w:spacing w:after="0" w:line="240" w:lineRule="auto"/>
              <w:ind w:firstLine="3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523,33</w:t>
            </w:r>
          </w:p>
        </w:tc>
      </w:tr>
      <w:tr w:rsidR="00735DBF" w:rsidRPr="005D24BF" w:rsidTr="00795C65">
        <w:trPr>
          <w:trHeight w:val="306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Stav plnění (MWh)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952902" w:rsidP="00446D61">
            <w:pPr>
              <w:spacing w:after="0" w:line="240" w:lineRule="auto"/>
              <w:ind w:firstLine="3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735DBF" w:rsidRPr="005D24BF" w:rsidTr="00795C65">
        <w:trPr>
          <w:trHeight w:val="306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Stav plnění v 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735DBF" w:rsidRPr="005D24BF" w:rsidTr="00795C65">
        <w:trPr>
          <w:trHeight w:val="306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735DBF" w:rsidP="00446D61">
            <w:pPr>
              <w:spacing w:after="0" w:line="240" w:lineRule="auto"/>
              <w:ind w:firstLine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Plán plnění do roku 2020 (MWh)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DBF" w:rsidRPr="005D24BF" w:rsidRDefault="002403DA" w:rsidP="00446D61">
            <w:pPr>
              <w:spacing w:after="0" w:line="240" w:lineRule="auto"/>
              <w:ind w:firstLine="3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25</w:t>
            </w:r>
            <w:r w:rsidR="00735DBF"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  <w:r w:rsidR="00735DBF" w:rsidRPr="005D2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</w:tbl>
    <w:p w:rsidR="006F6517" w:rsidRDefault="006F6517" w:rsidP="00446D61">
      <w:pPr>
        <w:ind w:firstLine="357"/>
        <w:jc w:val="both"/>
        <w:rPr>
          <w:rFonts w:ascii="Times New Roman" w:hAnsi="Times New Roman"/>
          <w:sz w:val="24"/>
          <w:szCs w:val="24"/>
        </w:rPr>
      </w:pPr>
    </w:p>
    <w:p w:rsidR="00913F08" w:rsidRPr="005D24BF" w:rsidRDefault="00735DBF" w:rsidP="00446D61">
      <w:pPr>
        <w:spacing w:before="100" w:beforeAutospacing="1" w:after="100" w:afterAutospacing="1"/>
        <w:ind w:firstLine="357"/>
        <w:jc w:val="both"/>
        <w:rPr>
          <w:rFonts w:ascii="Times New Roman" w:hAnsi="Times New Roman"/>
          <w:sz w:val="24"/>
          <w:szCs w:val="24"/>
          <w:lang w:eastAsia="cs-CZ"/>
        </w:rPr>
      </w:pPr>
      <w:r w:rsidRPr="005D24BF">
        <w:rPr>
          <w:rFonts w:ascii="Times New Roman" w:hAnsi="Times New Roman"/>
          <w:sz w:val="24"/>
          <w:szCs w:val="24"/>
        </w:rPr>
        <w:t>Budovy Ministerstva spravedlnosti jsou buď historické</w:t>
      </w:r>
      <w:r w:rsidR="003E5E8A">
        <w:rPr>
          <w:rFonts w:ascii="Times New Roman" w:hAnsi="Times New Roman"/>
          <w:sz w:val="24"/>
          <w:szCs w:val="24"/>
        </w:rPr>
        <w:t>,</w:t>
      </w:r>
      <w:r w:rsidR="005D24BF">
        <w:rPr>
          <w:rFonts w:ascii="Times New Roman" w:hAnsi="Times New Roman"/>
          <w:sz w:val="24"/>
          <w:szCs w:val="24"/>
        </w:rPr>
        <w:t xml:space="preserve"> </w:t>
      </w:r>
      <w:r w:rsidRPr="005D24BF">
        <w:rPr>
          <w:rFonts w:ascii="Times New Roman" w:hAnsi="Times New Roman"/>
          <w:sz w:val="24"/>
          <w:szCs w:val="24"/>
        </w:rPr>
        <w:t xml:space="preserve">nebo nedávno </w:t>
      </w:r>
      <w:r w:rsidR="005D24BF">
        <w:rPr>
          <w:rFonts w:ascii="Times New Roman" w:hAnsi="Times New Roman"/>
          <w:sz w:val="24"/>
          <w:szCs w:val="24"/>
        </w:rPr>
        <w:t>z</w:t>
      </w:r>
      <w:r w:rsidRPr="005D24BF">
        <w:rPr>
          <w:rFonts w:ascii="Times New Roman" w:hAnsi="Times New Roman"/>
          <w:sz w:val="24"/>
          <w:szCs w:val="24"/>
        </w:rPr>
        <w:t>kolaudované</w:t>
      </w:r>
      <w:r w:rsidR="00E71A57">
        <w:rPr>
          <w:rFonts w:ascii="Times New Roman" w:hAnsi="Times New Roman"/>
          <w:sz w:val="24"/>
          <w:szCs w:val="24"/>
        </w:rPr>
        <w:t xml:space="preserve"> (Justiční areál Na Míčánkách)</w:t>
      </w:r>
      <w:r w:rsidRPr="005D24BF">
        <w:rPr>
          <w:rFonts w:ascii="Times New Roman" w:hAnsi="Times New Roman"/>
          <w:sz w:val="24"/>
          <w:szCs w:val="24"/>
        </w:rPr>
        <w:t xml:space="preserve">. </w:t>
      </w:r>
      <w:r w:rsidRPr="005D24BF">
        <w:rPr>
          <w:rFonts w:ascii="Times New Roman" w:hAnsi="Times New Roman"/>
          <w:sz w:val="24"/>
          <w:szCs w:val="24"/>
          <w:lang w:eastAsia="cs-CZ"/>
        </w:rPr>
        <w:t>V budovách jsou nebo budou postupně realizována opatření na úsporu energie</w:t>
      </w:r>
      <w:r w:rsidR="0085386B">
        <w:rPr>
          <w:rFonts w:ascii="Times New Roman" w:hAnsi="Times New Roman"/>
          <w:sz w:val="24"/>
          <w:szCs w:val="24"/>
          <w:lang w:eastAsia="cs-CZ"/>
        </w:rPr>
        <w:t>. V současné době je připravena výměna svítidel v budově</w:t>
      </w:r>
      <w:r w:rsidR="00913F08" w:rsidRPr="005D24B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5386B">
        <w:rPr>
          <w:rFonts w:ascii="Times New Roman" w:hAnsi="Times New Roman"/>
          <w:sz w:val="24"/>
          <w:szCs w:val="24"/>
          <w:lang w:eastAsia="cs-CZ"/>
        </w:rPr>
        <w:t>„</w:t>
      </w:r>
      <w:r w:rsidR="00913F08" w:rsidRPr="005D24BF">
        <w:rPr>
          <w:rFonts w:ascii="Times New Roman" w:hAnsi="Times New Roman"/>
          <w:sz w:val="24"/>
          <w:szCs w:val="24"/>
          <w:lang w:eastAsia="cs-CZ"/>
        </w:rPr>
        <w:t>CH</w:t>
      </w:r>
      <w:r w:rsidR="0085386B">
        <w:rPr>
          <w:rFonts w:ascii="Times New Roman" w:hAnsi="Times New Roman"/>
          <w:sz w:val="24"/>
          <w:szCs w:val="24"/>
          <w:lang w:eastAsia="cs-CZ"/>
        </w:rPr>
        <w:t xml:space="preserve">“ v Justičním </w:t>
      </w:r>
      <w:r w:rsidR="0085386B">
        <w:rPr>
          <w:rFonts w:ascii="Times New Roman" w:hAnsi="Times New Roman"/>
          <w:sz w:val="24"/>
          <w:szCs w:val="24"/>
          <w:lang w:eastAsia="cs-CZ"/>
        </w:rPr>
        <w:lastRenderedPageBreak/>
        <w:t>areálu</w:t>
      </w:r>
      <w:r w:rsidR="00913F08" w:rsidRPr="005D24B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5386B">
        <w:rPr>
          <w:rFonts w:ascii="Times New Roman" w:hAnsi="Times New Roman"/>
          <w:sz w:val="24"/>
          <w:szCs w:val="24"/>
          <w:lang w:eastAsia="cs-CZ"/>
        </w:rPr>
        <w:t>N</w:t>
      </w:r>
      <w:r w:rsidR="00913F08" w:rsidRPr="005D24BF">
        <w:rPr>
          <w:rFonts w:ascii="Times New Roman" w:hAnsi="Times New Roman"/>
          <w:sz w:val="24"/>
          <w:szCs w:val="24"/>
          <w:lang w:eastAsia="cs-CZ"/>
        </w:rPr>
        <w:t>a Mičánkách, kde předpok</w:t>
      </w:r>
      <w:r w:rsidR="00FE5291">
        <w:rPr>
          <w:rFonts w:ascii="Times New Roman" w:hAnsi="Times New Roman"/>
          <w:sz w:val="24"/>
          <w:szCs w:val="24"/>
          <w:lang w:eastAsia="cs-CZ"/>
        </w:rPr>
        <w:t>ládaná úspora činí přibližně 25,</w:t>
      </w:r>
      <w:r w:rsidR="00913F08" w:rsidRPr="005D24BF">
        <w:rPr>
          <w:rFonts w:ascii="Times New Roman" w:hAnsi="Times New Roman"/>
          <w:sz w:val="24"/>
          <w:szCs w:val="24"/>
          <w:lang w:eastAsia="cs-CZ"/>
        </w:rPr>
        <w:t>8 MWh.</w:t>
      </w:r>
      <w:r w:rsidRPr="005D24B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5386B">
        <w:rPr>
          <w:rFonts w:ascii="Times New Roman" w:hAnsi="Times New Roman"/>
          <w:sz w:val="24"/>
          <w:szCs w:val="24"/>
          <w:lang w:eastAsia="cs-CZ"/>
        </w:rPr>
        <w:t>Další akce jsou připravovány.</w:t>
      </w:r>
    </w:p>
    <w:p w:rsidR="00735DBF" w:rsidRPr="005D24BF" w:rsidRDefault="0085386B" w:rsidP="00446D61">
      <w:pPr>
        <w:spacing w:before="100" w:beforeAutospacing="1" w:after="100" w:afterAutospacing="1"/>
        <w:ind w:firstLine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Vzhledem k výši závazku bude však pravděpodobně nutné,</w:t>
      </w:r>
      <w:r w:rsidR="00735DBF" w:rsidRPr="005D24BF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úspory nahradit z případně přeplněného závazku u jiné organizační složky v resortu.</w:t>
      </w:r>
    </w:p>
    <w:p w:rsidR="0097052D" w:rsidRPr="005D24BF" w:rsidRDefault="0097052D" w:rsidP="00446D61">
      <w:pPr>
        <w:ind w:left="720" w:firstLine="357"/>
        <w:rPr>
          <w:rFonts w:ascii="Times New Roman" w:hAnsi="Times New Roman"/>
          <w:sz w:val="24"/>
          <w:szCs w:val="24"/>
          <w:lang w:eastAsia="cs-CZ"/>
        </w:rPr>
      </w:pPr>
    </w:p>
    <w:p w:rsidR="009906DE" w:rsidRPr="00177334" w:rsidRDefault="00F928C8" w:rsidP="0017733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firstLine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D24BF">
        <w:rPr>
          <w:rFonts w:ascii="Times New Roman" w:eastAsia="Times New Roman" w:hAnsi="Times New Roman"/>
          <w:sz w:val="24"/>
          <w:szCs w:val="24"/>
          <w:lang w:eastAsia="cs-CZ"/>
        </w:rPr>
        <w:t>Přílohy: dle textu</w:t>
      </w:r>
      <w:r w:rsidR="0017733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sectPr w:rsidR="009906DE" w:rsidRPr="00177334" w:rsidSect="0008544B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E0F" w:rsidRDefault="00E32E0F" w:rsidP="001909EB">
      <w:pPr>
        <w:spacing w:after="0" w:line="240" w:lineRule="auto"/>
      </w:pPr>
      <w:r>
        <w:separator/>
      </w:r>
    </w:p>
  </w:endnote>
  <w:endnote w:type="continuationSeparator" w:id="0">
    <w:p w:rsidR="00E32E0F" w:rsidRDefault="00E32E0F" w:rsidP="0019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E0F" w:rsidRDefault="00E32E0F" w:rsidP="001909EB">
      <w:pPr>
        <w:spacing w:after="0" w:line="240" w:lineRule="auto"/>
      </w:pPr>
      <w:r>
        <w:separator/>
      </w:r>
    </w:p>
  </w:footnote>
  <w:footnote w:type="continuationSeparator" w:id="0">
    <w:p w:rsidR="00E32E0F" w:rsidRDefault="00E32E0F" w:rsidP="00190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9EB" w:rsidRPr="001909EB" w:rsidRDefault="001909EB">
    <w:pPr>
      <w:pStyle w:val="Zhlav"/>
      <w:rPr>
        <w:b/>
      </w:rPr>
    </w:pPr>
    <w:r>
      <w:tab/>
    </w:r>
    <w:r>
      <w:tab/>
    </w:r>
    <w:r w:rsidRPr="001909EB">
      <w:rPr>
        <w:b/>
      </w:rPr>
      <w:t>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6743"/>
    <w:multiLevelType w:val="hybridMultilevel"/>
    <w:tmpl w:val="6590AF8E"/>
    <w:lvl w:ilvl="0" w:tplc="5F746F9E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2CD66E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EA5C89"/>
    <w:multiLevelType w:val="hybridMultilevel"/>
    <w:tmpl w:val="88FCC782"/>
    <w:lvl w:ilvl="0" w:tplc="BDA027AE">
      <w:start w:val="2019"/>
      <w:numFmt w:val="decimal"/>
      <w:lvlText w:val="%1"/>
      <w:lvlJc w:val="left"/>
      <w:pPr>
        <w:ind w:left="1086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6" w:hanging="360"/>
      </w:pPr>
    </w:lvl>
    <w:lvl w:ilvl="2" w:tplc="0405001B" w:tentative="1">
      <w:start w:val="1"/>
      <w:numFmt w:val="lowerRoman"/>
      <w:lvlText w:val="%3."/>
      <w:lvlJc w:val="right"/>
      <w:pPr>
        <w:ind w:left="2406" w:hanging="180"/>
      </w:pPr>
    </w:lvl>
    <w:lvl w:ilvl="3" w:tplc="0405000F" w:tentative="1">
      <w:start w:val="1"/>
      <w:numFmt w:val="decimal"/>
      <w:lvlText w:val="%4."/>
      <w:lvlJc w:val="left"/>
      <w:pPr>
        <w:ind w:left="3126" w:hanging="360"/>
      </w:pPr>
    </w:lvl>
    <w:lvl w:ilvl="4" w:tplc="04050019" w:tentative="1">
      <w:start w:val="1"/>
      <w:numFmt w:val="lowerLetter"/>
      <w:lvlText w:val="%5."/>
      <w:lvlJc w:val="left"/>
      <w:pPr>
        <w:ind w:left="3846" w:hanging="360"/>
      </w:pPr>
    </w:lvl>
    <w:lvl w:ilvl="5" w:tplc="0405001B" w:tentative="1">
      <w:start w:val="1"/>
      <w:numFmt w:val="lowerRoman"/>
      <w:lvlText w:val="%6."/>
      <w:lvlJc w:val="right"/>
      <w:pPr>
        <w:ind w:left="4566" w:hanging="180"/>
      </w:pPr>
    </w:lvl>
    <w:lvl w:ilvl="6" w:tplc="0405000F" w:tentative="1">
      <w:start w:val="1"/>
      <w:numFmt w:val="decimal"/>
      <w:lvlText w:val="%7."/>
      <w:lvlJc w:val="left"/>
      <w:pPr>
        <w:ind w:left="5286" w:hanging="360"/>
      </w:pPr>
    </w:lvl>
    <w:lvl w:ilvl="7" w:tplc="04050019" w:tentative="1">
      <w:start w:val="1"/>
      <w:numFmt w:val="lowerLetter"/>
      <w:lvlText w:val="%8."/>
      <w:lvlJc w:val="left"/>
      <w:pPr>
        <w:ind w:left="6006" w:hanging="360"/>
      </w:pPr>
    </w:lvl>
    <w:lvl w:ilvl="8" w:tplc="040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" w15:restartNumberingAfterBreak="0">
    <w:nsid w:val="1B2B0298"/>
    <w:multiLevelType w:val="hybridMultilevel"/>
    <w:tmpl w:val="FF96D7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3CA"/>
    <w:multiLevelType w:val="multilevel"/>
    <w:tmpl w:val="B4B0546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CD6538"/>
    <w:multiLevelType w:val="hybridMultilevel"/>
    <w:tmpl w:val="26362E64"/>
    <w:lvl w:ilvl="0" w:tplc="167C10A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77498F"/>
    <w:multiLevelType w:val="multilevel"/>
    <w:tmpl w:val="80164C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56E5331"/>
    <w:multiLevelType w:val="hybridMultilevel"/>
    <w:tmpl w:val="CA2479CE"/>
    <w:lvl w:ilvl="0" w:tplc="F5B84CC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C6505BD"/>
    <w:multiLevelType w:val="multilevel"/>
    <w:tmpl w:val="1C0C4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3F06C50"/>
    <w:multiLevelType w:val="hybridMultilevel"/>
    <w:tmpl w:val="E5929B8C"/>
    <w:lvl w:ilvl="0" w:tplc="290AB9C8">
      <w:start w:val="1"/>
      <w:numFmt w:val="lowerLetter"/>
      <w:lvlText w:val="%1)"/>
      <w:lvlJc w:val="left"/>
      <w:pPr>
        <w:ind w:left="9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9" w:hanging="360"/>
      </w:pPr>
    </w:lvl>
    <w:lvl w:ilvl="2" w:tplc="0405001B" w:tentative="1">
      <w:start w:val="1"/>
      <w:numFmt w:val="lowerRoman"/>
      <w:lvlText w:val="%3."/>
      <w:lvlJc w:val="right"/>
      <w:pPr>
        <w:ind w:left="2389" w:hanging="180"/>
      </w:pPr>
    </w:lvl>
    <w:lvl w:ilvl="3" w:tplc="0405000F" w:tentative="1">
      <w:start w:val="1"/>
      <w:numFmt w:val="decimal"/>
      <w:lvlText w:val="%4."/>
      <w:lvlJc w:val="left"/>
      <w:pPr>
        <w:ind w:left="3109" w:hanging="360"/>
      </w:pPr>
    </w:lvl>
    <w:lvl w:ilvl="4" w:tplc="04050019" w:tentative="1">
      <w:start w:val="1"/>
      <w:numFmt w:val="lowerLetter"/>
      <w:lvlText w:val="%5."/>
      <w:lvlJc w:val="left"/>
      <w:pPr>
        <w:ind w:left="3829" w:hanging="360"/>
      </w:pPr>
    </w:lvl>
    <w:lvl w:ilvl="5" w:tplc="0405001B" w:tentative="1">
      <w:start w:val="1"/>
      <w:numFmt w:val="lowerRoman"/>
      <w:lvlText w:val="%6."/>
      <w:lvlJc w:val="right"/>
      <w:pPr>
        <w:ind w:left="4549" w:hanging="180"/>
      </w:pPr>
    </w:lvl>
    <w:lvl w:ilvl="6" w:tplc="0405000F" w:tentative="1">
      <w:start w:val="1"/>
      <w:numFmt w:val="decimal"/>
      <w:lvlText w:val="%7."/>
      <w:lvlJc w:val="left"/>
      <w:pPr>
        <w:ind w:left="5269" w:hanging="360"/>
      </w:pPr>
    </w:lvl>
    <w:lvl w:ilvl="7" w:tplc="04050019" w:tentative="1">
      <w:start w:val="1"/>
      <w:numFmt w:val="lowerLetter"/>
      <w:lvlText w:val="%8."/>
      <w:lvlJc w:val="left"/>
      <w:pPr>
        <w:ind w:left="5989" w:hanging="360"/>
      </w:pPr>
    </w:lvl>
    <w:lvl w:ilvl="8" w:tplc="040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0" w15:restartNumberingAfterBreak="0">
    <w:nsid w:val="578A0456"/>
    <w:multiLevelType w:val="multilevel"/>
    <w:tmpl w:val="4CB40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58C260A3"/>
    <w:multiLevelType w:val="multilevel"/>
    <w:tmpl w:val="5AD4E68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E94189E"/>
    <w:multiLevelType w:val="multilevel"/>
    <w:tmpl w:val="5AD4E68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76D0A3F"/>
    <w:multiLevelType w:val="hybridMultilevel"/>
    <w:tmpl w:val="4F7A6B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86BC7"/>
    <w:multiLevelType w:val="multilevel"/>
    <w:tmpl w:val="4D60C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7D1722E"/>
    <w:multiLevelType w:val="hybridMultilevel"/>
    <w:tmpl w:val="C2443376"/>
    <w:lvl w:ilvl="0" w:tplc="1C1E0FEA">
      <w:numFmt w:val="bullet"/>
      <w:lvlText w:val="-"/>
      <w:lvlJc w:val="left"/>
      <w:pPr>
        <w:ind w:left="247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  <w:num w:numId="12">
    <w:abstractNumId w:val="13"/>
  </w:num>
  <w:num w:numId="13">
    <w:abstractNumId w:val="12"/>
  </w:num>
  <w:num w:numId="14">
    <w:abstractNumId w:val="1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4D"/>
    <w:rsid w:val="00015DF4"/>
    <w:rsid w:val="00054952"/>
    <w:rsid w:val="00060E32"/>
    <w:rsid w:val="0008544B"/>
    <w:rsid w:val="00087D0D"/>
    <w:rsid w:val="000A113F"/>
    <w:rsid w:val="000C3271"/>
    <w:rsid w:val="000C66BD"/>
    <w:rsid w:val="000D3C00"/>
    <w:rsid w:val="000D7055"/>
    <w:rsid w:val="000E465B"/>
    <w:rsid w:val="000E7A39"/>
    <w:rsid w:val="000F469C"/>
    <w:rsid w:val="00101472"/>
    <w:rsid w:val="00121DF5"/>
    <w:rsid w:val="001269C8"/>
    <w:rsid w:val="00126F63"/>
    <w:rsid w:val="00127003"/>
    <w:rsid w:val="00131E35"/>
    <w:rsid w:val="00133064"/>
    <w:rsid w:val="0013741C"/>
    <w:rsid w:val="00150302"/>
    <w:rsid w:val="00177334"/>
    <w:rsid w:val="001849E3"/>
    <w:rsid w:val="001909EB"/>
    <w:rsid w:val="001A00F5"/>
    <w:rsid w:val="001C334B"/>
    <w:rsid w:val="001F2E1D"/>
    <w:rsid w:val="001F69B5"/>
    <w:rsid w:val="00203581"/>
    <w:rsid w:val="00207B7A"/>
    <w:rsid w:val="002374A7"/>
    <w:rsid w:val="002403DA"/>
    <w:rsid w:val="00242591"/>
    <w:rsid w:val="00262634"/>
    <w:rsid w:val="002713A3"/>
    <w:rsid w:val="00287551"/>
    <w:rsid w:val="0028786C"/>
    <w:rsid w:val="00295C02"/>
    <w:rsid w:val="002A7AEB"/>
    <w:rsid w:val="002C0B25"/>
    <w:rsid w:val="002E3A10"/>
    <w:rsid w:val="002F4C5B"/>
    <w:rsid w:val="00343A5E"/>
    <w:rsid w:val="003B0AD0"/>
    <w:rsid w:val="003C17B1"/>
    <w:rsid w:val="003E0FA9"/>
    <w:rsid w:val="003E5E8A"/>
    <w:rsid w:val="003F05A9"/>
    <w:rsid w:val="00410C7F"/>
    <w:rsid w:val="00417503"/>
    <w:rsid w:val="004413D0"/>
    <w:rsid w:val="00446D61"/>
    <w:rsid w:val="0046403F"/>
    <w:rsid w:val="00483473"/>
    <w:rsid w:val="0049626A"/>
    <w:rsid w:val="004976F6"/>
    <w:rsid w:val="004A28DB"/>
    <w:rsid w:val="004B6935"/>
    <w:rsid w:val="004B7940"/>
    <w:rsid w:val="004D12A4"/>
    <w:rsid w:val="004E6C90"/>
    <w:rsid w:val="0050454D"/>
    <w:rsid w:val="005050C2"/>
    <w:rsid w:val="00506D8F"/>
    <w:rsid w:val="00513BCE"/>
    <w:rsid w:val="005450CA"/>
    <w:rsid w:val="00563367"/>
    <w:rsid w:val="00592B5F"/>
    <w:rsid w:val="005A128D"/>
    <w:rsid w:val="005D24BF"/>
    <w:rsid w:val="005E2531"/>
    <w:rsid w:val="006126B5"/>
    <w:rsid w:val="006229A8"/>
    <w:rsid w:val="00623654"/>
    <w:rsid w:val="00642226"/>
    <w:rsid w:val="006640B4"/>
    <w:rsid w:val="006905EB"/>
    <w:rsid w:val="006E5653"/>
    <w:rsid w:val="006F0850"/>
    <w:rsid w:val="006F6517"/>
    <w:rsid w:val="007150F9"/>
    <w:rsid w:val="00735DBF"/>
    <w:rsid w:val="00742725"/>
    <w:rsid w:val="007454A7"/>
    <w:rsid w:val="00752E19"/>
    <w:rsid w:val="00774F1D"/>
    <w:rsid w:val="00795C65"/>
    <w:rsid w:val="007A5E92"/>
    <w:rsid w:val="007C17D2"/>
    <w:rsid w:val="007C1EE0"/>
    <w:rsid w:val="007C2E14"/>
    <w:rsid w:val="007D64EA"/>
    <w:rsid w:val="007F19EC"/>
    <w:rsid w:val="0081007C"/>
    <w:rsid w:val="00822697"/>
    <w:rsid w:val="0082389F"/>
    <w:rsid w:val="00833AF9"/>
    <w:rsid w:val="00847AA4"/>
    <w:rsid w:val="0085386B"/>
    <w:rsid w:val="00862752"/>
    <w:rsid w:val="00867D9F"/>
    <w:rsid w:val="008A78EF"/>
    <w:rsid w:val="008E0A10"/>
    <w:rsid w:val="00902060"/>
    <w:rsid w:val="00905288"/>
    <w:rsid w:val="00913F08"/>
    <w:rsid w:val="00915648"/>
    <w:rsid w:val="00952902"/>
    <w:rsid w:val="009574E9"/>
    <w:rsid w:val="0097052D"/>
    <w:rsid w:val="009906DE"/>
    <w:rsid w:val="009C47EA"/>
    <w:rsid w:val="009E12AD"/>
    <w:rsid w:val="009E3B24"/>
    <w:rsid w:val="009E65A4"/>
    <w:rsid w:val="00A24F14"/>
    <w:rsid w:val="00A462CA"/>
    <w:rsid w:val="00A63447"/>
    <w:rsid w:val="00A65CD9"/>
    <w:rsid w:val="00A812EA"/>
    <w:rsid w:val="00A831DC"/>
    <w:rsid w:val="00A8384A"/>
    <w:rsid w:val="00AD787F"/>
    <w:rsid w:val="00AF1CA7"/>
    <w:rsid w:val="00AF7AC6"/>
    <w:rsid w:val="00B11D02"/>
    <w:rsid w:val="00B42D84"/>
    <w:rsid w:val="00B751A6"/>
    <w:rsid w:val="00BA08F6"/>
    <w:rsid w:val="00BF3416"/>
    <w:rsid w:val="00BF4229"/>
    <w:rsid w:val="00C45374"/>
    <w:rsid w:val="00C465CE"/>
    <w:rsid w:val="00C63EF5"/>
    <w:rsid w:val="00C74067"/>
    <w:rsid w:val="00C85082"/>
    <w:rsid w:val="00CB4BE0"/>
    <w:rsid w:val="00CB61CE"/>
    <w:rsid w:val="00CB7F37"/>
    <w:rsid w:val="00CD51DA"/>
    <w:rsid w:val="00CE11E6"/>
    <w:rsid w:val="00CE55DA"/>
    <w:rsid w:val="00CE79F9"/>
    <w:rsid w:val="00D14457"/>
    <w:rsid w:val="00D26BAE"/>
    <w:rsid w:val="00D60E9D"/>
    <w:rsid w:val="00D616FB"/>
    <w:rsid w:val="00D837DB"/>
    <w:rsid w:val="00D83DCE"/>
    <w:rsid w:val="00D97200"/>
    <w:rsid w:val="00DB500F"/>
    <w:rsid w:val="00DC06D9"/>
    <w:rsid w:val="00DE1A21"/>
    <w:rsid w:val="00DF6B5E"/>
    <w:rsid w:val="00E25A5E"/>
    <w:rsid w:val="00E32566"/>
    <w:rsid w:val="00E32E0F"/>
    <w:rsid w:val="00E36A08"/>
    <w:rsid w:val="00E53E4C"/>
    <w:rsid w:val="00E64E19"/>
    <w:rsid w:val="00E65954"/>
    <w:rsid w:val="00E71A57"/>
    <w:rsid w:val="00EB4ADA"/>
    <w:rsid w:val="00EC1A79"/>
    <w:rsid w:val="00EF64B8"/>
    <w:rsid w:val="00EF773F"/>
    <w:rsid w:val="00F108AE"/>
    <w:rsid w:val="00F16071"/>
    <w:rsid w:val="00F27A64"/>
    <w:rsid w:val="00F55E5F"/>
    <w:rsid w:val="00F65282"/>
    <w:rsid w:val="00F84C54"/>
    <w:rsid w:val="00F928C8"/>
    <w:rsid w:val="00FB6B69"/>
    <w:rsid w:val="00FC4C14"/>
    <w:rsid w:val="00FD098B"/>
    <w:rsid w:val="00FD3F60"/>
    <w:rsid w:val="00FD406F"/>
    <w:rsid w:val="00FE5291"/>
    <w:rsid w:val="00FE6724"/>
    <w:rsid w:val="00FF389B"/>
    <w:rsid w:val="00FF4AFC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8CE1C5-5F72-47EA-AAA9-66E91A60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0454D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semiHidden/>
    <w:unhideWhenUsed/>
    <w:rsid w:val="009906D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909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909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909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909EB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A7AEB"/>
    <w:pPr>
      <w:ind w:left="708"/>
    </w:pPr>
  </w:style>
  <w:style w:type="character" w:styleId="Odkaznakoment">
    <w:name w:val="annotation reference"/>
    <w:uiPriority w:val="99"/>
    <w:semiHidden/>
    <w:unhideWhenUsed/>
    <w:rsid w:val="001F69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69B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F69B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9B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69B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0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33266-BA9B-4572-94E0-FBCAE5B9468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1951</Words>
  <Characters>11517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Bielik Miroslav, RNDr.</dc:creator>
  <cp:keywords/>
  <cp:lastModifiedBy>Petr Dimun</cp:lastModifiedBy>
  <cp:revision>2</cp:revision>
  <cp:lastPrinted>2018-06-21T14:07:00Z</cp:lastPrinted>
  <dcterms:created xsi:type="dcterms:W3CDTF">2018-07-03T07:07:00Z</dcterms:created>
  <dcterms:modified xsi:type="dcterms:W3CDTF">2018-07-03T07:07:00Z</dcterms:modified>
</cp:coreProperties>
</file>