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F7" w:rsidRDefault="00A721F7" w:rsidP="00A721F7">
      <w:pPr>
        <w:autoSpaceDE w:val="0"/>
        <w:autoSpaceDN w:val="0"/>
        <w:adjustRightInd w:val="0"/>
        <w:spacing w:after="240"/>
        <w:jc w:val="right"/>
        <w:rPr>
          <w:b/>
        </w:rPr>
      </w:pPr>
      <w:bookmarkStart w:id="0" w:name="_GoBack"/>
      <w:bookmarkEnd w:id="0"/>
      <w:r>
        <w:rPr>
          <w:b/>
        </w:rPr>
        <w:t>III.</w:t>
      </w:r>
    </w:p>
    <w:p w:rsidR="00A721F7" w:rsidRPr="00A721F7" w:rsidRDefault="00A721F7" w:rsidP="00A721F7">
      <w:pPr>
        <w:autoSpaceDE w:val="0"/>
        <w:autoSpaceDN w:val="0"/>
        <w:adjustRightInd w:val="0"/>
        <w:spacing w:after="240"/>
        <w:jc w:val="right"/>
        <w:rPr>
          <w:b/>
        </w:rPr>
      </w:pPr>
    </w:p>
    <w:p w:rsidR="004D135E" w:rsidRPr="00F851EB" w:rsidRDefault="004D135E" w:rsidP="004D135E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u w:val="single"/>
        </w:rPr>
      </w:pPr>
      <w:r w:rsidRPr="00F851EB">
        <w:rPr>
          <w:b/>
          <w:sz w:val="28"/>
          <w:szCs w:val="28"/>
          <w:u w:val="single"/>
        </w:rPr>
        <w:t xml:space="preserve">Analýza </w:t>
      </w:r>
      <w:r w:rsidR="00CA4390" w:rsidRPr="00F851EB">
        <w:rPr>
          <w:b/>
          <w:sz w:val="28"/>
          <w:szCs w:val="28"/>
          <w:u w:val="single"/>
        </w:rPr>
        <w:t xml:space="preserve">mechanismu </w:t>
      </w:r>
      <w:r w:rsidRPr="00F851EB">
        <w:rPr>
          <w:b/>
          <w:sz w:val="28"/>
          <w:szCs w:val="28"/>
          <w:u w:val="single"/>
        </w:rPr>
        <w:t>oddlužení obcí</w:t>
      </w:r>
    </w:p>
    <w:p w:rsidR="001E168B" w:rsidRDefault="001E168B" w:rsidP="002510D9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  <w:u w:val="single"/>
        </w:rPr>
      </w:pPr>
    </w:p>
    <w:p w:rsidR="002510D9" w:rsidRPr="00F851EB" w:rsidRDefault="002510D9" w:rsidP="002510D9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  <w:u w:val="single"/>
        </w:rPr>
      </w:pPr>
      <w:r w:rsidRPr="00F851EB">
        <w:rPr>
          <w:b/>
          <w:sz w:val="28"/>
          <w:szCs w:val="28"/>
          <w:u w:val="single"/>
        </w:rPr>
        <w:t>Úvod</w:t>
      </w:r>
    </w:p>
    <w:p w:rsidR="00D86943" w:rsidRDefault="002510D9" w:rsidP="002510D9">
      <w:pPr>
        <w:autoSpaceDE w:val="0"/>
        <w:autoSpaceDN w:val="0"/>
        <w:adjustRightInd w:val="0"/>
        <w:spacing w:after="240"/>
        <w:jc w:val="both"/>
      </w:pPr>
      <w:r>
        <w:rPr>
          <w:rStyle w:val="bold"/>
        </w:rPr>
        <w:t>Usnesením vlády č. 1</w:t>
      </w:r>
      <w:r w:rsidR="00AF5540">
        <w:rPr>
          <w:rStyle w:val="bold"/>
        </w:rPr>
        <w:t>121</w:t>
      </w:r>
      <w:r>
        <w:rPr>
          <w:rStyle w:val="bold"/>
        </w:rPr>
        <w:t xml:space="preserve"> ze dne 14. prosince 201</w:t>
      </w:r>
      <w:r w:rsidR="00AF5540">
        <w:rPr>
          <w:rStyle w:val="bold"/>
        </w:rPr>
        <w:t>6</w:t>
      </w:r>
      <w:r>
        <w:t>, kterým byl schválen Plán legisl</w:t>
      </w:r>
      <w:r w:rsidR="00AF5540">
        <w:t>ativních prací vlády na rok 2017</w:t>
      </w:r>
      <w:r>
        <w:t>, byl Ministerstvu spravedlnosti</w:t>
      </w:r>
      <w:r w:rsidR="00DC3E40">
        <w:t xml:space="preserve"> (MSp)</w:t>
      </w:r>
      <w:r>
        <w:t xml:space="preserve"> ve spolupráci s Ministerstvem financí</w:t>
      </w:r>
      <w:r w:rsidR="00DC3E40">
        <w:t xml:space="preserve"> (MF)</w:t>
      </w:r>
      <w:r>
        <w:t xml:space="preserve"> a Ministerstvem vnitra</w:t>
      </w:r>
      <w:r w:rsidR="00DC3E40">
        <w:t xml:space="preserve"> (MV)</w:t>
      </w:r>
      <w:r>
        <w:t xml:space="preserve"> uložen úkol </w:t>
      </w:r>
      <w:r w:rsidR="00B56948">
        <w:t>spočívající ve vypracování</w:t>
      </w:r>
      <w:r>
        <w:t xml:space="preserve"> věcného záměru zákona regulujícího mechanismus oddlužení obcí. Tento úkol navazuje na Analýzu řešení platební neschopnosti územních samosprávných celků uv</w:t>
      </w:r>
      <w:r w:rsidR="00B56948">
        <w:t>edenou v části III materiálu č. </w:t>
      </w:r>
      <w:r>
        <w:t>j. 741/14</w:t>
      </w:r>
      <w:r w:rsidR="00B56948">
        <w:t>, která</w:t>
      </w:r>
      <w:r w:rsidR="00D86943">
        <w:t xml:space="preserve"> </w:t>
      </w:r>
      <w:r w:rsidR="00D86943" w:rsidRPr="00385B0B">
        <w:t>byl</w:t>
      </w:r>
      <w:r w:rsidR="00B56948">
        <w:t>a</w:t>
      </w:r>
      <w:r w:rsidR="00D86943" w:rsidRPr="00385B0B">
        <w:t xml:space="preserve"> schválen</w:t>
      </w:r>
      <w:r w:rsidR="00B56948">
        <w:t>a</w:t>
      </w:r>
      <w:r w:rsidR="00D86943" w:rsidRPr="00385B0B">
        <w:t xml:space="preserve"> usnesením vlády ze dne 9. července 2014 č. 540</w:t>
      </w:r>
      <w:r>
        <w:t>.</w:t>
      </w:r>
    </w:p>
    <w:p w:rsidR="002510D9" w:rsidRDefault="002510D9" w:rsidP="002510D9">
      <w:pPr>
        <w:autoSpaceDE w:val="0"/>
        <w:autoSpaceDN w:val="0"/>
        <w:adjustRightInd w:val="0"/>
        <w:spacing w:after="240"/>
        <w:jc w:val="both"/>
      </w:pPr>
      <w:r>
        <w:t>Plán legislativních prací vlády na rok 20</w:t>
      </w:r>
      <w:r w:rsidR="00D86943">
        <w:t>1</w:t>
      </w:r>
      <w:r w:rsidR="00F227A2">
        <w:t>7</w:t>
      </w:r>
      <w:r w:rsidR="00D86943">
        <w:t xml:space="preserve"> přitom předvídá, že je </w:t>
      </w:r>
      <w:r>
        <w:t xml:space="preserve">v souvislosti s daným úkolem </w:t>
      </w:r>
      <w:r w:rsidR="00B56948">
        <w:t>třeba</w:t>
      </w:r>
      <w:r w:rsidR="00D86943">
        <w:t xml:space="preserve"> </w:t>
      </w:r>
      <w:r>
        <w:t xml:space="preserve">provést analýzu, na jejímž základě nelze vyloučit, že zákon (a tedy ani věcný záměr) nebude nakonec účelné zpracovat a v tom případě bude požádáno o zrušení úkolu. S ohledem na to </w:t>
      </w:r>
      <w:r>
        <w:rPr>
          <w:bCs/>
        </w:rPr>
        <w:t xml:space="preserve">Ministerstvo spravedlnosti ve spolupráci se zástupci Ministerstva financí a Ministerstva vnitra v průběhu roku 2016 tuto analýzu provedlo. Jejím výsledkem je závěr, že insolvenční právo nepředstavuje </w:t>
      </w:r>
      <w:r w:rsidR="004B3C1D">
        <w:rPr>
          <w:bCs/>
        </w:rPr>
        <w:t xml:space="preserve">potřebné a </w:t>
      </w:r>
      <w:r>
        <w:rPr>
          <w:bCs/>
        </w:rPr>
        <w:t>funkční řešení finančních obtíží obcí.</w:t>
      </w:r>
    </w:p>
    <w:p w:rsidR="00DC3E40" w:rsidRPr="00F851EB" w:rsidRDefault="002769CA" w:rsidP="00DC3E40">
      <w:pPr>
        <w:pStyle w:val="Textdopisu"/>
        <w:spacing w:after="240"/>
        <w:ind w:firstLine="0"/>
        <w:rPr>
          <w:b/>
          <w:bCs/>
          <w:sz w:val="28"/>
          <w:szCs w:val="28"/>
          <w:u w:val="single"/>
        </w:rPr>
      </w:pPr>
      <w:r w:rsidRPr="00F851EB">
        <w:rPr>
          <w:b/>
          <w:bCs/>
          <w:sz w:val="28"/>
          <w:szCs w:val="28"/>
          <w:u w:val="single"/>
        </w:rPr>
        <w:t>1</w:t>
      </w:r>
      <w:r w:rsidR="00DC3E40" w:rsidRPr="00F851EB">
        <w:rPr>
          <w:b/>
          <w:bCs/>
          <w:sz w:val="28"/>
          <w:szCs w:val="28"/>
          <w:u w:val="single"/>
        </w:rPr>
        <w:t xml:space="preserve">. </w:t>
      </w:r>
      <w:r w:rsidR="0016499A" w:rsidRPr="00F851EB">
        <w:rPr>
          <w:b/>
          <w:bCs/>
          <w:sz w:val="28"/>
          <w:szCs w:val="28"/>
          <w:u w:val="single"/>
        </w:rPr>
        <w:t xml:space="preserve">K potřebnosti </w:t>
      </w:r>
      <w:r w:rsidR="00F851EB">
        <w:rPr>
          <w:b/>
          <w:bCs/>
          <w:sz w:val="28"/>
          <w:szCs w:val="28"/>
          <w:u w:val="single"/>
        </w:rPr>
        <w:t>mechanismu</w:t>
      </w:r>
      <w:r w:rsidR="0016499A" w:rsidRPr="00F851EB">
        <w:rPr>
          <w:b/>
          <w:bCs/>
          <w:sz w:val="28"/>
          <w:szCs w:val="28"/>
          <w:u w:val="single"/>
        </w:rPr>
        <w:t xml:space="preserve"> </w:t>
      </w:r>
      <w:r w:rsidR="00DC3E40" w:rsidRPr="00F851EB">
        <w:rPr>
          <w:b/>
          <w:bCs/>
          <w:sz w:val="28"/>
          <w:szCs w:val="28"/>
          <w:u w:val="single"/>
        </w:rPr>
        <w:t>oddlužení obcí</w:t>
      </w:r>
    </w:p>
    <w:p w:rsidR="004B3C1D" w:rsidRPr="00DC3E40" w:rsidRDefault="00DC3E40" w:rsidP="004B3C1D">
      <w:pPr>
        <w:spacing w:after="240"/>
        <w:contextualSpacing/>
        <w:jc w:val="both"/>
      </w:pPr>
      <w:r>
        <w:rPr>
          <w:bCs/>
        </w:rPr>
        <w:t>V</w:t>
      </w:r>
      <w:r w:rsidR="0016499A">
        <w:rPr>
          <w:bCs/>
        </w:rPr>
        <w:t xml:space="preserve"> současnosti prakticky nenastávají případy, které by </w:t>
      </w:r>
      <w:r w:rsidR="004B3C1D">
        <w:rPr>
          <w:bCs/>
        </w:rPr>
        <w:t>u</w:t>
      </w:r>
      <w:r w:rsidR="0016499A">
        <w:rPr>
          <w:bCs/>
        </w:rPr>
        <w:t xml:space="preserve"> obcí vedly k situaci srovnatelné s úpadkem podle </w:t>
      </w:r>
      <w:r w:rsidR="0016499A" w:rsidRPr="00DC3E40">
        <w:rPr>
          <w:bCs/>
        </w:rPr>
        <w:t xml:space="preserve">insolvenčního zákona. </w:t>
      </w:r>
      <w:r w:rsidR="00623B9E">
        <w:t>O</w:t>
      </w:r>
      <w:r w:rsidR="004B3C1D" w:rsidRPr="00DC3E40">
        <w:t>bcím</w:t>
      </w:r>
      <w:r w:rsidR="00623B9E">
        <w:t xml:space="preserve"> se</w:t>
      </w:r>
      <w:r w:rsidR="004B3C1D" w:rsidRPr="00DC3E40">
        <w:t xml:space="preserve"> daří udržovat stabilní a funkční</w:t>
      </w:r>
      <w:r w:rsidR="00623B9E">
        <w:t xml:space="preserve"> hospodaření, které </w:t>
      </w:r>
      <w:r w:rsidR="004B3C1D" w:rsidRPr="00DC3E40">
        <w:t xml:space="preserve">nevyvolává potřebu zásadních legislativních změn </w:t>
      </w:r>
      <w:r w:rsidR="00623B9E">
        <w:t>k řešení jejich úpadku</w:t>
      </w:r>
      <w:r w:rsidR="004B3C1D" w:rsidRPr="00DC3E40">
        <w:t>.</w:t>
      </w:r>
      <w:r w:rsidR="00623B9E">
        <w:t xml:space="preserve"> </w:t>
      </w:r>
      <w:r w:rsidR="00623B9E">
        <w:rPr>
          <w:bCs/>
        </w:rPr>
        <w:t xml:space="preserve">Dřívější </w:t>
      </w:r>
      <w:r w:rsidR="0016499A" w:rsidRPr="00DC3E40">
        <w:rPr>
          <w:bCs/>
        </w:rPr>
        <w:t>případy přitom nová prá</w:t>
      </w:r>
      <w:r w:rsidR="00623B9E">
        <w:rPr>
          <w:bCs/>
        </w:rPr>
        <w:t>vní úprava není způsobilá řešit, neboť by se tím příčila zásadě zákazu zpětné účinnosti právních norem.</w:t>
      </w:r>
    </w:p>
    <w:p w:rsidR="0016499A" w:rsidRPr="00623B9E" w:rsidRDefault="00623B9E" w:rsidP="00DC3E40">
      <w:pPr>
        <w:pStyle w:val="Textdopisu"/>
        <w:spacing w:after="240"/>
        <w:ind w:firstLine="0"/>
        <w:rPr>
          <w:b/>
          <w:bCs/>
          <w:szCs w:val="24"/>
          <w:u w:val="single"/>
        </w:rPr>
      </w:pPr>
      <w:r w:rsidRPr="00623B9E">
        <w:rPr>
          <w:b/>
          <w:bCs/>
          <w:szCs w:val="24"/>
          <w:u w:val="single"/>
        </w:rPr>
        <w:t>1.1. Zadluženost obcí</w:t>
      </w:r>
    </w:p>
    <w:p w:rsidR="00F11AE8" w:rsidRDefault="00623B9E" w:rsidP="004B3C1D">
      <w:pPr>
        <w:spacing w:after="240"/>
        <w:contextualSpacing/>
        <w:jc w:val="both"/>
      </w:pPr>
      <w:r>
        <w:t>Údaje týkající s</w:t>
      </w:r>
      <w:r w:rsidR="00C13A52">
        <w:t>e zadluženosti obcí, včetně jejího nárů</w:t>
      </w:r>
      <w:r>
        <w:t>stu</w:t>
      </w:r>
      <w:r w:rsidR="00C13A52">
        <w:t>, stagna</w:t>
      </w:r>
      <w:r w:rsidR="00E30656">
        <w:t>ce</w:t>
      </w:r>
      <w:r w:rsidR="00C13A52">
        <w:t xml:space="preserve"> </w:t>
      </w:r>
      <w:r w:rsidR="00E30656">
        <w:t>a</w:t>
      </w:r>
      <w:r w:rsidR="00C13A52">
        <w:t xml:space="preserve"> poklesu, sleduje každoročně Ministerstvo financí</w:t>
      </w:r>
      <w:r w:rsidR="00E30656">
        <w:t xml:space="preserve"> v rámci tzv. </w:t>
      </w:r>
      <w:r w:rsidR="00E30656" w:rsidRPr="00DC3E40">
        <w:rPr>
          <w:i/>
        </w:rPr>
        <w:t>Monitoringu obcí.</w:t>
      </w:r>
      <w:r w:rsidR="004B3C1D" w:rsidRPr="00DC3E40">
        <w:t xml:space="preserve"> </w:t>
      </w:r>
      <w:r w:rsidR="00E30656">
        <w:t>Z</w:t>
      </w:r>
      <w:r w:rsidR="00F11AE8">
        <w:t> </w:t>
      </w:r>
      <w:r w:rsidR="004B3C1D" w:rsidRPr="00DC3E40">
        <w:t>údajů</w:t>
      </w:r>
      <w:r w:rsidR="00F11AE8">
        <w:t>, které jsou též veřejně dostupné</w:t>
      </w:r>
      <w:r w:rsidR="004B3C1D" w:rsidRPr="00DC3E40">
        <w:t xml:space="preserve"> na </w:t>
      </w:r>
      <w:r w:rsidR="00F11AE8">
        <w:t xml:space="preserve">internetových </w:t>
      </w:r>
      <w:r w:rsidR="004B3C1D" w:rsidRPr="00DC3E40">
        <w:t>stránkách MF</w:t>
      </w:r>
      <w:r w:rsidR="00F11AE8">
        <w:rPr>
          <w:rStyle w:val="FootnoteReference"/>
        </w:rPr>
        <w:footnoteReference w:id="1"/>
      </w:r>
      <w:r w:rsidR="00F11AE8">
        <w:t xml:space="preserve">, </w:t>
      </w:r>
      <w:r w:rsidR="004B3C1D" w:rsidRPr="00DC3E40">
        <w:t xml:space="preserve">je mimo jiné patrné, že </w:t>
      </w:r>
      <w:r w:rsidR="004B3C1D" w:rsidRPr="00DC3E40">
        <w:rPr>
          <w:b/>
        </w:rPr>
        <w:t>vysoká míra zadluženosti obcí se dlouhodobě týká pouze několika málo obcí</w:t>
      </w:r>
      <w:r w:rsidR="004B3C1D" w:rsidRPr="00DC3E40">
        <w:t xml:space="preserve">. </w:t>
      </w:r>
      <w:r w:rsidR="003E6E5D">
        <w:rPr>
          <w:b/>
        </w:rPr>
        <w:t xml:space="preserve">Jedná se </w:t>
      </w:r>
      <w:r w:rsidR="004B3C1D" w:rsidRPr="00DC3E40">
        <w:rPr>
          <w:b/>
        </w:rPr>
        <w:t>o zadlužení obcí z minulosti</w:t>
      </w:r>
      <w:r w:rsidR="004B3C1D" w:rsidRPr="00DC3E40">
        <w:t>, se kterým se obce potýkají dlouhodobě.</w:t>
      </w:r>
    </w:p>
    <w:p w:rsidR="004E3149" w:rsidRDefault="004E3149" w:rsidP="004B3C1D">
      <w:pPr>
        <w:spacing w:after="240"/>
        <w:contextualSpacing/>
        <w:jc w:val="both"/>
      </w:pPr>
    </w:p>
    <w:p w:rsidR="001E168B" w:rsidRPr="00DC3E40" w:rsidRDefault="004B3C1D" w:rsidP="004B3C1D">
      <w:pPr>
        <w:spacing w:after="240"/>
        <w:contextualSpacing/>
        <w:jc w:val="both"/>
      </w:pPr>
      <w:r w:rsidRPr="00DC3E40"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94"/>
      </w:tblGrid>
      <w:tr w:rsidR="00CF4489" w:rsidRPr="00DC3E40" w:rsidTr="00CF4489">
        <w:trPr>
          <w:trHeight w:val="69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C3E40">
              <w:rPr>
                <w:b/>
                <w:bCs/>
                <w:color w:val="000000"/>
              </w:rPr>
              <w:t xml:space="preserve">Rok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CF448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C3E40">
              <w:rPr>
                <w:b/>
                <w:bCs/>
                <w:color w:val="000000"/>
              </w:rPr>
              <w:t>Vysoká míra rizika</w:t>
            </w:r>
            <w:r>
              <w:rPr>
                <w:b/>
                <w:bCs/>
                <w:color w:val="000000"/>
              </w:rPr>
              <w:t xml:space="preserve"> platební neschopnosti</w:t>
            </w:r>
          </w:p>
        </w:tc>
      </w:tr>
      <w:tr w:rsidR="00CF4489" w:rsidRPr="00DC3E40" w:rsidTr="00CF4489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  <w:jc w:val="center"/>
              <w:rPr>
                <w:color w:val="000000"/>
              </w:rPr>
            </w:pPr>
            <w:r w:rsidRPr="00DC3E40">
              <w:rPr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</w:pPr>
            <w:r w:rsidRPr="00F11AE8">
              <w:t>Prameny, Turovice</w:t>
            </w:r>
          </w:p>
        </w:tc>
      </w:tr>
      <w:tr w:rsidR="00CF4489" w:rsidRPr="00DC3E40" w:rsidTr="00CF4489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  <w:jc w:val="center"/>
              <w:rPr>
                <w:color w:val="000000"/>
              </w:rPr>
            </w:pPr>
            <w:r w:rsidRPr="00DC3E40">
              <w:rPr>
                <w:color w:val="00000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</w:pPr>
            <w:r w:rsidRPr="00F11AE8">
              <w:t>Bublava, Prameny, Turovice</w:t>
            </w:r>
          </w:p>
        </w:tc>
      </w:tr>
      <w:tr w:rsidR="00CF4489" w:rsidRPr="00DC3E40" w:rsidTr="00CF4489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  <w:jc w:val="center"/>
              <w:rPr>
                <w:color w:val="000000"/>
              </w:rPr>
            </w:pPr>
            <w:r w:rsidRPr="00DC3E40">
              <w:rPr>
                <w:color w:val="000000"/>
              </w:rPr>
              <w:lastRenderedPageBreak/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CF4489" w:rsidRDefault="00CF4489" w:rsidP="00A12641">
            <w:pPr>
              <w:contextualSpacing/>
            </w:pPr>
            <w:r w:rsidRPr="00F11AE8">
              <w:t>Bublava, Prameny, Turovice</w:t>
            </w:r>
          </w:p>
        </w:tc>
      </w:tr>
      <w:tr w:rsidR="00CF4489" w:rsidRPr="00DC3E40" w:rsidTr="00CF4489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  <w:jc w:val="center"/>
              <w:rPr>
                <w:color w:val="000000"/>
              </w:rPr>
            </w:pPr>
            <w:r w:rsidRPr="00DC3E40">
              <w:rPr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CF4489" w:rsidRDefault="00CF4489" w:rsidP="009A71E9">
            <w:pPr>
              <w:contextualSpacing/>
            </w:pPr>
            <w:r w:rsidRPr="00F11AE8">
              <w:t>Bublava, Prameny, Turovice</w:t>
            </w:r>
          </w:p>
        </w:tc>
      </w:tr>
      <w:tr w:rsidR="00CF4489" w:rsidRPr="00DC3E40" w:rsidTr="00CF4489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DC3E40" w:rsidRDefault="00CF4489" w:rsidP="009A71E9">
            <w:pPr>
              <w:contextualSpacing/>
              <w:jc w:val="center"/>
              <w:rPr>
                <w:color w:val="000000"/>
              </w:rPr>
            </w:pPr>
            <w:r w:rsidRPr="00DC3E40">
              <w:rPr>
                <w:color w:val="00000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489" w:rsidRPr="00CF4489" w:rsidRDefault="00CF4489" w:rsidP="009A71E9">
            <w:pPr>
              <w:contextualSpacing/>
            </w:pPr>
            <w:r w:rsidRPr="00F11AE8">
              <w:t>Bublava, Prameny, Turovice</w:t>
            </w:r>
          </w:p>
        </w:tc>
      </w:tr>
    </w:tbl>
    <w:p w:rsidR="004B3C1D" w:rsidRPr="00DC3E40" w:rsidRDefault="004B3C1D" w:rsidP="004B3C1D">
      <w:pPr>
        <w:contextualSpacing/>
        <w:jc w:val="both"/>
      </w:pPr>
    </w:p>
    <w:p w:rsidR="004B3C1D" w:rsidRPr="00DC3E40" w:rsidRDefault="003E6E5D" w:rsidP="004B3C1D">
      <w:pPr>
        <w:contextualSpacing/>
        <w:jc w:val="both"/>
        <w:rPr>
          <w:i/>
        </w:rPr>
      </w:pPr>
      <w:r w:rsidRPr="003E6E5D">
        <w:t xml:space="preserve">V </w:t>
      </w:r>
      <w:r w:rsidR="004B3C1D" w:rsidRPr="003E6E5D">
        <w:rPr>
          <w:noProof/>
        </w:rPr>
        <w:t>Informac</w:t>
      </w:r>
      <w:r w:rsidR="003F7B2D">
        <w:rPr>
          <w:noProof/>
        </w:rPr>
        <w:t>i</w:t>
      </w:r>
      <w:r w:rsidR="004B3C1D" w:rsidRPr="003E6E5D">
        <w:rPr>
          <w:noProof/>
        </w:rPr>
        <w:t xml:space="preserve"> o monitoringu hospodaření obcí za rok 2015</w:t>
      </w:r>
      <w:r w:rsidRPr="003E6E5D">
        <w:rPr>
          <w:noProof/>
        </w:rPr>
        <w:t xml:space="preserve"> předložené</w:t>
      </w:r>
      <w:r w:rsidR="004B3C1D" w:rsidRPr="00DC3E40">
        <w:rPr>
          <w:noProof/>
        </w:rPr>
        <w:t xml:space="preserve"> vládě</w:t>
      </w:r>
      <w:r>
        <w:rPr>
          <w:noProof/>
        </w:rPr>
        <w:t xml:space="preserve"> je k tomuto konstatováno</w:t>
      </w:r>
      <w:r w:rsidR="004B3C1D" w:rsidRPr="00DC3E40">
        <w:rPr>
          <w:noProof/>
        </w:rPr>
        <w:t xml:space="preserve">: </w:t>
      </w:r>
      <w:r w:rsidR="004B3C1D" w:rsidRPr="00DC3E40">
        <w:rPr>
          <w:i/>
          <w:noProof/>
        </w:rPr>
        <w:t>„</w:t>
      </w:r>
      <w:r w:rsidR="004B3C1D" w:rsidRPr="00DC3E40">
        <w:rPr>
          <w:i/>
        </w:rPr>
        <w:t>Z výsledků monitoringu hospodaření obcí za rok 2015 vyplývá, že se obcím dařilo udržovat stabilní hospodaření a zlepšovat pozici jejich likvidity (také díky růstu daňových příjmů). Stejně jako v minulých letech je možné konstatovat, že většina obcí, u nichž došlo k překročení stanovených hodnot monitorujících ukazatelů</w:t>
      </w:r>
      <w:r w:rsidR="00A12641">
        <w:rPr>
          <w:i/>
        </w:rPr>
        <w:t>,</w:t>
      </w:r>
      <w:r w:rsidR="004B3C1D" w:rsidRPr="00DC3E40">
        <w:rPr>
          <w:i/>
        </w:rPr>
        <w:t xml:space="preserve"> by se i přes výše uvedená rizika neměla dostat do vážných problémů se svou platební schopností, neboť se u nich identifikované riziko ukázalo pouze jako dočasné.“</w:t>
      </w:r>
    </w:p>
    <w:p w:rsidR="004B3C1D" w:rsidRPr="00DC3E40" w:rsidRDefault="004B3C1D" w:rsidP="004B3C1D">
      <w:pPr>
        <w:contextualSpacing/>
        <w:jc w:val="both"/>
        <w:rPr>
          <w:i/>
        </w:rPr>
      </w:pPr>
    </w:p>
    <w:p w:rsidR="004B3C1D" w:rsidRPr="00DC3E40" w:rsidRDefault="004B3C1D" w:rsidP="004B3C1D">
      <w:pPr>
        <w:contextualSpacing/>
        <w:jc w:val="both"/>
        <w:rPr>
          <w:i/>
        </w:rPr>
      </w:pPr>
      <w:r w:rsidRPr="00DC3E40">
        <w:t xml:space="preserve">Předchozí </w:t>
      </w:r>
      <w:r w:rsidRPr="003E6E5D">
        <w:t>rok 2014</w:t>
      </w:r>
      <w:r w:rsidRPr="00DC3E40">
        <w:t xml:space="preserve"> byl </w:t>
      </w:r>
      <w:r w:rsidR="003E6E5D">
        <w:t>Ministerstvem financí</w:t>
      </w:r>
      <w:r w:rsidRPr="00DC3E40">
        <w:t xml:space="preserve"> hodnocen obdobně: „</w:t>
      </w:r>
      <w:r w:rsidRPr="00DC3E40">
        <w:rPr>
          <w:i/>
        </w:rPr>
        <w:t>Z výsledků monitoringu hospodaření obcí za rok 2014 vyplývá, že se obcím dařilo udržovat stabilní hospodaření a zlepšovat pozici jejich likvidity (také díky růstu daňových příjmů). Stejně jako v minulých letech je možné konstatovat, že většina obcí, u nichž došlo k překročení stanovených hodnot monitorujících ukazatelů, by se i přes výše uvedená rizika neměla dostat do vážných problémů se svou platební schopností, neboť se u nich identifikované riziko ukázalo pouze jako dočasné.“</w:t>
      </w:r>
    </w:p>
    <w:p w:rsidR="004B3C1D" w:rsidRPr="00DC3E40" w:rsidRDefault="004B3C1D" w:rsidP="004B3C1D">
      <w:pPr>
        <w:contextualSpacing/>
        <w:jc w:val="both"/>
        <w:rPr>
          <w:i/>
        </w:rPr>
      </w:pPr>
    </w:p>
    <w:p w:rsidR="004B3C1D" w:rsidRPr="00DC3E40" w:rsidRDefault="004B3C1D" w:rsidP="004B3C1D">
      <w:pPr>
        <w:contextualSpacing/>
        <w:jc w:val="both"/>
      </w:pPr>
      <w:r w:rsidRPr="00DC3E40">
        <w:t>Na základě výše uvedeného je možno konstatovat, že obcí s nejvyšší mírou rizika je pouze minimální množství a jedná se o zadlužení, které těmto obcím vzniklo před mnoha lety. V období posledních pěti let do této kategorie vysoce zadlužených obcí žádná další</w:t>
      </w:r>
      <w:r w:rsidR="00D85F85">
        <w:t xml:space="preserve"> nepřibyla. K n</w:t>
      </w:r>
      <w:r w:rsidRPr="00DC3E40">
        <w:t>ezvyšování počtu vysoce zadlužen</w:t>
      </w:r>
      <w:r w:rsidR="00AE3909">
        <w:t>ých obcí nemalou měrou přispívají</w:t>
      </w:r>
      <w:r w:rsidR="00D85F85">
        <w:t xml:space="preserve"> proces</w:t>
      </w:r>
      <w:r w:rsidR="00D85F85" w:rsidRPr="00DC3E40">
        <w:t xml:space="preserve"> monitoringu míry zadlužení</w:t>
      </w:r>
      <w:r w:rsidR="00D85F85">
        <w:t xml:space="preserve"> obcí realizovaný</w:t>
      </w:r>
      <w:r w:rsidR="00D85F85" w:rsidRPr="00DC3E40">
        <w:t xml:space="preserve"> v gesci MF</w:t>
      </w:r>
      <w:r w:rsidR="00AE3909">
        <w:t xml:space="preserve"> a aktivity MV</w:t>
      </w:r>
      <w:r w:rsidR="00AD5300">
        <w:t>,</w:t>
      </w:r>
      <w:r w:rsidR="00AE3909" w:rsidRPr="00AE3909">
        <w:t xml:space="preserve"> </w:t>
      </w:r>
      <w:r w:rsidR="00AE3909">
        <w:t xml:space="preserve">a to zejména </w:t>
      </w:r>
      <w:r w:rsidR="00AE3909" w:rsidRPr="00DC3E40">
        <w:t>v oblasti zvyšování úrovně znalostí zastupitelů v plném rozsahu spektr</w:t>
      </w:r>
      <w:r w:rsidR="00AD5300">
        <w:t>a</w:t>
      </w:r>
      <w:r w:rsidR="00AE3909" w:rsidRPr="00DC3E40">
        <w:t xml:space="preserve"> činností, které vykonávají v rámci svého mandátu</w:t>
      </w:r>
      <w:r w:rsidR="00AE3909">
        <w:t xml:space="preserve"> (ke vzdělávacím aktivitám </w:t>
      </w:r>
      <w:r w:rsidR="00AD5300">
        <w:t xml:space="preserve">více </w:t>
      </w:r>
      <w:r w:rsidR="00AE3909">
        <w:t>níže)</w:t>
      </w:r>
      <w:r w:rsidR="00AE3909" w:rsidRPr="00DC3E40">
        <w:t>.</w:t>
      </w:r>
    </w:p>
    <w:p w:rsidR="004B3C1D" w:rsidRPr="00DC3E40" w:rsidRDefault="004B3C1D" w:rsidP="004B3C1D">
      <w:pPr>
        <w:contextualSpacing/>
        <w:jc w:val="both"/>
      </w:pPr>
    </w:p>
    <w:p w:rsidR="00AE3909" w:rsidRPr="00623B9E" w:rsidRDefault="00AE3909" w:rsidP="00AE3909">
      <w:pPr>
        <w:pStyle w:val="Textdopisu"/>
        <w:spacing w:after="240"/>
        <w:ind w:firstLine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1.2</w:t>
      </w:r>
      <w:r w:rsidRPr="00623B9E">
        <w:rPr>
          <w:b/>
          <w:bCs/>
          <w:szCs w:val="24"/>
          <w:u w:val="single"/>
        </w:rPr>
        <w:t xml:space="preserve">. </w:t>
      </w:r>
      <w:r w:rsidR="000306A8">
        <w:rPr>
          <w:b/>
          <w:bCs/>
          <w:szCs w:val="24"/>
          <w:u w:val="single"/>
        </w:rPr>
        <w:t>Zjišťování úrovně z</w:t>
      </w:r>
      <w:r w:rsidRPr="00623B9E">
        <w:rPr>
          <w:b/>
          <w:bCs/>
          <w:szCs w:val="24"/>
          <w:u w:val="single"/>
        </w:rPr>
        <w:t>adluženost</w:t>
      </w:r>
      <w:r w:rsidR="000306A8">
        <w:rPr>
          <w:b/>
          <w:bCs/>
          <w:szCs w:val="24"/>
          <w:u w:val="single"/>
        </w:rPr>
        <w:t>i</w:t>
      </w:r>
      <w:r w:rsidRPr="00623B9E">
        <w:rPr>
          <w:b/>
          <w:bCs/>
          <w:szCs w:val="24"/>
          <w:u w:val="single"/>
        </w:rPr>
        <w:t xml:space="preserve"> obcí</w:t>
      </w:r>
      <w:r w:rsidR="000306A8">
        <w:rPr>
          <w:b/>
          <w:bCs/>
          <w:szCs w:val="24"/>
          <w:u w:val="single"/>
        </w:rPr>
        <w:t xml:space="preserve"> a mechanismy</w:t>
      </w:r>
      <w:r w:rsidR="00DE24A9">
        <w:rPr>
          <w:b/>
          <w:bCs/>
          <w:szCs w:val="24"/>
          <w:u w:val="single"/>
        </w:rPr>
        <w:t xml:space="preserve"> nápravy </w:t>
      </w:r>
    </w:p>
    <w:p w:rsidR="002510D9" w:rsidRPr="00DC3E40" w:rsidRDefault="002510D9" w:rsidP="00DC3E40">
      <w:pPr>
        <w:pStyle w:val="NormalWeb"/>
        <w:spacing w:before="0" w:beforeAutospacing="0" w:after="0" w:afterAutospacing="0"/>
        <w:contextualSpacing/>
        <w:jc w:val="both"/>
      </w:pPr>
      <w:r w:rsidRPr="00DC3E40">
        <w:t xml:space="preserve">MF (na základě </w:t>
      </w:r>
      <w:hyperlink r:id="rId8" w:tooltip="Usnesení vlády č. 1395/2008" w:history="1">
        <w:r w:rsidRPr="00DC3E40">
          <w:t>usnesení vlády ČR ze dne 12. listopadu 2008 č. 1395</w:t>
        </w:r>
      </w:hyperlink>
      <w:r w:rsidR="00E8067F">
        <w:t>,</w:t>
      </w:r>
      <w:r w:rsidRPr="00DC3E40">
        <w:t xml:space="preserve"> o monitoringu hospodaření obcí a o zrušení </w:t>
      </w:r>
      <w:hyperlink r:id="rId9" w:tooltip="Usnesení vlády ČR č. 695/2010" w:history="1">
        <w:r w:rsidRPr="00DC3E40">
          <w:t>usnesení vlády ze dne 14. dubna 2004 č. 346</w:t>
        </w:r>
      </w:hyperlink>
      <w:r w:rsidRPr="00DC3E40">
        <w:t xml:space="preserve">, o Regulaci zadluženosti obcí a krajů pomocí ukazatele dluhové služby, ve znění usnesení vlády ČR ze dne 29. září 2010 č. 695 a </w:t>
      </w:r>
      <w:hyperlink r:id="rId10" w:tooltip="Usnesení vlády ČR č. 722/2012" w:history="1">
        <w:r w:rsidRPr="00DC3E40">
          <w:t>ze dne 3. října 2012 č. 722</w:t>
        </w:r>
      </w:hyperlink>
      <w:r w:rsidRPr="00DC3E40">
        <w:t xml:space="preserve">) </w:t>
      </w:r>
      <w:r w:rsidR="00E83FEB" w:rsidRPr="00DE24A9">
        <w:t>každoročně provádí výpočet soustavy informativních a monitorujících ukazatelů (SIMU) za všechny obce a jimi zřízené příspěvkové organizace a vyhodnocuje výsledky výpočtu</w:t>
      </w:r>
      <w:r w:rsidRPr="00DE24A9">
        <w:t>.</w:t>
      </w:r>
    </w:p>
    <w:p w:rsidR="002510D9" w:rsidRPr="00DC3E40" w:rsidRDefault="002510D9" w:rsidP="00DC3E40">
      <w:pPr>
        <w:pStyle w:val="NormalWeb"/>
        <w:spacing w:before="0" w:beforeAutospacing="0" w:after="0" w:afterAutospacing="0"/>
        <w:contextualSpacing/>
        <w:jc w:val="both"/>
      </w:pPr>
    </w:p>
    <w:p w:rsidR="002510D9" w:rsidRPr="00DC3E40" w:rsidRDefault="002510D9" w:rsidP="00DC3E40">
      <w:pPr>
        <w:pStyle w:val="NormalWeb"/>
        <w:spacing w:before="0" w:beforeAutospacing="0" w:after="0" w:afterAutospacing="0"/>
        <w:contextualSpacing/>
        <w:jc w:val="both"/>
      </w:pPr>
      <w:r w:rsidRPr="00DC3E40">
        <w:t xml:space="preserve">Obce, jejichž ukazatel celkové likvidity bude k 31. </w:t>
      </w:r>
      <w:r w:rsidR="00DE24A9">
        <w:t>12. daného roku v intervalu &lt;0;</w:t>
      </w:r>
      <w:r w:rsidRPr="00DC3E40">
        <w:t>1&gt; a </w:t>
      </w:r>
      <w:r w:rsidR="00DE24A9">
        <w:t>je</w:t>
      </w:r>
      <w:r w:rsidR="00A12641">
        <w:t>j</w:t>
      </w:r>
      <w:r w:rsidR="00DE24A9">
        <w:t xml:space="preserve">ichž ukazatel </w:t>
      </w:r>
      <w:r w:rsidRPr="00DC3E40">
        <w:t>podíl</w:t>
      </w:r>
      <w:r w:rsidR="00DE24A9">
        <w:t>u</w:t>
      </w:r>
      <w:r w:rsidRPr="00DC3E40">
        <w:t xml:space="preserve"> cizích zdrojů k celkovým aktivům </w:t>
      </w:r>
      <w:r w:rsidR="00DE24A9">
        <w:t xml:space="preserve">bude zároveň </w:t>
      </w:r>
      <w:r w:rsidRPr="00DC3E40">
        <w:t>vyšší než 25 %, jsou dopisem ministra financí požádány o zdůvodnění tohoto stavu a o stanovisko zastupitelstva dané obce.</w:t>
      </w:r>
      <w:r w:rsidR="00DE24A9">
        <w:t xml:space="preserve"> </w:t>
      </w:r>
      <w:r w:rsidRPr="00DC3E40">
        <w:t>MF po obdržení vyjádření daných obcí informuje vládu ČR o výsledku monitoringu hospodaření obcí za příslušný rok.</w:t>
      </w:r>
    </w:p>
    <w:p w:rsidR="002510D9" w:rsidRPr="00DC3E40" w:rsidRDefault="002510D9" w:rsidP="00DC3E40">
      <w:pPr>
        <w:pStyle w:val="NormalWeb"/>
        <w:spacing w:before="0" w:beforeAutospacing="0" w:after="0" w:afterAutospacing="0"/>
        <w:contextualSpacing/>
        <w:jc w:val="both"/>
      </w:pPr>
    </w:p>
    <w:p w:rsidR="002510D9" w:rsidRPr="00DC3E40" w:rsidRDefault="002510D9" w:rsidP="00DC3E40">
      <w:pPr>
        <w:pStyle w:val="Footnote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E40">
        <w:rPr>
          <w:rFonts w:ascii="Times New Roman" w:hAnsi="Times New Roman" w:cs="Times New Roman"/>
          <w:sz w:val="24"/>
          <w:szCs w:val="24"/>
        </w:rPr>
        <w:t>Obcím, u nichž budou i po vyhodnocení všech dostupných podkladů identifikovány vážné problémy s jejich platební schopností, je ze strany MF</w:t>
      </w:r>
      <w:r w:rsidR="00DE24A9">
        <w:rPr>
          <w:rFonts w:ascii="Times New Roman" w:hAnsi="Times New Roman" w:cs="Times New Roman"/>
          <w:sz w:val="24"/>
          <w:szCs w:val="24"/>
        </w:rPr>
        <w:t xml:space="preserve"> </w:t>
      </w:r>
      <w:r w:rsidRPr="00DC3E40">
        <w:rPr>
          <w:rFonts w:ascii="Times New Roman" w:hAnsi="Times New Roman" w:cs="Times New Roman"/>
          <w:sz w:val="24"/>
          <w:szCs w:val="24"/>
        </w:rPr>
        <w:t>ve spolupráci s</w:t>
      </w:r>
      <w:r w:rsidR="00DE24A9">
        <w:rPr>
          <w:rFonts w:ascii="Times New Roman" w:hAnsi="Times New Roman" w:cs="Times New Roman"/>
          <w:sz w:val="24"/>
          <w:szCs w:val="24"/>
        </w:rPr>
        <w:t> </w:t>
      </w:r>
      <w:r w:rsidRPr="00DC3E40">
        <w:rPr>
          <w:rFonts w:ascii="Times New Roman" w:hAnsi="Times New Roman" w:cs="Times New Roman"/>
          <w:sz w:val="24"/>
          <w:szCs w:val="24"/>
        </w:rPr>
        <w:t>MV</w:t>
      </w:r>
      <w:r w:rsidR="00DE24A9">
        <w:rPr>
          <w:rFonts w:ascii="Times New Roman" w:hAnsi="Times New Roman" w:cs="Times New Roman"/>
          <w:sz w:val="24"/>
          <w:szCs w:val="24"/>
        </w:rPr>
        <w:t xml:space="preserve"> </w:t>
      </w:r>
      <w:r w:rsidRPr="00DC3E40">
        <w:rPr>
          <w:rFonts w:ascii="Times New Roman" w:hAnsi="Times New Roman" w:cs="Times New Roman"/>
          <w:sz w:val="24"/>
          <w:szCs w:val="24"/>
        </w:rPr>
        <w:t>nabídnuta pomoc,</w:t>
      </w:r>
      <w:r w:rsidR="00DE24A9">
        <w:rPr>
          <w:rFonts w:ascii="Times New Roman" w:hAnsi="Times New Roman" w:cs="Times New Roman"/>
          <w:sz w:val="24"/>
          <w:szCs w:val="24"/>
        </w:rPr>
        <w:t xml:space="preserve"> </w:t>
      </w:r>
      <w:r w:rsidR="00DE24A9">
        <w:rPr>
          <w:rFonts w:ascii="Times New Roman" w:hAnsi="Times New Roman" w:cs="Times New Roman"/>
          <w:sz w:val="24"/>
          <w:szCs w:val="24"/>
        </w:rPr>
        <w:lastRenderedPageBreak/>
        <w:t>která spočívá</w:t>
      </w:r>
      <w:r w:rsidRPr="00DC3E40">
        <w:rPr>
          <w:rFonts w:ascii="Times New Roman" w:hAnsi="Times New Roman" w:cs="Times New Roman"/>
          <w:sz w:val="24"/>
          <w:szCs w:val="24"/>
        </w:rPr>
        <w:t xml:space="preserve"> v analýze vzniklých problémů a návrhu doporučení, jak postupovat při jejich řešení</w:t>
      </w:r>
      <w:r w:rsidR="00DE24A9">
        <w:rPr>
          <w:rFonts w:ascii="Times New Roman" w:hAnsi="Times New Roman" w:cs="Times New Roman"/>
          <w:sz w:val="24"/>
          <w:szCs w:val="24"/>
        </w:rPr>
        <w:t>.</w:t>
      </w:r>
      <w:r w:rsidR="00DE24A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2510D9" w:rsidRPr="00DC3E40" w:rsidRDefault="002510D9" w:rsidP="00DC3E40">
      <w:pPr>
        <w:contextualSpacing/>
        <w:jc w:val="both"/>
      </w:pPr>
    </w:p>
    <w:p w:rsidR="002510D9" w:rsidRPr="00DC3E40" w:rsidRDefault="002510D9" w:rsidP="00DC3E40">
      <w:pPr>
        <w:contextualSpacing/>
        <w:jc w:val="both"/>
      </w:pPr>
      <w:r w:rsidRPr="00DC3E40">
        <w:t xml:space="preserve">V případě MV se tato pomoc obcím soustřeďuje v prvé řadě na oblast metodické podpory a vzdělávání jak zastupitelů, tak úředníků působících v rámci struktur územních samosprávných celků. Děje se tomu dlouhodobě a v posledním období je zde patrná snaha o systematičnost působení v této oblasti. </w:t>
      </w:r>
    </w:p>
    <w:p w:rsidR="002510D9" w:rsidRPr="00DC3E40" w:rsidRDefault="002510D9" w:rsidP="00DC3E40">
      <w:pPr>
        <w:contextualSpacing/>
        <w:jc w:val="both"/>
      </w:pPr>
    </w:p>
    <w:p w:rsidR="002510D9" w:rsidRPr="00DC3E40" w:rsidRDefault="002510D9" w:rsidP="00DC3E40">
      <w:pPr>
        <w:contextualSpacing/>
        <w:jc w:val="both"/>
        <w:rPr>
          <w:bCs/>
          <w:color w:val="000000"/>
        </w:rPr>
      </w:pPr>
      <w:r w:rsidRPr="00DC3E40">
        <w:t>Vzdělávání zastupitelů chápe MV v plné šíři spektra činností, které zastupitelé vykonávají v rámci svého mandátu. Odborem veřejné správy, dozoru a kontroly MV jsou dlouhodobě zpracovávána a průběžně aktualizována metodická doporučení a stanoviska z oblasti uplatňování samostatné působnosti zastupiteli územních samosprávných celků</w:t>
      </w:r>
      <w:r w:rsidR="00A12641">
        <w:t>.</w:t>
      </w:r>
      <w:r w:rsidR="00DE24A9">
        <w:rPr>
          <w:rStyle w:val="FootnoteReference"/>
        </w:rPr>
        <w:footnoteReference w:id="3"/>
      </w:r>
      <w:r w:rsidRPr="00DC3E40">
        <w:t xml:space="preserve"> </w:t>
      </w:r>
      <w:r w:rsidR="00462EA4">
        <w:t xml:space="preserve">Důležitým materiálem </w:t>
      </w:r>
      <w:r w:rsidRPr="00462EA4">
        <w:t xml:space="preserve">je </w:t>
      </w:r>
      <w:r w:rsidR="00462EA4">
        <w:t>především</w:t>
      </w:r>
      <w:r w:rsidRPr="00462EA4">
        <w:t xml:space="preserve"> Metodické doporučení k činnosti územních samosprávných celků </w:t>
      </w:r>
      <w:r w:rsidR="00E8067F">
        <w:t>–</w:t>
      </w:r>
      <w:r w:rsidRPr="00462EA4">
        <w:t xml:space="preserve"> </w:t>
      </w:r>
      <w:r w:rsidRPr="00A12641">
        <w:rPr>
          <w:i/>
        </w:rPr>
        <w:t>Po</w:t>
      </w:r>
      <w:r w:rsidRPr="00A12641">
        <w:rPr>
          <w:bCs/>
          <w:i/>
          <w:color w:val="000000"/>
        </w:rPr>
        <w:t>vinnosti obcí při nakládání s obecním majetkem podle zákona o obcích</w:t>
      </w:r>
      <w:r w:rsidRPr="00462EA4">
        <w:rPr>
          <w:bCs/>
          <w:color w:val="000000"/>
        </w:rPr>
        <w:t>. Toto</w:t>
      </w:r>
      <w:r w:rsidR="00462EA4">
        <w:rPr>
          <w:bCs/>
          <w:color w:val="000000"/>
        </w:rPr>
        <w:t xml:space="preserve"> </w:t>
      </w:r>
      <w:r w:rsidRPr="00462EA4">
        <w:rPr>
          <w:bCs/>
          <w:color w:val="000000"/>
        </w:rPr>
        <w:t xml:space="preserve">doporučení </w:t>
      </w:r>
      <w:r w:rsidR="00462EA4">
        <w:rPr>
          <w:bCs/>
          <w:color w:val="000000"/>
        </w:rPr>
        <w:t xml:space="preserve">detailně a návodně cílí zejména na </w:t>
      </w:r>
      <w:r w:rsidRPr="00DC3E40">
        <w:rPr>
          <w:bCs/>
          <w:color w:val="000000"/>
        </w:rPr>
        <w:t xml:space="preserve">postupy při uzavírání smluv obcemi, </w:t>
      </w:r>
      <w:r w:rsidR="00462EA4" w:rsidRPr="00DC3E40">
        <w:rPr>
          <w:bCs/>
          <w:color w:val="000000"/>
        </w:rPr>
        <w:t>při prodeji majetku obce včetně důsledků</w:t>
      </w:r>
      <w:r w:rsidR="00462EA4">
        <w:rPr>
          <w:bCs/>
          <w:color w:val="000000"/>
        </w:rPr>
        <w:t xml:space="preserve"> spojených s</w:t>
      </w:r>
      <w:r w:rsidR="00462EA4" w:rsidRPr="00DC3E40">
        <w:rPr>
          <w:bCs/>
          <w:color w:val="000000"/>
        </w:rPr>
        <w:t xml:space="preserve"> </w:t>
      </w:r>
      <w:r w:rsidR="00462EA4">
        <w:rPr>
          <w:bCs/>
          <w:color w:val="000000"/>
        </w:rPr>
        <w:t xml:space="preserve">nedodržením zákonných povinností </w:t>
      </w:r>
      <w:r w:rsidR="00462EA4" w:rsidRPr="00DC3E40">
        <w:rPr>
          <w:bCs/>
          <w:color w:val="000000"/>
        </w:rPr>
        <w:t>pro zastupitele</w:t>
      </w:r>
      <w:r w:rsidR="00462EA4">
        <w:rPr>
          <w:bCs/>
          <w:color w:val="000000"/>
        </w:rPr>
        <w:t xml:space="preserve"> a</w:t>
      </w:r>
      <w:r w:rsidR="00462EA4" w:rsidRPr="00DC3E40">
        <w:rPr>
          <w:bCs/>
          <w:color w:val="000000"/>
        </w:rPr>
        <w:t xml:space="preserve"> </w:t>
      </w:r>
      <w:r w:rsidR="00E8067F">
        <w:rPr>
          <w:bCs/>
          <w:color w:val="000000"/>
        </w:rPr>
        <w:t>souvisejících</w:t>
      </w:r>
      <w:r w:rsidR="00462EA4">
        <w:rPr>
          <w:bCs/>
          <w:color w:val="000000"/>
        </w:rPr>
        <w:t xml:space="preserve"> </w:t>
      </w:r>
      <w:r w:rsidRPr="00DC3E40">
        <w:rPr>
          <w:bCs/>
          <w:color w:val="000000"/>
        </w:rPr>
        <w:t>povinnost</w:t>
      </w:r>
      <w:r w:rsidR="00462EA4">
        <w:rPr>
          <w:bCs/>
          <w:color w:val="000000"/>
        </w:rPr>
        <w:t>í</w:t>
      </w:r>
      <w:r w:rsidRPr="00DC3E40">
        <w:rPr>
          <w:bCs/>
          <w:color w:val="000000"/>
        </w:rPr>
        <w:t xml:space="preserve"> zastupitelů nakládat s majetkem obce s péčí řádného hospodáře</w:t>
      </w:r>
      <w:r w:rsidR="00462EA4">
        <w:rPr>
          <w:bCs/>
          <w:color w:val="000000"/>
        </w:rPr>
        <w:t>.</w:t>
      </w:r>
    </w:p>
    <w:p w:rsidR="002510D9" w:rsidRPr="00DC3E40" w:rsidRDefault="002510D9" w:rsidP="00DC3E40">
      <w:pPr>
        <w:contextualSpacing/>
        <w:jc w:val="both"/>
        <w:rPr>
          <w:bCs/>
          <w:color w:val="000000"/>
        </w:rPr>
      </w:pPr>
    </w:p>
    <w:p w:rsidR="002510D9" w:rsidRPr="00DC3E40" w:rsidRDefault="002510D9" w:rsidP="00DC3E4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DC3E40">
        <w:rPr>
          <w:rFonts w:ascii="Times New Roman" w:hAnsi="Times New Roman" w:cs="Times New Roman"/>
          <w:bCs/>
        </w:rPr>
        <w:t xml:space="preserve">Aktivitou směřující do oblasti podpory zvyšování finanční gramotnosti zastupitelů činěnou v rámci MV je aktivita realizovaná v rámci plnění úkolů </w:t>
      </w:r>
      <w:r w:rsidRPr="00DC3E40">
        <w:rPr>
          <w:rFonts w:ascii="Times New Roman" w:hAnsi="Times New Roman" w:cs="Times New Roman"/>
        </w:rPr>
        <w:t>Strategického rámce rozvoje veřejné správy České republiky pro období 2014–2020 a plnění Implementačního plánu pro strategický cíl 2 – Revize a optimalizace výkonu veřejné správy v území. Konkrétně se jedná o plnění úkolů specifického cíle 2.5, tj</w:t>
      </w:r>
      <w:r w:rsidRPr="00462EA4">
        <w:rPr>
          <w:rFonts w:ascii="Times New Roman" w:hAnsi="Times New Roman" w:cs="Times New Roman"/>
        </w:rPr>
        <w:t xml:space="preserve">. snížení a předcházení rizika platební neschopnosti územních samosprávných celků prostřednictvím </w:t>
      </w:r>
      <w:r w:rsidRPr="00462EA4">
        <w:rPr>
          <w:rFonts w:ascii="Times New Roman" w:hAnsi="Times New Roman" w:cs="Times New Roman"/>
          <w:bCs/>
        </w:rPr>
        <w:t>zvýšení odbornosti a specializace členů územní samosprávy v oblasti finančního řízení</w:t>
      </w:r>
      <w:r w:rsidRPr="00DC3E40">
        <w:rPr>
          <w:rFonts w:ascii="Times New Roman" w:hAnsi="Times New Roman" w:cs="Times New Roman"/>
        </w:rPr>
        <w:t xml:space="preserve">. Zastupitelé by měli získat znalosti z oblasti účetnictví, </w:t>
      </w:r>
      <w:r w:rsidR="00155F0F">
        <w:rPr>
          <w:rFonts w:ascii="Times New Roman" w:hAnsi="Times New Roman" w:cs="Times New Roman"/>
        </w:rPr>
        <w:t>sestavování rozpočtu</w:t>
      </w:r>
      <w:r w:rsidRPr="00DC3E40">
        <w:rPr>
          <w:rFonts w:ascii="Times New Roman" w:hAnsi="Times New Roman" w:cs="Times New Roman"/>
        </w:rPr>
        <w:t>, kontroly, zadávání veřejných zakázek tak, aby byli schopni samostatně analyzovat finanční rizika zamýšlených investičních i neinvestičních projektů a plánovat dlouhodobý rozvoj území a majetku</w:t>
      </w:r>
      <w:r w:rsidR="00A069CD">
        <w:rPr>
          <w:rFonts w:ascii="Times New Roman" w:hAnsi="Times New Roman" w:cs="Times New Roman"/>
        </w:rPr>
        <w:t xml:space="preserve"> </w:t>
      </w:r>
      <w:r w:rsidR="006D6D6B">
        <w:rPr>
          <w:rFonts w:ascii="Times New Roman" w:hAnsi="Times New Roman" w:cs="Times New Roman"/>
        </w:rPr>
        <w:t>územního samosprávného celku</w:t>
      </w:r>
      <w:r w:rsidRPr="00DC3E40">
        <w:rPr>
          <w:rFonts w:ascii="Times New Roman" w:hAnsi="Times New Roman" w:cs="Times New Roman"/>
        </w:rPr>
        <w:t xml:space="preserve">. </w:t>
      </w:r>
    </w:p>
    <w:p w:rsidR="002510D9" w:rsidRPr="00DC3E40" w:rsidRDefault="002510D9" w:rsidP="00DC3E4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2510D9" w:rsidRPr="00DC3E40" w:rsidRDefault="002510D9" w:rsidP="00DC3E4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DC3E40">
        <w:rPr>
          <w:rFonts w:ascii="Times New Roman" w:hAnsi="Times New Roman" w:cs="Times New Roman"/>
        </w:rPr>
        <w:t xml:space="preserve">Pro adekvátní nastavení systémových opatření byla získána data o výchozím (aktuálním) stavu v oblasti finančního řízení samospráv. Pro tento účel byl připraven dotazník s cílem zmapovat současný (především ekonomický) stav komunální úrovně v ČR a formulovat podněty vycházející od představitelů obcí (starostů, místostarostů, radních i zastupitelů), které budou reflektovat jejich rozmanité potřeby ve sledované problematice. </w:t>
      </w:r>
    </w:p>
    <w:p w:rsidR="002510D9" w:rsidRPr="00DC3E40" w:rsidRDefault="002510D9" w:rsidP="00DC3E4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2510D9" w:rsidRPr="00DC3E40" w:rsidRDefault="002510D9" w:rsidP="00DC3E40">
      <w:pPr>
        <w:contextualSpacing/>
        <w:jc w:val="both"/>
        <w:rPr>
          <w:bCs/>
        </w:rPr>
      </w:pPr>
      <w:r w:rsidRPr="00DC3E40">
        <w:t>Je navrhováno reflektovat požadavky vzešlé ze souhrnu poznatků v oblasti finančního řízení obecních samospráv (ze zmiňovaného dotazníkového šetření) a transformovat je do podoby vzdělávacího programu pro nadcházející období. Základním cílem je přizpůsobit návrh vzdělávacích kurzů podle požadavků respondentů</w:t>
      </w:r>
      <w:r w:rsidR="00C516C7">
        <w:t>,</w:t>
      </w:r>
      <w:r w:rsidRPr="00DC3E40">
        <w:t xml:space="preserve"> a to z hlediska tematických okruhů poradenství, formy a rozsahu výuky nebo harmonogramu jednotlivých aktivit. Zároveň je nezbytné formulovat základní metodické doporučení, ale i další typy poradenství, které vyšly z dotazníkového šetření jako žádoucí.</w:t>
      </w:r>
      <w:r w:rsidR="00084B3A">
        <w:rPr>
          <w:rStyle w:val="FootnoteReference"/>
        </w:rPr>
        <w:footnoteReference w:id="4"/>
      </w:r>
    </w:p>
    <w:p w:rsidR="002510D9" w:rsidRPr="00DC3E40" w:rsidRDefault="002510D9" w:rsidP="00DC3E40">
      <w:pPr>
        <w:contextualSpacing/>
        <w:jc w:val="both"/>
        <w:rPr>
          <w:bCs/>
        </w:rPr>
      </w:pPr>
    </w:p>
    <w:p w:rsidR="002510D9" w:rsidRPr="00277ED9" w:rsidRDefault="002510D9" w:rsidP="00DC3E40">
      <w:pPr>
        <w:contextualSpacing/>
        <w:jc w:val="both"/>
        <w:rPr>
          <w:bCs/>
        </w:rPr>
      </w:pPr>
      <w:r w:rsidRPr="00DC3E40">
        <w:rPr>
          <w:bCs/>
        </w:rPr>
        <w:t>Problematice vzdělávání zastupitelů územních samosprávných celků jsou věnovány taktéž aktivity Svazu měst a obcí</w:t>
      </w:r>
      <w:r w:rsidR="00277ED9">
        <w:rPr>
          <w:bCs/>
        </w:rPr>
        <w:t xml:space="preserve"> a Sdružení místních samospráv. </w:t>
      </w:r>
      <w:r w:rsidRPr="00DC3E40">
        <w:rPr>
          <w:bCs/>
        </w:rPr>
        <w:t xml:space="preserve">V případě Svazu měst a obcí se </w:t>
      </w:r>
      <w:r w:rsidRPr="00DC3E40">
        <w:rPr>
          <w:bCs/>
        </w:rPr>
        <w:lastRenderedPageBreak/>
        <w:t xml:space="preserve">jedná o projekt </w:t>
      </w:r>
      <w:r w:rsidRPr="00277ED9">
        <w:rPr>
          <w:bCs/>
          <w:i/>
        </w:rPr>
        <w:t>Vzdělaný zastupitel</w:t>
      </w:r>
      <w:r w:rsidRPr="00DC3E40">
        <w:rPr>
          <w:bCs/>
        </w:rPr>
        <w:t xml:space="preserve"> s </w:t>
      </w:r>
      <w:r w:rsidRPr="00DC3E40">
        <w:t>cílem podpořit zastupitele při výkonu jejich funkce.</w:t>
      </w:r>
      <w:r w:rsidRPr="00DC3E40">
        <w:rPr>
          <w:rStyle w:val="Strong"/>
        </w:rPr>
        <w:t>  </w:t>
      </w:r>
      <w:r w:rsidRPr="00DC3E40">
        <w:t>Voleným představitelům měst a obcí  tento projekt</w:t>
      </w:r>
      <w:r w:rsidR="00277ED9">
        <w:t xml:space="preserve"> nabízí</w:t>
      </w:r>
      <w:r w:rsidRPr="00DC3E40">
        <w:t xml:space="preserve"> různé formy </w:t>
      </w:r>
      <w:r w:rsidRPr="00277ED9">
        <w:rPr>
          <w:rStyle w:val="Strong"/>
          <w:b w:val="0"/>
        </w:rPr>
        <w:t>vzdělávání a informačně-poradenskou podporu</w:t>
      </w:r>
      <w:r w:rsidRPr="00277ED9">
        <w:t>.  Poskytované s</w:t>
      </w:r>
      <w:r w:rsidRPr="00DC3E40">
        <w:t>lužby byly realizovány v oblastech:</w:t>
      </w:r>
    </w:p>
    <w:p w:rsidR="002510D9" w:rsidRPr="00DC3E40" w:rsidRDefault="002510D9" w:rsidP="00DC3E40">
      <w:pPr>
        <w:numPr>
          <w:ilvl w:val="0"/>
          <w:numId w:val="1"/>
        </w:numPr>
        <w:contextualSpacing/>
      </w:pPr>
      <w:r w:rsidRPr="00DC3E40">
        <w:t>vzdělávací semináře v obcích a e-learningový kurz</w:t>
      </w:r>
      <w:r w:rsidR="002F38CB">
        <w:t>,</w:t>
      </w:r>
    </w:p>
    <w:p w:rsidR="002510D9" w:rsidRPr="00DC3E40" w:rsidRDefault="002510D9" w:rsidP="00DC3E40">
      <w:pPr>
        <w:numPr>
          <w:ilvl w:val="0"/>
          <w:numId w:val="1"/>
        </w:numPr>
        <w:contextualSpacing/>
      </w:pPr>
      <w:r w:rsidRPr="00DC3E40">
        <w:t>bezplatná právní poradn</w:t>
      </w:r>
      <w:r w:rsidR="00C516C7">
        <w:t>a</w:t>
      </w:r>
      <w:r w:rsidRPr="00DC3E40">
        <w:t xml:space="preserve"> pro zastupitele</w:t>
      </w:r>
      <w:r w:rsidR="002F38CB">
        <w:t>,</w:t>
      </w:r>
    </w:p>
    <w:p w:rsidR="002510D9" w:rsidRPr="00DC3E40" w:rsidRDefault="00D23674" w:rsidP="00DC3E40">
      <w:pPr>
        <w:numPr>
          <w:ilvl w:val="0"/>
          <w:numId w:val="1"/>
        </w:numPr>
        <w:contextualSpacing/>
      </w:pPr>
      <w:hyperlink r:id="rId11" w:history="1">
        <w:r w:rsidR="002510D9" w:rsidRPr="00DC3E40">
          <w:rPr>
            <w:rStyle w:val="Hyperlink"/>
          </w:rPr>
          <w:t>www.vzdelanyzastupitel.cz</w:t>
        </w:r>
      </w:hyperlink>
      <w:r w:rsidR="00277ED9">
        <w:t xml:space="preserve"> – platforma</w:t>
      </w:r>
      <w:r w:rsidR="002510D9" w:rsidRPr="00DC3E40">
        <w:t xml:space="preserve"> pro sdílení zkušeností a příkladů dobré praxe</w:t>
      </w:r>
      <w:r w:rsidR="002F38CB">
        <w:t>,</w:t>
      </w:r>
    </w:p>
    <w:p w:rsidR="002510D9" w:rsidRPr="00DC3E40" w:rsidRDefault="002510D9" w:rsidP="00E83FEB">
      <w:pPr>
        <w:numPr>
          <w:ilvl w:val="0"/>
          <w:numId w:val="1"/>
        </w:numPr>
        <w:spacing w:after="240"/>
        <w:contextualSpacing/>
      </w:pPr>
      <w:r w:rsidRPr="00DC3E40">
        <w:t xml:space="preserve">zpracování </w:t>
      </w:r>
      <w:hyperlink r:id="rId12" w:history="1">
        <w:r w:rsidR="00C516C7" w:rsidRPr="00C516C7">
          <w:rPr>
            <w:rStyle w:val="Hyperlink"/>
          </w:rPr>
          <w:t>příručky</w:t>
        </w:r>
      </w:hyperlink>
      <w:r w:rsidR="00C516C7" w:rsidRPr="00C516C7">
        <w:t xml:space="preserve"> pro člena zastupitelstva obce a její elektronická aktualizace</w:t>
      </w:r>
      <w:r w:rsidRPr="00DC3E40">
        <w:t>.</w:t>
      </w:r>
      <w:r w:rsidR="00277ED9">
        <w:rPr>
          <w:rStyle w:val="FootnoteReference"/>
        </w:rPr>
        <w:footnoteReference w:id="5"/>
      </w:r>
    </w:p>
    <w:p w:rsidR="002510D9" w:rsidRPr="00DC3E40" w:rsidRDefault="007A219F" w:rsidP="00AA510B">
      <w:pPr>
        <w:pStyle w:val="NormalWeb"/>
        <w:spacing w:before="0" w:beforeAutospacing="0" w:after="240" w:afterAutospacing="0"/>
        <w:contextualSpacing/>
        <w:jc w:val="both"/>
      </w:pPr>
      <w:r>
        <w:t>V</w:t>
      </w:r>
      <w:r w:rsidR="002510D9" w:rsidRPr="00DC3E40">
        <w:t>zdělávání zaměstnanců územních samosprávných celků</w:t>
      </w:r>
      <w:r>
        <w:t xml:space="preserve"> je dále upraveno zákonem</w:t>
      </w:r>
      <w:r w:rsidR="002510D9" w:rsidRPr="00DC3E40">
        <w:t xml:space="preserve"> č.</w:t>
      </w:r>
      <w:r>
        <w:t> </w:t>
      </w:r>
      <w:r w:rsidR="002510D9" w:rsidRPr="00DC3E40">
        <w:t>312/2002 Sb., o úřednících územních samosprávných celků a o změně některých zákonů, ve znění pozdějších předpisů.</w:t>
      </w:r>
      <w:r w:rsidR="002510D9" w:rsidRPr="00DC3E40">
        <w:rPr>
          <w:b/>
        </w:rPr>
        <w:t xml:space="preserve"> </w:t>
      </w:r>
      <w:r w:rsidR="002510D9" w:rsidRPr="007A219F">
        <w:t>V rámci vzdělávacího střediska (Institutu v Benešově u Prahy, který je orgánem</w:t>
      </w:r>
      <w:r w:rsidR="002510D9" w:rsidRPr="007A219F">
        <w:rPr>
          <w:rStyle w:val="Strong"/>
        </w:rPr>
        <w:t xml:space="preserve"> </w:t>
      </w:r>
      <w:r w:rsidR="002510D9" w:rsidRPr="007A219F">
        <w:rPr>
          <w:rStyle w:val="Strong"/>
          <w:b w:val="0"/>
        </w:rPr>
        <w:t>veřejné správy</w:t>
      </w:r>
      <w:r w:rsidR="002510D9" w:rsidRPr="007A219F">
        <w:t xml:space="preserve"> zabezpečujícím činnosti ve výkonu veřejné správy zejména při zajištění </w:t>
      </w:r>
      <w:r w:rsidR="002510D9" w:rsidRPr="007A219F">
        <w:rPr>
          <w:rStyle w:val="Strong"/>
          <w:b w:val="0"/>
        </w:rPr>
        <w:t>vybraných působností výkonu státní správy na úseku vzdělávání úředníků územních samosprávných celků</w:t>
      </w:r>
      <w:r w:rsidR="002510D9" w:rsidRPr="007A219F">
        <w:t xml:space="preserve"> podle </w:t>
      </w:r>
      <w:r>
        <w:t>zmíněného</w:t>
      </w:r>
      <w:r w:rsidR="002510D9" w:rsidRPr="007A219F">
        <w:t xml:space="preserve"> zákona) jsou realizovány vzdělávací aktivity směřující ke složení zkoušek odborné způsobilosti úředníků územních samospráv.</w:t>
      </w:r>
      <w:r w:rsidR="002510D9" w:rsidRPr="00DC3E40">
        <w:t xml:space="preserve"> Tyto činnosti byly Institutu svěřeny na základě rozhodnutí  ministra vnitra č. j. KM – PRUB - 3427/2002 ze dne 31. 10. 2002, aktualizované</w:t>
      </w:r>
      <w:r w:rsidR="002F38CB">
        <w:t>ho</w:t>
      </w:r>
      <w:r w:rsidR="002510D9" w:rsidRPr="00DC3E40">
        <w:t xml:space="preserve"> rozhodnutím MV o zabezpečení úkolů vyplývajících ze zákona č. 312/2002 Sb., o úřednících územních samostatných celků, ve znění pozdějších předpisů</w:t>
      </w:r>
      <w:r w:rsidR="002F38CB">
        <w:t>,</w:t>
      </w:r>
      <w:r w:rsidR="002510D9" w:rsidRPr="00DC3E40">
        <w:t xml:space="preserve"> a usnesení vlády ČR ze dne 30.</w:t>
      </w:r>
      <w:r>
        <w:t xml:space="preserve"> listopadu 2005 č. 1542</w:t>
      </w:r>
      <w:r w:rsidR="002510D9" w:rsidRPr="00DC3E40">
        <w:t xml:space="preserve">, podepsaném ministrem vnitra dne 31. července 2014  (č. j. MV-91315-1/ODK-2014).  Je tedy zřejmé, že i tímto způsobem přispívá MV ke zvyšování odborné erudice v tomto případě přenesené působnosti výkonu státní správy v obcích. </w:t>
      </w:r>
    </w:p>
    <w:p w:rsidR="002510D9" w:rsidRPr="00DC3E40" w:rsidRDefault="007A219F" w:rsidP="00DC3E40">
      <w:pPr>
        <w:pStyle w:val="Heading2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004B96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Č</w:t>
      </w:r>
      <w:r w:rsidR="002510D9" w:rsidRPr="00DC3E40">
        <w:rPr>
          <w:b w:val="0"/>
          <w:sz w:val="24"/>
          <w:szCs w:val="24"/>
          <w:u w:val="single"/>
        </w:rPr>
        <w:t>innost</w:t>
      </w:r>
      <w:r>
        <w:rPr>
          <w:b w:val="0"/>
          <w:sz w:val="24"/>
          <w:szCs w:val="24"/>
          <w:u w:val="single"/>
        </w:rPr>
        <w:t>mi</w:t>
      </w:r>
      <w:r w:rsidR="002510D9" w:rsidRPr="00DC3E40">
        <w:rPr>
          <w:b w:val="0"/>
          <w:sz w:val="24"/>
          <w:szCs w:val="24"/>
          <w:u w:val="single"/>
        </w:rPr>
        <w:t xml:space="preserve"> Institutu jako </w:t>
      </w:r>
      <w:r w:rsidR="002510D9" w:rsidRPr="00DC3E40">
        <w:rPr>
          <w:rStyle w:val="Strong"/>
          <w:sz w:val="24"/>
          <w:szCs w:val="24"/>
          <w:u w:val="single"/>
        </w:rPr>
        <w:t>vzdělávací instituce</w:t>
      </w:r>
      <w:r>
        <w:rPr>
          <w:rStyle w:val="Strong"/>
          <w:sz w:val="24"/>
          <w:szCs w:val="24"/>
          <w:u w:val="single"/>
        </w:rPr>
        <w:t xml:space="preserve"> jsou</w:t>
      </w:r>
      <w:r w:rsidR="002510D9" w:rsidRPr="00DC3E40">
        <w:rPr>
          <w:b w:val="0"/>
          <w:sz w:val="24"/>
          <w:szCs w:val="24"/>
          <w:u w:val="single"/>
        </w:rPr>
        <w:t>:</w:t>
      </w:r>
    </w:p>
    <w:p w:rsidR="002510D9" w:rsidRPr="00DC3E40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DC3E40">
        <w:rPr>
          <w:color w:val="000000"/>
        </w:rPr>
        <w:t>příprava </w:t>
      </w:r>
      <w:r w:rsidRPr="007A219F">
        <w:rPr>
          <w:rStyle w:val="Strong"/>
          <w:b w:val="0"/>
          <w:color w:val="000000"/>
        </w:rPr>
        <w:t>vzdělávacích programů </w:t>
      </w:r>
      <w:r w:rsidR="002F38CB" w:rsidRPr="00DC3E40">
        <w:rPr>
          <w:color w:val="000000"/>
        </w:rPr>
        <w:t>akreditovaných Ministerstvem vnitra</w:t>
      </w:r>
      <w:r w:rsidR="002F38CB" w:rsidRPr="007A219F">
        <w:rPr>
          <w:rStyle w:val="Strong"/>
          <w:b w:val="0"/>
          <w:color w:val="000000"/>
        </w:rPr>
        <w:t xml:space="preserve"> </w:t>
      </w:r>
      <w:r w:rsidRPr="007A219F">
        <w:rPr>
          <w:rStyle w:val="Strong"/>
          <w:b w:val="0"/>
          <w:color w:val="000000"/>
        </w:rPr>
        <w:t>pro úředníky územních samosprávných celků</w:t>
      </w:r>
      <w:r w:rsidR="00AA510B">
        <w:rPr>
          <w:color w:val="000000"/>
        </w:rPr>
        <w:t>,</w:t>
      </w:r>
    </w:p>
    <w:p w:rsidR="002510D9" w:rsidRPr="007A219F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DC3E40">
        <w:rPr>
          <w:color w:val="000000"/>
        </w:rPr>
        <w:t>realizace </w:t>
      </w:r>
      <w:r w:rsidRPr="007A219F">
        <w:rPr>
          <w:rStyle w:val="Strong"/>
          <w:b w:val="0"/>
          <w:color w:val="000000"/>
        </w:rPr>
        <w:t>prohlubování kvalifikace úředníků</w:t>
      </w:r>
      <w:r w:rsidRPr="007A219F">
        <w:rPr>
          <w:b/>
          <w:color w:val="000000"/>
        </w:rPr>
        <w:t xml:space="preserve"> </w:t>
      </w:r>
      <w:r w:rsidRPr="007A219F">
        <w:rPr>
          <w:color w:val="000000"/>
        </w:rPr>
        <w:t>za podmínek a v rozsahu stanoveném zvláštním zákonem</w:t>
      </w:r>
      <w:r w:rsidR="00AA510B" w:rsidRPr="007A219F">
        <w:rPr>
          <w:color w:val="000000"/>
        </w:rPr>
        <w:t>,</w:t>
      </w:r>
    </w:p>
    <w:p w:rsidR="002510D9" w:rsidRPr="00DC3E40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DC3E40">
        <w:rPr>
          <w:color w:val="000000"/>
        </w:rPr>
        <w:t xml:space="preserve">příprava </w:t>
      </w:r>
      <w:r w:rsidRPr="007A219F">
        <w:rPr>
          <w:rStyle w:val="Strong"/>
          <w:b w:val="0"/>
          <w:color w:val="000000"/>
        </w:rPr>
        <w:t>katalogů kurzů průběžného vzdělávání</w:t>
      </w:r>
      <w:r w:rsidRPr="00A12641">
        <w:rPr>
          <w:color w:val="000000"/>
        </w:rPr>
        <w:t>,</w:t>
      </w:r>
      <w:r w:rsidRPr="007A219F">
        <w:rPr>
          <w:b/>
          <w:color w:val="000000"/>
        </w:rPr>
        <w:t xml:space="preserve"> </w:t>
      </w:r>
      <w:r w:rsidRPr="007A219F">
        <w:rPr>
          <w:rStyle w:val="Strong"/>
          <w:b w:val="0"/>
          <w:color w:val="000000"/>
        </w:rPr>
        <w:t>kurzů vzdělávání vedoucích úředníků</w:t>
      </w:r>
      <w:r w:rsidRPr="007A219F">
        <w:rPr>
          <w:b/>
          <w:color w:val="000000"/>
        </w:rPr>
        <w:t xml:space="preserve"> </w:t>
      </w:r>
      <w:r w:rsidRPr="007A219F">
        <w:rPr>
          <w:rStyle w:val="Strong"/>
          <w:b w:val="0"/>
          <w:color w:val="000000"/>
        </w:rPr>
        <w:t>a vedoucích úřadů</w:t>
      </w:r>
      <w:r w:rsidRPr="00DC3E40">
        <w:rPr>
          <w:color w:val="000000"/>
        </w:rPr>
        <w:t xml:space="preserve"> a </w:t>
      </w:r>
      <w:r w:rsidRPr="007A219F">
        <w:rPr>
          <w:rStyle w:val="Strong"/>
          <w:b w:val="0"/>
          <w:color w:val="000000"/>
        </w:rPr>
        <w:t>kurzů pro celou veřejnou správu</w:t>
      </w:r>
      <w:r w:rsidR="00AA510B">
        <w:rPr>
          <w:rStyle w:val="Strong"/>
          <w:b w:val="0"/>
          <w:color w:val="000000"/>
        </w:rPr>
        <w:t>,</w:t>
      </w:r>
    </w:p>
    <w:p w:rsidR="002510D9" w:rsidRPr="00DC3E40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DC3E40">
        <w:rPr>
          <w:color w:val="000000"/>
        </w:rPr>
        <w:t>vydávání </w:t>
      </w:r>
      <w:r w:rsidRPr="007A219F">
        <w:rPr>
          <w:rStyle w:val="Strong"/>
          <w:b w:val="0"/>
          <w:color w:val="000000"/>
        </w:rPr>
        <w:t>odborné literatury</w:t>
      </w:r>
      <w:r w:rsidR="00AA510B" w:rsidRPr="00AA510B">
        <w:rPr>
          <w:rStyle w:val="Strong"/>
          <w:b w:val="0"/>
          <w:color w:val="000000"/>
        </w:rPr>
        <w:t>,</w:t>
      </w:r>
    </w:p>
    <w:p w:rsidR="002510D9" w:rsidRPr="00DC3E40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DC3E40">
        <w:rPr>
          <w:color w:val="000000"/>
        </w:rPr>
        <w:t>vytváření </w:t>
      </w:r>
      <w:r w:rsidRPr="007A219F">
        <w:rPr>
          <w:rStyle w:val="Strong"/>
          <w:b w:val="0"/>
          <w:color w:val="000000"/>
        </w:rPr>
        <w:t>lektorského sboru</w:t>
      </w:r>
      <w:r w:rsidRPr="00DC3E40">
        <w:rPr>
          <w:color w:val="000000"/>
        </w:rPr>
        <w:t xml:space="preserve"> a zajišťování jeho trvalého vzdělávání</w:t>
      </w:r>
      <w:r w:rsidR="00AA510B">
        <w:rPr>
          <w:color w:val="000000"/>
        </w:rPr>
        <w:t>,</w:t>
      </w:r>
    </w:p>
    <w:p w:rsidR="002510D9" w:rsidRPr="00DC3E40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DC3E40">
        <w:rPr>
          <w:color w:val="000000"/>
        </w:rPr>
        <w:t>zabezpečení </w:t>
      </w:r>
      <w:r w:rsidRPr="007A219F">
        <w:rPr>
          <w:rStyle w:val="Strong"/>
          <w:b w:val="0"/>
          <w:color w:val="000000"/>
        </w:rPr>
        <w:t>docházkové a distanční formy vzdělávání</w:t>
      </w:r>
      <w:r w:rsidR="00AA510B">
        <w:rPr>
          <w:rStyle w:val="Strong"/>
          <w:b w:val="0"/>
          <w:color w:val="000000"/>
        </w:rPr>
        <w:t>,</w:t>
      </w:r>
    </w:p>
    <w:p w:rsidR="002510D9" w:rsidRPr="00DC3E40" w:rsidRDefault="002510D9" w:rsidP="00DC3E40">
      <w:pPr>
        <w:numPr>
          <w:ilvl w:val="0"/>
          <w:numId w:val="2"/>
        </w:numPr>
        <w:shd w:val="clear" w:color="auto" w:fill="FFFFFF"/>
        <w:contextualSpacing/>
        <w:jc w:val="both"/>
        <w:rPr>
          <w:color w:val="000000"/>
        </w:rPr>
      </w:pPr>
      <w:r w:rsidRPr="007A219F">
        <w:rPr>
          <w:rStyle w:val="Strong"/>
          <w:b w:val="0"/>
          <w:color w:val="000000"/>
        </w:rPr>
        <w:t>školení zaměstnanců vykonávající</w:t>
      </w:r>
      <w:r w:rsidR="002F38CB">
        <w:rPr>
          <w:rStyle w:val="Strong"/>
          <w:b w:val="0"/>
          <w:color w:val="000000"/>
        </w:rPr>
        <w:t>ch</w:t>
      </w:r>
      <w:r w:rsidRPr="007A219F">
        <w:rPr>
          <w:rStyle w:val="Strong"/>
          <w:b w:val="0"/>
          <w:color w:val="000000"/>
        </w:rPr>
        <w:t xml:space="preserve"> státní správu</w:t>
      </w:r>
      <w:r w:rsidRPr="00DC3E40">
        <w:rPr>
          <w:color w:val="000000"/>
        </w:rPr>
        <w:t xml:space="preserve"> ve správních úřadech</w:t>
      </w:r>
      <w:r w:rsidR="00AA510B">
        <w:rPr>
          <w:color w:val="000000"/>
        </w:rPr>
        <w:t>.</w:t>
      </w:r>
    </w:p>
    <w:p w:rsidR="002510D9" w:rsidRPr="00DC3E40" w:rsidRDefault="002510D9" w:rsidP="00DC3E40">
      <w:pPr>
        <w:contextualSpacing/>
        <w:jc w:val="both"/>
      </w:pPr>
    </w:p>
    <w:p w:rsidR="00AA510B" w:rsidRPr="00F851EB" w:rsidRDefault="00FA6D75" w:rsidP="00AA510B">
      <w:pPr>
        <w:pStyle w:val="Textdopisu"/>
        <w:spacing w:after="240"/>
        <w:ind w:firstLine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AA510B" w:rsidRPr="00F851EB">
        <w:rPr>
          <w:b/>
          <w:bCs/>
          <w:sz w:val="28"/>
          <w:szCs w:val="28"/>
          <w:u w:val="single"/>
        </w:rPr>
        <w:t xml:space="preserve">. K funkčnosti </w:t>
      </w:r>
      <w:r w:rsidR="00F851EB">
        <w:rPr>
          <w:b/>
          <w:bCs/>
          <w:sz w:val="28"/>
          <w:szCs w:val="28"/>
          <w:u w:val="single"/>
        </w:rPr>
        <w:t>mechanismu</w:t>
      </w:r>
      <w:r w:rsidR="00AA510B" w:rsidRPr="00F851EB">
        <w:rPr>
          <w:b/>
          <w:bCs/>
          <w:sz w:val="28"/>
          <w:szCs w:val="28"/>
          <w:u w:val="single"/>
        </w:rPr>
        <w:t xml:space="preserve"> oddlužení obcí</w:t>
      </w:r>
    </w:p>
    <w:p w:rsidR="00506EFE" w:rsidRPr="00623B9E" w:rsidRDefault="00506EFE" w:rsidP="00506EFE">
      <w:pPr>
        <w:pStyle w:val="Textdopisu"/>
        <w:spacing w:after="240"/>
        <w:ind w:firstLine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2</w:t>
      </w:r>
      <w:r w:rsidRPr="00623B9E">
        <w:rPr>
          <w:b/>
          <w:bCs/>
          <w:szCs w:val="24"/>
          <w:u w:val="single"/>
        </w:rPr>
        <w:t xml:space="preserve">.1. </w:t>
      </w:r>
      <w:r w:rsidR="00FA6D75">
        <w:rPr>
          <w:b/>
          <w:bCs/>
          <w:szCs w:val="24"/>
          <w:u w:val="single"/>
        </w:rPr>
        <w:t>Nástroje insolvenčního práva</w:t>
      </w:r>
    </w:p>
    <w:p w:rsidR="00B64571" w:rsidRDefault="00B64571" w:rsidP="00B64571">
      <w:pPr>
        <w:spacing w:after="120"/>
        <w:jc w:val="both"/>
      </w:pPr>
      <w:r w:rsidRPr="00DE59C1">
        <w:t xml:space="preserve">Insolvenční právo pracuje se třemi způsoby řešení úpadku. V českém prostředí jsou tyto označovány jakožto konkurs, reorganizace a oddlužení. Ani jeden z těchto způsobů však není pro řešení platební neschopnosti obcí zcela přiléhavý. </w:t>
      </w:r>
    </w:p>
    <w:p w:rsidR="00B64571" w:rsidRPr="00DE59C1" w:rsidRDefault="00B64571" w:rsidP="00B64571">
      <w:pPr>
        <w:spacing w:after="120"/>
        <w:jc w:val="both"/>
      </w:pPr>
      <w:r w:rsidRPr="00DE59C1">
        <w:t xml:space="preserve">V případě </w:t>
      </w:r>
      <w:r w:rsidRPr="00DE59C1">
        <w:rPr>
          <w:b/>
        </w:rPr>
        <w:t>konkursu</w:t>
      </w:r>
      <w:r w:rsidRPr="00DE59C1">
        <w:t xml:space="preserve"> dochází ke zpeněžení aktiv dlužníka, poměrnému uspokojení věřitelů z výtěžku tohoto zpeněžení a následnému zániku právnické osoby. </w:t>
      </w:r>
    </w:p>
    <w:p w:rsidR="00B64571" w:rsidRPr="00320849" w:rsidRDefault="00B64571" w:rsidP="00B64571">
      <w:pPr>
        <w:spacing w:after="120"/>
        <w:jc w:val="both"/>
        <w:rPr>
          <w:i/>
        </w:rPr>
      </w:pPr>
      <w:r w:rsidRPr="00DE59C1">
        <w:rPr>
          <w:i/>
        </w:rPr>
        <w:t>Řešení v podobě zániku obcí bylo opakovaně odmítnuto, což zapovídá možnost využití způsobu řešení úpadku obcí konkursem</w:t>
      </w:r>
      <w:r w:rsidR="00320849">
        <w:rPr>
          <w:i/>
        </w:rPr>
        <w:t xml:space="preserve">. Zánik obce </w:t>
      </w:r>
      <w:r w:rsidR="00FA6D75">
        <w:rPr>
          <w:i/>
        </w:rPr>
        <w:t>v návaznosti na prohlášení jejího</w:t>
      </w:r>
      <w:r w:rsidR="00320849">
        <w:rPr>
          <w:i/>
        </w:rPr>
        <w:t xml:space="preserve"> úpadku by</w:t>
      </w:r>
      <w:r w:rsidR="00FA6D75">
        <w:rPr>
          <w:i/>
        </w:rPr>
        <w:t xml:space="preserve">l totiž shledán rozporný </w:t>
      </w:r>
      <w:r w:rsidR="00320849">
        <w:rPr>
          <w:i/>
        </w:rPr>
        <w:t>s ústavně garantovaným právem územních samosprávných celků</w:t>
      </w:r>
      <w:r w:rsidR="00FA6D75">
        <w:rPr>
          <w:i/>
        </w:rPr>
        <w:t xml:space="preserve"> (obcí)</w:t>
      </w:r>
      <w:r w:rsidR="00320849">
        <w:rPr>
          <w:i/>
        </w:rPr>
        <w:t xml:space="preserve"> na samosprávu.</w:t>
      </w:r>
    </w:p>
    <w:p w:rsidR="00B64571" w:rsidRPr="00DE59C1" w:rsidRDefault="00B64571" w:rsidP="00B64571">
      <w:pPr>
        <w:spacing w:after="120"/>
        <w:jc w:val="both"/>
      </w:pPr>
      <w:r w:rsidRPr="00DE59C1">
        <w:lastRenderedPageBreak/>
        <w:t xml:space="preserve">V případě </w:t>
      </w:r>
      <w:r w:rsidRPr="00DE59C1">
        <w:rPr>
          <w:b/>
        </w:rPr>
        <w:t>oddlužení</w:t>
      </w:r>
      <w:r w:rsidRPr="00DE59C1">
        <w:t xml:space="preserve"> je poctivému dlužníku, který nemá dluhy z</w:t>
      </w:r>
      <w:r>
        <w:t> </w:t>
      </w:r>
      <w:r w:rsidRPr="00DE59C1">
        <w:t>podnikání</w:t>
      </w:r>
      <w:r>
        <w:t xml:space="preserve"> (ledaže získá souhlas svých věřitelů)</w:t>
      </w:r>
      <w:r w:rsidRPr="00DE59C1">
        <w:t xml:space="preserve">, nabídnuta druhá šance prostřednictvím prominutí významné části jeho dluhů. Úprava oddlužení je vedena dvěma cíli. Prvním je zvýšení ekonomické aktivity dlužníka, případně i snížení rizika přesunu jeho ekonomických aktivit do tzv. šedé ekonomiky. Druhý cíl odpovídá sociální funkci oddlužení, </w:t>
      </w:r>
      <w:r w:rsidR="00022388">
        <w:t>čímž</w:t>
      </w:r>
      <w:r w:rsidRPr="00DE59C1">
        <w:t xml:space="preserve"> se</w:t>
      </w:r>
      <w:r w:rsidR="00022388">
        <w:t xml:space="preserve"> oddlužení</w:t>
      </w:r>
      <w:r w:rsidRPr="00DE59C1">
        <w:t xml:space="preserve"> stává součástí sociální politiky státu. </w:t>
      </w:r>
    </w:p>
    <w:p w:rsidR="00B64571" w:rsidRPr="00DE59C1" w:rsidRDefault="00B64571" w:rsidP="00B64571">
      <w:pPr>
        <w:spacing w:after="120"/>
        <w:jc w:val="both"/>
        <w:rPr>
          <w:i/>
        </w:rPr>
      </w:pPr>
      <w:r w:rsidRPr="00DE59C1">
        <w:rPr>
          <w:i/>
        </w:rPr>
        <w:t xml:space="preserve">Osvobození obcí od dluhů, resp. části dluhů, která by přesahovala minimální výši stanovenou jakožto podmínku pro </w:t>
      </w:r>
      <w:r>
        <w:rPr>
          <w:i/>
        </w:rPr>
        <w:t>splnění oddlužení</w:t>
      </w:r>
      <w:r w:rsidRPr="00DE59C1">
        <w:rPr>
          <w:i/>
        </w:rPr>
        <w:t>, by v případě obcí neodpovídalo funkcím institutu oddlužení, které toto plní ve vztahu k dlužníkům, kteří nejsou podnikateli. Ve vztahu k obcím není totiž možné hovořit nejen o sociální funkci, nýbrž ani o zamezení riziku vytlačení obce do tzv. šedé ekonomiky.</w:t>
      </w:r>
      <w:r>
        <w:rPr>
          <w:i/>
        </w:rPr>
        <w:t xml:space="preserve"> </w:t>
      </w:r>
      <w:r w:rsidRPr="00DE59C1">
        <w:rPr>
          <w:i/>
        </w:rPr>
        <w:t>V případě korporací,</w:t>
      </w:r>
      <w:r>
        <w:rPr>
          <w:i/>
        </w:rPr>
        <w:t xml:space="preserve"> které nejsou podnikateli a nemají dluhy z podnikání, </w:t>
      </w:r>
      <w:r w:rsidRPr="00DE59C1">
        <w:rPr>
          <w:i/>
        </w:rPr>
        <w:t>jimž je umožněno projít v rámci insolvenčního řízení oddlužením, existuje motivační prvek spočívající v eventualitě schválené oddlužení zrušit a úpadek řešit konkursem. Při vědomí této možnosti jsou korporace motivovány hospodařit odpovědně tak, aby se nevystavily riziku</w:t>
      </w:r>
      <w:r>
        <w:rPr>
          <w:i/>
        </w:rPr>
        <w:t xml:space="preserve"> insolvenčního řízení, v němž by </w:t>
      </w:r>
      <w:r w:rsidRPr="00DE59C1">
        <w:rPr>
          <w:i/>
        </w:rPr>
        <w:t xml:space="preserve">jejich úpadek </w:t>
      </w:r>
      <w:r>
        <w:rPr>
          <w:i/>
        </w:rPr>
        <w:t>byl</w:t>
      </w:r>
      <w:r w:rsidRPr="00DE59C1">
        <w:rPr>
          <w:i/>
        </w:rPr>
        <w:t xml:space="preserve"> řešen konkursem, respektive v takovém řízení svědomitě plnit všechny uložené povinnosti a maximalizovat svoje příjmy</w:t>
      </w:r>
      <w:r w:rsidR="00C47301">
        <w:rPr>
          <w:i/>
        </w:rPr>
        <w:t xml:space="preserve"> a minimalizovat výdaje</w:t>
      </w:r>
      <w:r w:rsidRPr="00DE59C1">
        <w:rPr>
          <w:i/>
        </w:rPr>
        <w:t>, aby nebyl dán důvod ke zrušení schváleného oddlužení. Při nemožnosti řešit úpadek obce konkursem (spojeným s její likvidací) by tento motivační prvek vymizel; obec by byla ohrožena pouze tím, že by jí nebylo přiznáno osvobození od placení zbytku dluhů.</w:t>
      </w:r>
      <w:r>
        <w:rPr>
          <w:i/>
        </w:rPr>
        <w:t xml:space="preserve"> </w:t>
      </w:r>
      <w:r w:rsidRPr="00DE59C1">
        <w:rPr>
          <w:i/>
        </w:rPr>
        <w:t xml:space="preserve">Riziko morálního hazardu </w:t>
      </w:r>
      <w:r w:rsidR="00320849">
        <w:rPr>
          <w:i/>
        </w:rPr>
        <w:t>členů</w:t>
      </w:r>
      <w:r w:rsidRPr="00DE59C1">
        <w:rPr>
          <w:i/>
        </w:rPr>
        <w:t xml:space="preserve"> orgánů obce při umožnění řešit zadluženost obcí oddlužením nelze pominout. Osvobození obce od dluhů se s ohledem na shora uvedené nejeví </w:t>
      </w:r>
      <w:r w:rsidR="00320849">
        <w:rPr>
          <w:i/>
        </w:rPr>
        <w:t xml:space="preserve">nejen </w:t>
      </w:r>
      <w:r w:rsidRPr="00DE59C1">
        <w:rPr>
          <w:i/>
        </w:rPr>
        <w:t>legitimním</w:t>
      </w:r>
      <w:r>
        <w:rPr>
          <w:i/>
        </w:rPr>
        <w:t>, ale hlavně funkčním</w:t>
      </w:r>
      <w:r w:rsidRPr="00DE59C1">
        <w:t>.</w:t>
      </w:r>
      <w:r w:rsidRPr="00DE59C1">
        <w:rPr>
          <w:i/>
        </w:rPr>
        <w:t xml:space="preserve"> Zároveň je třeba konstatovat, že struktura a výše závazků obcí je bližší závazkům podnikatelských subjektů než závazkům fyzických osob vzniklý</w:t>
      </w:r>
      <w:r w:rsidR="00320849">
        <w:rPr>
          <w:i/>
        </w:rPr>
        <w:t>ch</w:t>
      </w:r>
      <w:r w:rsidRPr="00DE59C1">
        <w:rPr>
          <w:i/>
        </w:rPr>
        <w:t xml:space="preserve"> typicky ze spotřebitelského úvěru. </w:t>
      </w:r>
      <w:r>
        <w:rPr>
          <w:i/>
        </w:rPr>
        <w:t>Z</w:t>
      </w:r>
      <w:r w:rsidRPr="00DE59C1">
        <w:rPr>
          <w:i/>
        </w:rPr>
        <w:t>ároveň</w:t>
      </w:r>
      <w:r>
        <w:rPr>
          <w:i/>
        </w:rPr>
        <w:t xml:space="preserve"> by</w:t>
      </w:r>
      <w:r w:rsidRPr="00DE59C1">
        <w:rPr>
          <w:i/>
        </w:rPr>
        <w:t xml:space="preserve"> mohlo dojít k problematice střetu režimu oddlužení s prostředky poskytnutými z evropských rozpočtů, z nichž se následně stal </w:t>
      </w:r>
      <w:r>
        <w:rPr>
          <w:i/>
        </w:rPr>
        <w:t>dluh</w:t>
      </w:r>
      <w:r w:rsidRPr="00DE59C1">
        <w:rPr>
          <w:i/>
        </w:rPr>
        <w:t xml:space="preserve"> obce (vracení dotací). Takové pohledávky by zřejmě nebylo možné uspokojovat jen zčásti a ve zbytku od jejich placení osvobozovat, čímž by ovšem byla popřena zásada rovného uspokojení (respektive zákazu nedovoleného zvýhodnění) věřitelů </w:t>
      </w:r>
      <w:r>
        <w:rPr>
          <w:i/>
        </w:rPr>
        <w:t xml:space="preserve">jakožto jedna ze základních zásad </w:t>
      </w:r>
      <w:r w:rsidRPr="00DE59C1">
        <w:rPr>
          <w:i/>
        </w:rPr>
        <w:t xml:space="preserve">v insolvenčním řízení. </w:t>
      </w:r>
    </w:p>
    <w:p w:rsidR="00B64571" w:rsidRPr="00DE59C1" w:rsidRDefault="00B64571" w:rsidP="00B4538F">
      <w:pPr>
        <w:spacing w:after="120"/>
        <w:jc w:val="both"/>
      </w:pPr>
      <w:r w:rsidRPr="00DE59C1">
        <w:t xml:space="preserve">V případě </w:t>
      </w:r>
      <w:r w:rsidRPr="00DE59C1">
        <w:rPr>
          <w:b/>
        </w:rPr>
        <w:t>reorganizace</w:t>
      </w:r>
      <w:r w:rsidRPr="00DE59C1">
        <w:t xml:space="preserve"> se jedná o mechanismus vyrovnání dluhů dlužníka v dohodě s jeho věřiteli pod ochrannou insolvenčního řízení a zároveň o mechanismus transformace reorganizované korporace, která tkví v maximalizaci její hodnoty a minimalizaci rizika následného výskytu finančních problémů.</w:t>
      </w:r>
    </w:p>
    <w:p w:rsidR="00B64571" w:rsidRPr="00DE59C1" w:rsidRDefault="00B64571" w:rsidP="00B4538F">
      <w:pPr>
        <w:spacing w:after="120"/>
        <w:jc w:val="both"/>
      </w:pPr>
      <w:r w:rsidRPr="00DE59C1">
        <w:rPr>
          <w:i/>
        </w:rPr>
        <w:t>Ve vztahu k obcím nebude druhá funkce naplněna, neboť území, zdroje, funkce i řídící struktury obce zůstávají neměnné</w:t>
      </w:r>
      <w:r w:rsidRPr="00DE59C1">
        <w:t xml:space="preserve">. </w:t>
      </w:r>
    </w:p>
    <w:p w:rsidR="00B64571" w:rsidRDefault="00B64571" w:rsidP="00B4538F">
      <w:pPr>
        <w:spacing w:after="120"/>
        <w:jc w:val="both"/>
      </w:pPr>
      <w:r w:rsidRPr="00DE59C1">
        <w:t xml:space="preserve">Z výše řečeného se podává, že žádný z uvedených způsobů řešení úpadku </w:t>
      </w:r>
      <w:r>
        <w:t xml:space="preserve">nelze </w:t>
      </w:r>
      <w:r w:rsidRPr="00DE59C1">
        <w:t>k řešení platební neschopnosti obcí použít. Způsob řešení úpadku obce cestou insolvenčního práva by tak vyžadoval zvláštní právní úpravu</w:t>
      </w:r>
      <w:r>
        <w:t xml:space="preserve"> </w:t>
      </w:r>
      <w:r w:rsidR="00022388">
        <w:t>zjevně</w:t>
      </w:r>
      <w:r>
        <w:t xml:space="preserve"> ve velkém rozsahu divergující od stávající úpravy obecné</w:t>
      </w:r>
      <w:r w:rsidRPr="00DE59C1">
        <w:t>. Tato právní úprava by ve vztahu k výše uvedeným způsobům řešení úpadku byla nutně nejbližší reorganizaci (konkurs je vyloučen pro nemožnost zrušení obce v konečném stádiu insolvenčního řízení, oddlužení je vyloučeno pro nedostatek</w:t>
      </w:r>
      <w:r>
        <w:t xml:space="preserve"> funkčnosti</w:t>
      </w:r>
      <w:r w:rsidRPr="00DE59C1">
        <w:t xml:space="preserve"> osvobozovat obce od části dluhů). Je však nutné zdůraznit, že podstatou řízení, jež by </w:t>
      </w:r>
      <w:r>
        <w:t>bylo příbuzné</w:t>
      </w:r>
      <w:r w:rsidRPr="00DE59C1">
        <w:t xml:space="preserve"> reorganizac</w:t>
      </w:r>
      <w:r>
        <w:t>i</w:t>
      </w:r>
      <w:r w:rsidRPr="00D16FE9">
        <w:rPr>
          <w:vertAlign w:val="superscript"/>
        </w:rPr>
        <w:footnoteReference w:id="6"/>
      </w:r>
      <w:r w:rsidR="00673D3D">
        <w:t>,</w:t>
      </w:r>
      <w:r>
        <w:t xml:space="preserve"> by byla především institucionalizace dohody mezi věřiteli a dlužníkem (obcí). Institucionalizací by bylo umožněno dosáhnout dohody i přes nesouhlas menšiny věřitelů (</w:t>
      </w:r>
      <w:r w:rsidRPr="00A31825">
        <w:t xml:space="preserve">byla by tak primárně reakcí na tzv. </w:t>
      </w:r>
      <w:r w:rsidRPr="00A31825">
        <w:rPr>
          <w:i/>
        </w:rPr>
        <w:t>hold-out problem</w:t>
      </w:r>
      <w:r w:rsidRPr="00A31825">
        <w:t xml:space="preserve"> spojený s </w:t>
      </w:r>
      <w:r w:rsidRPr="00A15905">
        <w:t>blokačním</w:t>
      </w:r>
      <w:r w:rsidRPr="00A31825">
        <w:t xml:space="preserve"> potenciálem věřitelské minority při aplikaci pravidla jednomyslnosti</w:t>
      </w:r>
      <w:r>
        <w:t xml:space="preserve">). </w:t>
      </w:r>
      <w:r w:rsidRPr="00D16FE9">
        <w:t xml:space="preserve">Úspěch </w:t>
      </w:r>
      <w:r>
        <w:t xml:space="preserve">tohoto </w:t>
      </w:r>
      <w:r w:rsidRPr="00D16FE9">
        <w:t>ř</w:t>
      </w:r>
      <w:r>
        <w:t xml:space="preserve">ízení </w:t>
      </w:r>
      <w:r w:rsidRPr="00D16FE9">
        <w:t xml:space="preserve">by </w:t>
      </w:r>
      <w:r>
        <w:t>tak odvisel od vůle (většiny)</w:t>
      </w:r>
      <w:r w:rsidRPr="00D16FE9">
        <w:t xml:space="preserve"> věřitelů</w:t>
      </w:r>
      <w:r>
        <w:t>.</w:t>
      </w:r>
      <w:r w:rsidRPr="00D16FE9">
        <w:t xml:space="preserve"> </w:t>
      </w:r>
      <w:r>
        <w:t>Navíc absence možnosti transformace obce (tj. kvalitativní změny zdrojů, funkcí a struktur obce) ve spojení s omezenější flexibilitou obce přizpůsobit své příjmy a výdaje, resp. náklady a výnosy vyplývající z veřejnop</w:t>
      </w:r>
      <w:r w:rsidR="00385B0B">
        <w:t>rávního charakteru obcí (např. mandatorní</w:t>
      </w:r>
      <w:r>
        <w:t xml:space="preserve"> výdaje obce, příjmy ze sdílených daní aj.), omezuje takové řízení pouze na řešení již existujících dluhů dlužníka</w:t>
      </w:r>
      <w:r w:rsidR="00673D3D">
        <w:t xml:space="preserve"> s nejistým výsledkem</w:t>
      </w:r>
      <w:r>
        <w:t xml:space="preserve">. </w:t>
      </w:r>
    </w:p>
    <w:p w:rsidR="00B64571" w:rsidRDefault="00B64571" w:rsidP="00B4538F">
      <w:pPr>
        <w:spacing w:after="120"/>
        <w:jc w:val="both"/>
        <w:rPr>
          <w:i/>
        </w:rPr>
      </w:pPr>
      <w:r w:rsidRPr="00643379">
        <w:rPr>
          <w:i/>
        </w:rPr>
        <w:t xml:space="preserve">Především je tak </w:t>
      </w:r>
      <w:r>
        <w:rPr>
          <w:i/>
        </w:rPr>
        <w:t xml:space="preserve">naprosto </w:t>
      </w:r>
      <w:r w:rsidRPr="00643379">
        <w:rPr>
          <w:i/>
        </w:rPr>
        <w:t>zřejmé, že neplatí předpoklad</w:t>
      </w:r>
      <w:r w:rsidR="00B56948">
        <w:rPr>
          <w:i/>
        </w:rPr>
        <w:t xml:space="preserve"> </w:t>
      </w:r>
      <w:r w:rsidRPr="00643379">
        <w:rPr>
          <w:i/>
        </w:rPr>
        <w:t>o insolvenčním řízení obcí jakožto mechanismu definitivního řešení jejich platební neschopnosti.</w:t>
      </w:r>
    </w:p>
    <w:p w:rsidR="009169CB" w:rsidRPr="00623B9E" w:rsidRDefault="009169CB" w:rsidP="009169CB">
      <w:pPr>
        <w:pStyle w:val="Textdopisu"/>
        <w:spacing w:after="240"/>
        <w:ind w:firstLine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2.2</w:t>
      </w:r>
      <w:r w:rsidRPr="00623B9E">
        <w:rPr>
          <w:b/>
          <w:bCs/>
          <w:szCs w:val="24"/>
          <w:u w:val="single"/>
        </w:rPr>
        <w:t xml:space="preserve">. </w:t>
      </w:r>
      <w:r>
        <w:rPr>
          <w:b/>
          <w:bCs/>
          <w:szCs w:val="24"/>
          <w:u w:val="single"/>
        </w:rPr>
        <w:t>Problematika zvláštního způsobu řešení úpadku obce</w:t>
      </w:r>
    </w:p>
    <w:p w:rsidR="00470CC4" w:rsidRPr="007E2F66" w:rsidRDefault="009169CB" w:rsidP="00B4538F">
      <w:pPr>
        <w:spacing w:after="120"/>
        <w:jc w:val="both"/>
      </w:pPr>
      <w:r>
        <w:t>Pro insolvenční právo obecně platí, že u</w:t>
      </w:r>
      <w:r w:rsidR="00470CC4" w:rsidRPr="007E2F66">
        <w:t>spořádání vztahů mezi věřiteli a dlužníkem (obcí), který se ocitl v úpadku (resp. platební neschopnosti), je ekonomicky efektivnější řešit nikoliv v rámci bilaterálních (hmotněprávních i procesněprávních) vztahů dlužníka s jedním každým věřitelem (odhlédneme-li od specifických případů, např. syndikovaných úvěrů), nýbrž ve vztahu kolektivním, tj. ve vztahu dlužní</w:t>
      </w:r>
      <w:r w:rsidR="00B37404">
        <w:t>ka a všech jeho věřitelů. Touto vnucenou</w:t>
      </w:r>
      <w:r w:rsidR="00BE7444">
        <w:t xml:space="preserve"> </w:t>
      </w:r>
      <w:r w:rsidR="00470CC4" w:rsidRPr="007E2F66">
        <w:t xml:space="preserve">kolektivizací se nahrazuje individuální uspokojení věřitelů jejich poměrným uspokojením v souladu se zásadou </w:t>
      </w:r>
      <w:r w:rsidR="00470CC4" w:rsidRPr="007E2F66">
        <w:rPr>
          <w:i/>
        </w:rPr>
        <w:t xml:space="preserve">pari passu. </w:t>
      </w:r>
      <w:r w:rsidR="00470CC4" w:rsidRPr="007E2F66">
        <w:t xml:space="preserve">Efekt </w:t>
      </w:r>
      <w:r w:rsidR="00BE7444">
        <w:t xml:space="preserve">vnucené </w:t>
      </w:r>
      <w:r w:rsidR="00470CC4">
        <w:t xml:space="preserve">kolektivizace </w:t>
      </w:r>
      <w:r>
        <w:t>současná právní úprava</w:t>
      </w:r>
      <w:r w:rsidR="00470CC4">
        <w:t xml:space="preserve"> u</w:t>
      </w:r>
      <w:r w:rsidR="00470CC4" w:rsidRPr="007E2F66">
        <w:t> </w:t>
      </w:r>
      <w:r w:rsidR="00470CC4">
        <w:t>obcí</w:t>
      </w:r>
      <w:r>
        <w:t xml:space="preserve"> nepředvídá</w:t>
      </w:r>
      <w:r w:rsidR="00470CC4" w:rsidRPr="007E2F66">
        <w:t xml:space="preserve">. Řečené souvisí </w:t>
      </w:r>
      <w:r w:rsidR="00470CC4">
        <w:t xml:space="preserve">i </w:t>
      </w:r>
      <w:r w:rsidR="00470CC4" w:rsidRPr="007E2F66">
        <w:t xml:space="preserve">s obtížemi </w:t>
      </w:r>
      <w:r w:rsidR="00AB7FC9">
        <w:t>spojenými</w:t>
      </w:r>
      <w:r w:rsidR="00470CC4" w:rsidRPr="007E2F66">
        <w:t xml:space="preserve"> </w:t>
      </w:r>
      <w:r w:rsidR="00470CC4">
        <w:t>s</w:t>
      </w:r>
      <w:r w:rsidR="00BE7444">
        <w:t> </w:t>
      </w:r>
      <w:r w:rsidR="00470CC4">
        <w:t>exekučním</w:t>
      </w:r>
      <w:r w:rsidR="00470CC4" w:rsidRPr="007E2F66">
        <w:t xml:space="preserve"> vymáhání</w:t>
      </w:r>
      <w:r w:rsidR="00470CC4">
        <w:t>m dluhů obce, s</w:t>
      </w:r>
      <w:r w:rsidR="00470CC4" w:rsidRPr="007E2F66">
        <w:t> vícečetn</w:t>
      </w:r>
      <w:r w:rsidR="00470CC4">
        <w:t>ými</w:t>
      </w:r>
      <w:r w:rsidR="00470CC4" w:rsidRPr="007E2F66">
        <w:t xml:space="preserve"> exekuc</w:t>
      </w:r>
      <w:r w:rsidR="00470CC4">
        <w:t>emi</w:t>
      </w:r>
      <w:r w:rsidR="00470CC4" w:rsidRPr="007E2F66">
        <w:t xml:space="preserve"> veden</w:t>
      </w:r>
      <w:r w:rsidR="00470CC4">
        <w:t>ými</w:t>
      </w:r>
      <w:r w:rsidR="00470CC4" w:rsidRPr="007E2F66">
        <w:t xml:space="preserve"> proti obci, </w:t>
      </w:r>
      <w:r w:rsidR="00470CC4">
        <w:t>popř. s</w:t>
      </w:r>
      <w:r w:rsidR="00470CC4" w:rsidRPr="007E2F66">
        <w:t> </w:t>
      </w:r>
      <w:r w:rsidR="00470CC4">
        <w:t>nárůstem</w:t>
      </w:r>
      <w:r w:rsidR="00470CC4" w:rsidRPr="007E2F66">
        <w:t xml:space="preserve"> příslušenství pohledávek</w:t>
      </w:r>
      <w:r w:rsidR="00470CC4">
        <w:t xml:space="preserve"> věřitelů obce</w:t>
      </w:r>
      <w:r w:rsidR="00470CC4" w:rsidRPr="007E2F66">
        <w:t>.</w:t>
      </w:r>
    </w:p>
    <w:p w:rsidR="00470CC4" w:rsidRPr="007E2F66" w:rsidRDefault="00470CC4" w:rsidP="00B4538F">
      <w:pPr>
        <w:spacing w:after="120"/>
        <w:jc w:val="both"/>
      </w:pPr>
      <w:r w:rsidRPr="007E2F66">
        <w:t xml:space="preserve">Dlužníku (obci) se </w:t>
      </w:r>
      <w:r w:rsidR="009169CB">
        <w:t>nemusí dařit</w:t>
      </w:r>
      <w:r w:rsidRPr="007E2F66">
        <w:t xml:space="preserve"> dosáhnout dohody se svými věřiteli, neboť minoritní věřitelé disponují </w:t>
      </w:r>
      <w:r>
        <w:t xml:space="preserve">blokačním </w:t>
      </w:r>
      <w:r w:rsidRPr="007E2F66">
        <w:t xml:space="preserve">potenciálem, který je způsobilý zamezit urovnání, na kterém se již předběžně shodl dlužník s (potenciálně velice vysokou) majoritou věřitelů. Požadavek minority věřitelů na splnění 100 % své pohledávky je jádrem </w:t>
      </w:r>
      <w:r w:rsidR="00BE7444">
        <w:t>nastíněného</w:t>
      </w:r>
      <w:r w:rsidR="00BE7444" w:rsidRPr="007E2F66">
        <w:t xml:space="preserve"> </w:t>
      </w:r>
      <w:r w:rsidRPr="007E2F66">
        <w:t>problému (</w:t>
      </w:r>
      <w:r w:rsidRPr="007E2F66">
        <w:rPr>
          <w:i/>
        </w:rPr>
        <w:t>hold out problem</w:t>
      </w:r>
      <w:r w:rsidRPr="007E2F66">
        <w:t xml:space="preserve">). </w:t>
      </w:r>
    </w:p>
    <w:p w:rsidR="00470CC4" w:rsidRDefault="00470CC4" w:rsidP="00B4538F">
      <w:pPr>
        <w:spacing w:after="120"/>
        <w:jc w:val="both"/>
      </w:pPr>
      <w:r w:rsidRPr="007E2F66">
        <w:t xml:space="preserve">Možným opatřením, jež by bylo </w:t>
      </w:r>
      <w:r>
        <w:t>možné</w:t>
      </w:r>
      <w:r w:rsidRPr="007E2F66">
        <w:t xml:space="preserve"> realizovat, je vyloučení individuálního exekučního uspokojování </w:t>
      </w:r>
      <w:r w:rsidR="00AB7FC9">
        <w:t>pohledávek vůči obci</w:t>
      </w:r>
      <w:r w:rsidRPr="007E2F66">
        <w:t xml:space="preserve"> v případě její platební neschopnosti, tedy zakotvení kolektivní povahy uspokojování věřitelů obce. Využití této modality by umožnilo, aby </w:t>
      </w:r>
      <w:r>
        <w:t xml:space="preserve">ustanovený správce obce (popř. nucený správce) </w:t>
      </w:r>
      <w:r w:rsidRPr="007E2F66">
        <w:t xml:space="preserve">uzavíral dohody s věřiteli obce v kolektivním režimu, kde by postačoval souhlas pouhé </w:t>
      </w:r>
      <w:r w:rsidR="00042BB0">
        <w:t>kvalifikované většiny věřitelů. Na základě zákonné úpravy by mohlo též docházet</w:t>
      </w:r>
      <w:r w:rsidRPr="006F61FF">
        <w:t xml:space="preserve"> ke stavení přírůstku </w:t>
      </w:r>
      <w:r>
        <w:t xml:space="preserve">úroků a </w:t>
      </w:r>
      <w:r w:rsidRPr="006F61FF">
        <w:t>úroků z</w:t>
      </w:r>
      <w:r>
        <w:t> </w:t>
      </w:r>
      <w:r w:rsidRPr="006F61FF">
        <w:t>prodlení</w:t>
      </w:r>
      <w:r>
        <w:t xml:space="preserve">, resp. k jejich neuspokojování </w:t>
      </w:r>
      <w:r w:rsidRPr="006F61FF">
        <w:t>(</w:t>
      </w:r>
      <w:r>
        <w:t xml:space="preserve">to lze chápat jako </w:t>
      </w:r>
      <w:r w:rsidRPr="006F61FF">
        <w:t>ochran</w:t>
      </w:r>
      <w:r>
        <w:t>u</w:t>
      </w:r>
      <w:r w:rsidRPr="006F61FF">
        <w:t xml:space="preserve"> před věřiteli po dobu nutnou ke sjednání dohody</w:t>
      </w:r>
      <w:r>
        <w:t xml:space="preserve"> o splnění existujících závazků</w:t>
      </w:r>
      <w:r w:rsidRPr="006F61FF">
        <w:t>).</w:t>
      </w:r>
    </w:p>
    <w:p w:rsidR="00042BB0" w:rsidRDefault="00042BB0" w:rsidP="00B4538F">
      <w:pPr>
        <w:spacing w:after="120"/>
        <w:jc w:val="both"/>
      </w:pPr>
      <w:r>
        <w:t xml:space="preserve">Bez ohledu na dílčí právní rizika (o nich </w:t>
      </w:r>
      <w:r w:rsidR="00BE7444">
        <w:t xml:space="preserve">více </w:t>
      </w:r>
      <w:r>
        <w:t xml:space="preserve">níže) je nutné zdůraznit, že by takovýto způsob řešení úpadku nutně nevedl k funkčnímu nebo dokonce definitivnímu řešení platební neschopnosti obcí. Ve své podstatě by se jednalo pouze o institucionalizaci </w:t>
      </w:r>
      <w:r w:rsidR="00F20AA1">
        <w:t xml:space="preserve">dohody dlužníka s jeho věřiteli. </w:t>
      </w:r>
      <w:r w:rsidR="00BE7444">
        <w:t>Proces sjednávání dohody</w:t>
      </w:r>
      <w:r w:rsidR="00F20AA1">
        <w:t xml:space="preserve"> </w:t>
      </w:r>
      <w:r>
        <w:t xml:space="preserve">by dlužníku (obci) poskytl ochranu pro vyjednávání a pomohl </w:t>
      </w:r>
      <w:r w:rsidR="00F20AA1">
        <w:t>mu ji</w:t>
      </w:r>
      <w:r>
        <w:t xml:space="preserve"> uzavřít z</w:t>
      </w:r>
      <w:r w:rsidR="00F20AA1">
        <w:t xml:space="preserve">a zvýhodněných podmínek. Těmi </w:t>
      </w:r>
      <w:r>
        <w:t>by mohlo být (i) prolomení podmínky konsensuálního postoje všech věřitelů</w:t>
      </w:r>
      <w:r w:rsidR="00CD4023">
        <w:t xml:space="preserve"> a (ii) </w:t>
      </w:r>
      <w:r w:rsidR="00CD4023" w:rsidRPr="006F61FF">
        <w:t xml:space="preserve">stavení přírůstku </w:t>
      </w:r>
      <w:r w:rsidR="00CD4023">
        <w:t xml:space="preserve">úroků a </w:t>
      </w:r>
      <w:r w:rsidR="00CD4023" w:rsidRPr="006F61FF">
        <w:t>úroků z</w:t>
      </w:r>
      <w:r w:rsidR="00BE7444">
        <w:t> </w:t>
      </w:r>
      <w:r w:rsidR="00CD4023" w:rsidRPr="006F61FF">
        <w:t>prodlení</w:t>
      </w:r>
      <w:r w:rsidR="00BE7444">
        <w:t>, resp. jiného příslušenství</w:t>
      </w:r>
      <w:r w:rsidR="00CD4023">
        <w:t>.</w:t>
      </w:r>
      <w:r w:rsidR="00CB1202">
        <w:t xml:space="preserve"> </w:t>
      </w:r>
    </w:p>
    <w:p w:rsidR="00F20AA1" w:rsidRDefault="00CB1202" w:rsidP="00CB1202">
      <w:pPr>
        <w:spacing w:after="120"/>
        <w:jc w:val="both"/>
      </w:pPr>
      <w:r>
        <w:t>Problémy, které by uvedený institut mohl pomoci řešit, však nebyly identifikovány ani v Analýze řešení platební neschopnosti územních samosprávných celků, ani během následných diskusí dotčených resortů. Odhlédnuto od skutečnosti, že by tímto způsobem nemohlo dojít k transformaci</w:t>
      </w:r>
      <w:r w:rsidRPr="00DE59C1">
        <w:t xml:space="preserve"> </w:t>
      </w:r>
      <w:r>
        <w:t xml:space="preserve">obce (tj. k </w:t>
      </w:r>
      <w:r w:rsidRPr="00DE59C1">
        <w:t>maximalizaci její hodnoty a minimalizaci rizika následného výskytu finančních problémů</w:t>
      </w:r>
      <w:r>
        <w:t xml:space="preserve">), </w:t>
      </w:r>
      <w:r w:rsidR="00F20AA1">
        <w:t xml:space="preserve">vystavoval </w:t>
      </w:r>
      <w:r>
        <w:t>by tento mechanismus právní a ekonomické prostředí značnému riziku</w:t>
      </w:r>
      <w:r w:rsidRPr="00DE59C1">
        <w:t>.</w:t>
      </w:r>
      <w:r>
        <w:t xml:space="preserve"> </w:t>
      </w:r>
    </w:p>
    <w:p w:rsidR="00F20AA1" w:rsidRPr="001C74F9" w:rsidRDefault="00CB1202" w:rsidP="00F20AA1">
      <w:pPr>
        <w:spacing w:after="120"/>
        <w:jc w:val="both"/>
        <w:rPr>
          <w:i/>
        </w:rPr>
      </w:pPr>
      <w:r>
        <w:t xml:space="preserve">Předně by obec nebylo možné </w:t>
      </w:r>
      <w:r w:rsidR="00F20AA1">
        <w:t>vystavit</w:t>
      </w:r>
      <w:r>
        <w:t xml:space="preserve"> </w:t>
      </w:r>
      <w:r w:rsidR="00BE7444">
        <w:t>rizikům</w:t>
      </w:r>
      <w:r>
        <w:t xml:space="preserve"> </w:t>
      </w:r>
      <w:r w:rsidR="00F20AA1">
        <w:t>vy</w:t>
      </w:r>
      <w:r>
        <w:t xml:space="preserve">jednání o </w:t>
      </w:r>
      <w:r w:rsidR="00F20AA1">
        <w:t>„reorganizačním“ plánu</w:t>
      </w:r>
      <w:r w:rsidR="00BE7444">
        <w:t>,</w:t>
      </w:r>
      <w:r w:rsidR="00F20AA1">
        <w:t xml:space="preserve"> a to </w:t>
      </w:r>
      <w:r w:rsidR="00BE7444">
        <w:t>an</w:t>
      </w:r>
      <w:r w:rsidR="00F20AA1">
        <w:t>i v případě, kdy</w:t>
      </w:r>
      <w:r>
        <w:t xml:space="preserve"> by byl</w:t>
      </w:r>
      <w:r w:rsidR="00F20AA1">
        <w:t>o</w:t>
      </w:r>
      <w:r>
        <w:t xml:space="preserve"> </w:t>
      </w:r>
      <w:r w:rsidR="00F20AA1">
        <w:t>zmařeno ze strany obce</w:t>
      </w:r>
      <w:r>
        <w:t>. Ob</w:t>
      </w:r>
      <w:r w:rsidR="00F20AA1">
        <w:t>ec</w:t>
      </w:r>
      <w:r>
        <w:t xml:space="preserve"> by totiž nebylo možné </w:t>
      </w:r>
      <w:r w:rsidR="00BE7444">
        <w:t>postihnout následky</w:t>
      </w:r>
      <w:r w:rsidRPr="00CB1202">
        <w:t xml:space="preserve"> insolvenčního řízení, v němž by </w:t>
      </w:r>
      <w:r w:rsidR="00F20AA1">
        <w:t>byl její</w:t>
      </w:r>
      <w:r>
        <w:t xml:space="preserve"> úpadek </w:t>
      </w:r>
      <w:r w:rsidRPr="00CB1202">
        <w:t>řešen konkursem</w:t>
      </w:r>
      <w:r>
        <w:t xml:space="preserve">. Za druhé se tímto </w:t>
      </w:r>
      <w:r w:rsidR="001D2A81">
        <w:t xml:space="preserve">současně </w:t>
      </w:r>
      <w:r>
        <w:t>zvyšuje riziko znevýhodnění disentujících nebo nezúčastněných věřitelů</w:t>
      </w:r>
      <w:r w:rsidR="001D2A81">
        <w:t>.</w:t>
      </w:r>
      <w:r w:rsidR="00F20AA1">
        <w:t xml:space="preserve"> Pravomoc insolvenčního správce a insolvenčního soudu by dále mohla narážet na kautely ústavního pořádku. Do činnosti územních samosprávných celků totiž stát může zasahovat,</w:t>
      </w:r>
      <w:r w:rsidR="00F20AA1" w:rsidRPr="001D2A81">
        <w:t xml:space="preserve"> jen </w:t>
      </w:r>
      <w:r w:rsidR="00F20AA1">
        <w:t>vyžaduje-li to ochrana zákona.</w:t>
      </w:r>
      <w:r w:rsidR="001C74F9">
        <w:t xml:space="preserve"> Právní úprava specifického způsobu řešení úpadku obcí by tak s největší pravděpodobností narážela na některé základní zásady insolvenčního práva, které by mělo být řešením výrazně nepříznivé ekonomické situace </w:t>
      </w:r>
      <w:r w:rsidR="001C74F9" w:rsidRPr="001C74F9">
        <w:rPr>
          <w:i/>
        </w:rPr>
        <w:t>ultima ratio</w:t>
      </w:r>
      <w:r w:rsidR="001C74F9">
        <w:t xml:space="preserve"> pro poctivého a odpovědného, avšak ekonomicky neúspěšného dlužníka, který pod ochranou insolvenčního řízení </w:t>
      </w:r>
      <w:r w:rsidR="00B77618">
        <w:t xml:space="preserve">a podle pokynů insolvenčního soudu a insolvenčního správce </w:t>
      </w:r>
      <w:r w:rsidR="001C74F9">
        <w:t>uspokojuje pohledávky svých věřitelů podle pomě</w:t>
      </w:r>
      <w:r w:rsidR="00B77618">
        <w:t>ru</w:t>
      </w:r>
      <w:r w:rsidR="001C74F9">
        <w:t xml:space="preserve"> jejich výše, případně podle jiného ujednaného schématu, při zachování rovného přístupu k jednotlivým věřitelům a se zřetelem k co nejvyššímu uspokojení jejich pohledávek. Neúspěch nebo porušování povinností v takovém vyrovnacím procesu implicitně vede k likvidaci disponibilních ekonomických zdrojů dlužníka na úhradu jeho dluhů a případně k zániku dlužníka samotného.</w:t>
      </w:r>
    </w:p>
    <w:p w:rsidR="00CD1F93" w:rsidRDefault="00CD1F93" w:rsidP="00CB1202">
      <w:pPr>
        <w:spacing w:after="120"/>
        <w:jc w:val="both"/>
      </w:pPr>
      <w:r>
        <w:t>Možnost řešit tíživé finanční obtíže obcí cestou insolvenčního práva by rovněž vedlo k zásadní změně ekonomického postavení obcí ve vztahu k soukromoprávním i veřejnoprávním subjektům. Eventualita neuspokojení dluhů (v případě oddlužení dokonce odpuštění od placen</w:t>
      </w:r>
      <w:r w:rsidR="00F20AA1">
        <w:t>í /zbytku/ dluhů) by nutně vedla</w:t>
      </w:r>
      <w:r>
        <w:t xml:space="preserve"> ke změně ekonomického uvažování subjektů poskytujících </w:t>
      </w:r>
      <w:r w:rsidR="00F20AA1">
        <w:t xml:space="preserve">prostředky </w:t>
      </w:r>
      <w:r>
        <w:t>k financování aktivit obcí. Soukromoprávní poskytovatelé (především banky) i veřejnoprávní poskytovatelé (především poskytovatelé dotací, např.</w:t>
      </w:r>
      <w:r w:rsidR="00F20AA1">
        <w:t xml:space="preserve"> dotací</w:t>
      </w:r>
      <w:r>
        <w:t xml:space="preserve"> z rozpočtu Evropské unie) by nutně zpřísnili podmínky pro poskytování finančních prostředků obcím</w:t>
      </w:r>
      <w:r w:rsidR="00527F5F">
        <w:t xml:space="preserve">, což by mohlo negativně ovlivnit </w:t>
      </w:r>
      <w:r w:rsidR="00F20AA1">
        <w:t xml:space="preserve">jejich </w:t>
      </w:r>
      <w:r w:rsidR="00527F5F">
        <w:t>ekonomickou situac</w:t>
      </w:r>
      <w:r w:rsidR="00F20AA1">
        <w:t>i</w:t>
      </w:r>
      <w:r w:rsidR="00BE7444">
        <w:t xml:space="preserve"> a v jednotlivých případech zcela vyloučit možnost financování z těchto cizích zdrojů</w:t>
      </w:r>
      <w:r w:rsidR="00527F5F">
        <w:t>. Uvedené platí v případě obcí jakožto veřejnoprávních korporací ve větší míře než u korporací soukromoprávních, neboť u obcí je prostřednictvím daní zaručen každoroční a z hlediska ekonomického i nekonečný příjem, z něhož může obec sanovat (alespoň částečně) své dluhy.</w:t>
      </w:r>
    </w:p>
    <w:p w:rsidR="00F20AA1" w:rsidRDefault="00F20AA1" w:rsidP="00B56948">
      <w:pPr>
        <w:spacing w:after="240"/>
        <w:jc w:val="both"/>
      </w:pPr>
      <w:r>
        <w:t xml:space="preserve">Nadto by bylo jen stěží obhajitelné, že by zákon upravoval toliko právní poměry obcí a stranou by ponechal řešení pro kraje, když i tyto jsou územní samosprávné celky s právem na samosprávu; otázka Prahy, která je obcí i krajem, by už vůbec bylo nesnadné řešit. </w:t>
      </w:r>
    </w:p>
    <w:p w:rsidR="00AA510B" w:rsidRPr="007A219F" w:rsidRDefault="00AA510B" w:rsidP="00B4538F">
      <w:pPr>
        <w:pStyle w:val="Textdopisu"/>
        <w:spacing w:after="240"/>
        <w:ind w:firstLine="0"/>
        <w:rPr>
          <w:sz w:val="28"/>
          <w:szCs w:val="28"/>
        </w:rPr>
      </w:pPr>
      <w:r w:rsidRPr="007A219F">
        <w:rPr>
          <w:b/>
          <w:sz w:val="28"/>
          <w:szCs w:val="28"/>
          <w:u w:val="single"/>
        </w:rPr>
        <w:t>Závěr</w:t>
      </w:r>
    </w:p>
    <w:p w:rsidR="00B56948" w:rsidRDefault="002505CB" w:rsidP="00B56948">
      <w:pPr>
        <w:pStyle w:val="Textdopisu"/>
        <w:spacing w:after="240"/>
        <w:ind w:firstLine="0"/>
      </w:pPr>
      <w:r>
        <w:rPr>
          <w:szCs w:val="24"/>
        </w:rPr>
        <w:t>Z uvedeného plyne</w:t>
      </w:r>
      <w:r w:rsidR="0016499A">
        <w:rPr>
          <w:szCs w:val="24"/>
        </w:rPr>
        <w:t xml:space="preserve">, že řešení problematiky platební neschopnosti obcí cestou insolvenčního práva není nejen funkční a praktické, nýbrž ani potřebné. </w:t>
      </w:r>
      <w:r w:rsidR="00B56948">
        <w:rPr>
          <w:bCs/>
          <w:szCs w:val="24"/>
        </w:rPr>
        <w:t xml:space="preserve">Nástroje insolvenčního práva se příčí právní povaze územní samosprávy související především s jejími ústavně garantovanými právy. </w:t>
      </w:r>
      <w:r w:rsidR="00B56948">
        <w:t xml:space="preserve">Žádný ze způsobů řešení úpadku není s ohledem na specifika územní samosprávy objektivně s to řešit jejich platební neschopnost. Ba ani případný nový způsob řešení úpadku by nepředstavoval funkční, natož definitivní, řešení jejich platební neschopnosti. </w:t>
      </w:r>
      <w:r w:rsidR="00B56948">
        <w:rPr>
          <w:bCs/>
          <w:szCs w:val="24"/>
        </w:rPr>
        <w:t>Řešení platební neschopnosti obcí prostřednictvím insolvenčního práva by bylo zároveň spojeno s neúměrnými ekonomickými i právními riziky.</w:t>
      </w:r>
    </w:p>
    <w:p w:rsidR="000B79C3" w:rsidRDefault="0016499A" w:rsidP="00294028">
      <w:pPr>
        <w:pStyle w:val="Textdopisu"/>
        <w:spacing w:after="240"/>
        <w:ind w:firstLine="0"/>
      </w:pPr>
      <w:r>
        <w:rPr>
          <w:szCs w:val="24"/>
        </w:rPr>
        <w:t xml:space="preserve">Z těchto důvodů </w:t>
      </w:r>
      <w:r w:rsidR="002505CB">
        <w:rPr>
          <w:szCs w:val="24"/>
        </w:rPr>
        <w:t xml:space="preserve">je navrhováno </w:t>
      </w:r>
      <w:r>
        <w:rPr>
          <w:szCs w:val="24"/>
        </w:rPr>
        <w:t>zruš</w:t>
      </w:r>
      <w:r w:rsidR="002505CB">
        <w:rPr>
          <w:szCs w:val="24"/>
        </w:rPr>
        <w:t>it</w:t>
      </w:r>
      <w:r>
        <w:rPr>
          <w:szCs w:val="24"/>
        </w:rPr>
        <w:t xml:space="preserve"> </w:t>
      </w:r>
      <w:r w:rsidR="002505CB">
        <w:rPr>
          <w:szCs w:val="24"/>
        </w:rPr>
        <w:t xml:space="preserve">úkol </w:t>
      </w:r>
      <w:r w:rsidR="002505CB" w:rsidRPr="00CD1F93">
        <w:rPr>
          <w:rFonts w:eastAsia="Calibri"/>
          <w:szCs w:val="24"/>
          <w:lang w:eastAsia="en-US"/>
        </w:rPr>
        <w:t xml:space="preserve">pod </w:t>
      </w:r>
      <w:r w:rsidR="002505CB">
        <w:rPr>
          <w:rFonts w:eastAsia="Calibri"/>
          <w:szCs w:val="24"/>
          <w:lang w:eastAsia="en-US"/>
        </w:rPr>
        <w:t xml:space="preserve">pořadovým číslem 1 </w:t>
      </w:r>
      <w:r w:rsidR="002505CB">
        <w:t>týkající</w:t>
      </w:r>
      <w:r w:rsidR="008E1EF8">
        <w:t xml:space="preserve"> se věcného záměru zákona regulujícího mechanismus oddlužení obcí</w:t>
      </w:r>
      <w:r w:rsidR="00A31B18">
        <w:rPr>
          <w:szCs w:val="24"/>
        </w:rPr>
        <w:t xml:space="preserve">, který byl </w:t>
      </w:r>
      <w:r w:rsidR="008E1EF8">
        <w:t xml:space="preserve">Ministerstvu spravedlnosti ve spolupráci s Ministerstvem financí a Ministerstvem vnitra uložen </w:t>
      </w:r>
      <w:r w:rsidR="008E1EF8">
        <w:rPr>
          <w:rStyle w:val="bold"/>
        </w:rPr>
        <w:t>u</w:t>
      </w:r>
      <w:r w:rsidR="00A31B18">
        <w:rPr>
          <w:rStyle w:val="bold"/>
        </w:rPr>
        <w:t>snesením vlády č. 1</w:t>
      </w:r>
      <w:r w:rsidR="002505CB">
        <w:rPr>
          <w:rStyle w:val="bold"/>
        </w:rPr>
        <w:t>121 ze dne 14. prosince 2016</w:t>
      </w:r>
      <w:r w:rsidR="00A31B18">
        <w:t>, kterým byl schválen Plán legislativních prací vlády na rok 201</w:t>
      </w:r>
      <w:r w:rsidR="002505CB">
        <w:t>7</w:t>
      </w:r>
      <w:r w:rsidR="008E1EF8">
        <w:t>.</w:t>
      </w:r>
      <w:r w:rsidR="002505CB">
        <w:t xml:space="preserve"> Zároveň navrhujeme zrušení </w:t>
      </w:r>
      <w:r w:rsidR="00CD1F93" w:rsidRPr="00396800">
        <w:rPr>
          <w:rFonts w:eastAsia="Calibri"/>
          <w:szCs w:val="24"/>
          <w:lang w:eastAsia="en-US"/>
        </w:rPr>
        <w:t>usnesení vlády ze dne 9. července 2014 č. 540,</w:t>
      </w:r>
      <w:r w:rsidR="002505CB">
        <w:rPr>
          <w:rFonts w:eastAsia="Calibri"/>
          <w:szCs w:val="24"/>
          <w:lang w:eastAsia="en-US"/>
        </w:rPr>
        <w:t xml:space="preserve"> kterým byla schválena</w:t>
      </w:r>
      <w:r w:rsidR="00CD1F93" w:rsidRPr="00396800">
        <w:rPr>
          <w:rFonts w:eastAsia="Calibri"/>
          <w:szCs w:val="24"/>
          <w:lang w:eastAsia="en-US"/>
        </w:rPr>
        <w:t xml:space="preserve"> </w:t>
      </w:r>
      <w:r w:rsidR="002505CB">
        <w:t xml:space="preserve">Analýza řešení platební neschopnosti územních samosprávných celků uvedená v části III materiálu č. j. 741/14 a kterým bylo uloženo předložit návrh novely zákona č. 182/2006 Sb., </w:t>
      </w:r>
      <w:r w:rsidR="000F2AE5">
        <w:t>o úpadku a způsobech jeho řešení (</w:t>
      </w:r>
      <w:r w:rsidR="002505CB">
        <w:t>insolvenční</w:t>
      </w:r>
      <w:r w:rsidR="000F2AE5">
        <w:t>ho</w:t>
      </w:r>
      <w:r w:rsidR="002505CB">
        <w:t xml:space="preserve"> zákon</w:t>
      </w:r>
      <w:r w:rsidR="000F2AE5">
        <w:t>a)</w:t>
      </w:r>
      <w:r w:rsidR="002505CB">
        <w:t xml:space="preserve">, ve smyslu bodu 6.3 </w:t>
      </w:r>
      <w:r w:rsidR="00294028">
        <w:t xml:space="preserve">této </w:t>
      </w:r>
      <w:r w:rsidR="002505CB">
        <w:t>analýzy</w:t>
      </w:r>
      <w:r w:rsidR="00294028">
        <w:t>.</w:t>
      </w:r>
    </w:p>
    <w:sectPr w:rsidR="000B79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74" w:rsidRDefault="00D23674" w:rsidP="002510D9">
      <w:r>
        <w:separator/>
      </w:r>
    </w:p>
  </w:endnote>
  <w:endnote w:type="continuationSeparator" w:id="0">
    <w:p w:rsidR="00D23674" w:rsidRDefault="00D23674" w:rsidP="0025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B0" w:rsidRDefault="000E6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033000"/>
      <w:docPartObj>
        <w:docPartGallery w:val="Page Numbers (Bottom of Page)"/>
        <w:docPartUnique/>
      </w:docPartObj>
    </w:sdtPr>
    <w:sdtEndPr/>
    <w:sdtContent>
      <w:p w:rsidR="002510D9" w:rsidRDefault="002510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CD">
          <w:rPr>
            <w:noProof/>
          </w:rPr>
          <w:t>2</w:t>
        </w:r>
        <w:r>
          <w:fldChar w:fldCharType="end"/>
        </w:r>
      </w:p>
    </w:sdtContent>
  </w:sdt>
  <w:p w:rsidR="002510D9" w:rsidRDefault="002510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B0" w:rsidRDefault="000E6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74" w:rsidRDefault="00D23674" w:rsidP="002510D9">
      <w:r>
        <w:separator/>
      </w:r>
    </w:p>
  </w:footnote>
  <w:footnote w:type="continuationSeparator" w:id="0">
    <w:p w:rsidR="00D23674" w:rsidRDefault="00D23674" w:rsidP="002510D9">
      <w:r>
        <w:continuationSeparator/>
      </w:r>
    </w:p>
  </w:footnote>
  <w:footnote w:id="1">
    <w:p w:rsidR="00F11AE8" w:rsidRPr="00EB0716" w:rsidRDefault="00F11AE8" w:rsidP="00DE24A9">
      <w:pPr>
        <w:pStyle w:val="FootnoteText"/>
        <w:jc w:val="both"/>
        <w:rPr>
          <w:rFonts w:ascii="Times New Roman" w:hAnsi="Times New Roman" w:cs="Times New Roman"/>
        </w:rPr>
      </w:pPr>
      <w:r w:rsidRPr="00EB0716">
        <w:rPr>
          <w:rStyle w:val="FootnoteReference"/>
          <w:rFonts w:ascii="Times New Roman" w:hAnsi="Times New Roman" w:cs="Times New Roman"/>
        </w:rPr>
        <w:footnoteRef/>
      </w:r>
      <w:r w:rsidRPr="00EB0716">
        <w:rPr>
          <w:rFonts w:ascii="Times New Roman" w:hAnsi="Times New Roman" w:cs="Times New Roman"/>
        </w:rPr>
        <w:t xml:space="preserve"> Viz</w:t>
      </w:r>
      <w:r w:rsidR="00B37404">
        <w:rPr>
          <w:rFonts w:ascii="Times New Roman" w:hAnsi="Times New Roman" w:cs="Times New Roman"/>
        </w:rPr>
        <w:t>te</w:t>
      </w:r>
      <w:r w:rsidRPr="00EB0716">
        <w:rPr>
          <w:rFonts w:ascii="Times New Roman" w:hAnsi="Times New Roman" w:cs="Times New Roman"/>
        </w:rPr>
        <w:t xml:space="preserve"> </w:t>
      </w:r>
      <w:hyperlink r:id="rId1" w:history="1">
        <w:r w:rsidRPr="00EB0716">
          <w:rPr>
            <w:rStyle w:val="Hyperlink"/>
            <w:rFonts w:ascii="Times New Roman" w:hAnsi="Times New Roman" w:cs="Times New Roman"/>
          </w:rPr>
          <w:t>http://www.mfcr.cz/cs/verejny-sektor/uzemni-rozpocty/zadluzenost-uzemnich-rozpoctu</w:t>
        </w:r>
      </w:hyperlink>
      <w:r w:rsidRPr="00EB0716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</w:footnote>
  <w:footnote w:id="2">
    <w:p w:rsidR="00DE24A9" w:rsidRPr="00DE24A9" w:rsidRDefault="00DE24A9" w:rsidP="00DE24A9">
      <w:pPr>
        <w:pStyle w:val="FootnoteText"/>
        <w:jc w:val="both"/>
        <w:rPr>
          <w:rFonts w:ascii="Times New Roman" w:hAnsi="Times New Roman" w:cs="Times New Roman"/>
        </w:rPr>
      </w:pPr>
      <w:r w:rsidRPr="00DE24A9">
        <w:rPr>
          <w:rStyle w:val="FootnoteReference"/>
          <w:rFonts w:ascii="Times New Roman" w:hAnsi="Times New Roman" w:cs="Times New Roman"/>
        </w:rPr>
        <w:footnoteRef/>
      </w:r>
      <w:r w:rsidRPr="00DE24A9">
        <w:rPr>
          <w:rFonts w:ascii="Times New Roman" w:hAnsi="Times New Roman" w:cs="Times New Roman"/>
        </w:rPr>
        <w:t xml:space="preserve"> Blíže viz</w:t>
      </w:r>
      <w:r w:rsidR="00E8067F">
        <w:rPr>
          <w:rFonts w:ascii="Times New Roman" w:hAnsi="Times New Roman" w:cs="Times New Roman"/>
        </w:rPr>
        <w:t>te</w:t>
      </w:r>
      <w:r w:rsidRPr="00DE24A9">
        <w:rPr>
          <w:rFonts w:ascii="Times New Roman" w:hAnsi="Times New Roman" w:cs="Times New Roman"/>
        </w:rPr>
        <w:t xml:space="preserve"> </w:t>
      </w:r>
      <w:hyperlink r:id="rId2" w:history="1">
        <w:r w:rsidRPr="00DE24A9">
          <w:rPr>
            <w:rStyle w:val="Hyperlink"/>
            <w:rFonts w:ascii="Times New Roman" w:hAnsi="Times New Roman" w:cs="Times New Roman"/>
          </w:rPr>
          <w:t>http://www.mfcr.cz/cs/verejny-sektor/uzemni-rozpocty/monitoring-hospodareni-obci</w:t>
        </w:r>
      </w:hyperlink>
      <w:r w:rsidRPr="00DE24A9">
        <w:rPr>
          <w:rFonts w:ascii="Times New Roman" w:hAnsi="Times New Roman" w:cs="Times New Roman"/>
        </w:rPr>
        <w:t>.</w:t>
      </w:r>
    </w:p>
  </w:footnote>
  <w:footnote w:id="3">
    <w:p w:rsidR="00DE24A9" w:rsidRPr="00084B3A" w:rsidRDefault="00DE24A9" w:rsidP="00084B3A">
      <w:pPr>
        <w:pStyle w:val="FootnoteText"/>
        <w:jc w:val="both"/>
        <w:rPr>
          <w:rFonts w:ascii="Times New Roman" w:hAnsi="Times New Roman" w:cs="Times New Roman"/>
        </w:rPr>
      </w:pPr>
      <w:r w:rsidRPr="00DE24A9">
        <w:rPr>
          <w:rStyle w:val="FootnoteReference"/>
          <w:rFonts w:ascii="Times New Roman" w:hAnsi="Times New Roman" w:cs="Times New Roman"/>
        </w:rPr>
        <w:footnoteRef/>
      </w:r>
      <w:r w:rsidRPr="00DE24A9">
        <w:rPr>
          <w:rFonts w:ascii="Times New Roman" w:hAnsi="Times New Roman" w:cs="Times New Roman"/>
        </w:rPr>
        <w:t xml:space="preserve"> </w:t>
      </w:r>
      <w:r w:rsidRPr="00084B3A">
        <w:rPr>
          <w:rFonts w:ascii="Times New Roman" w:hAnsi="Times New Roman" w:cs="Times New Roman"/>
        </w:rPr>
        <w:t>Blíže viz</w:t>
      </w:r>
      <w:r w:rsidR="00E8067F">
        <w:rPr>
          <w:rFonts w:ascii="Times New Roman" w:hAnsi="Times New Roman" w:cs="Times New Roman"/>
        </w:rPr>
        <w:t>te</w:t>
      </w:r>
      <w:r w:rsidRPr="00084B3A">
        <w:rPr>
          <w:rFonts w:ascii="Times New Roman" w:hAnsi="Times New Roman" w:cs="Times New Roman"/>
        </w:rPr>
        <w:t xml:space="preserve"> materiály veřejně dostupn</w:t>
      </w:r>
      <w:r w:rsidR="00E8067F">
        <w:rPr>
          <w:rFonts w:ascii="Times New Roman" w:hAnsi="Times New Roman" w:cs="Times New Roman"/>
        </w:rPr>
        <w:t>é</w:t>
      </w:r>
      <w:r w:rsidRPr="00084B3A">
        <w:rPr>
          <w:rFonts w:ascii="Times New Roman" w:hAnsi="Times New Roman" w:cs="Times New Roman"/>
        </w:rPr>
        <w:t xml:space="preserve"> na </w:t>
      </w:r>
      <w:hyperlink r:id="rId3" w:history="1">
        <w:r w:rsidRPr="00084B3A">
          <w:rPr>
            <w:rStyle w:val="Hyperlink"/>
            <w:rFonts w:ascii="Times New Roman" w:hAnsi="Times New Roman" w:cs="Times New Roman"/>
          </w:rPr>
          <w:t>http://www.mvcr.cz/odk2/clanek/odbor-verejne-spravy-dozoru-a-kontroly.aspx?q=Y2hudW09Mw%3d%3d</w:t>
        </w:r>
      </w:hyperlink>
      <w:r w:rsidRPr="00084B3A">
        <w:rPr>
          <w:rStyle w:val="Hyperlink"/>
          <w:rFonts w:ascii="Times New Roman" w:hAnsi="Times New Roman" w:cs="Times New Roman"/>
          <w:u w:val="none"/>
        </w:rPr>
        <w:t>.</w:t>
      </w:r>
    </w:p>
  </w:footnote>
  <w:footnote w:id="4">
    <w:p w:rsidR="00084B3A" w:rsidRPr="00084B3A" w:rsidRDefault="00084B3A" w:rsidP="00084B3A">
      <w:pPr>
        <w:pStyle w:val="FootnoteText"/>
        <w:jc w:val="both"/>
      </w:pPr>
      <w:r w:rsidRPr="00084B3A">
        <w:rPr>
          <w:rStyle w:val="FootnoteReference"/>
          <w:rFonts w:ascii="Times New Roman" w:hAnsi="Times New Roman" w:cs="Times New Roman"/>
        </w:rPr>
        <w:footnoteRef/>
      </w:r>
      <w:r w:rsidRPr="00084B3A">
        <w:rPr>
          <w:rFonts w:ascii="Times New Roman" w:hAnsi="Times New Roman" w:cs="Times New Roman"/>
        </w:rPr>
        <w:t xml:space="preserve"> Blíže viz</w:t>
      </w:r>
      <w:r w:rsidR="00E8067F">
        <w:rPr>
          <w:rFonts w:ascii="Times New Roman" w:hAnsi="Times New Roman" w:cs="Times New Roman"/>
        </w:rPr>
        <w:t>te</w:t>
      </w:r>
      <w:r w:rsidRPr="00084B3A">
        <w:rPr>
          <w:rFonts w:ascii="Times New Roman" w:hAnsi="Times New Roman" w:cs="Times New Roman"/>
        </w:rPr>
        <w:t xml:space="preserve"> materiál </w:t>
      </w:r>
      <w:r w:rsidRPr="00084B3A">
        <w:rPr>
          <w:rFonts w:ascii="Times New Roman" w:hAnsi="Times New Roman" w:cs="Times New Roman"/>
          <w:bCs/>
        </w:rPr>
        <w:t>Analýza vzdělávacích potřeb v oblasti finančního řízení na úrovni obecních samospráv veřejně dostupný na </w:t>
      </w:r>
      <w:hyperlink r:id="rId4" w:history="1">
        <w:r w:rsidRPr="00084B3A">
          <w:rPr>
            <w:rStyle w:val="Hyperlink"/>
            <w:rFonts w:ascii="Times New Roman" w:hAnsi="Times New Roman" w:cs="Times New Roman"/>
          </w:rPr>
          <w:t>http://www.mvcr.cz/clanek/verejna-sprava-publikace.aspx</w:t>
        </w:r>
      </w:hyperlink>
      <w:r w:rsidRPr="00084B3A">
        <w:rPr>
          <w:rStyle w:val="Hyperlink"/>
          <w:rFonts w:ascii="Times New Roman" w:hAnsi="Times New Roman" w:cs="Times New Roman"/>
          <w:bCs/>
          <w:u w:val="none"/>
        </w:rPr>
        <w:t>.</w:t>
      </w:r>
    </w:p>
  </w:footnote>
  <w:footnote w:id="5">
    <w:p w:rsidR="00277ED9" w:rsidRPr="007A219F" w:rsidRDefault="00277ED9" w:rsidP="007A219F">
      <w:pPr>
        <w:pStyle w:val="FootnoteText"/>
        <w:jc w:val="both"/>
        <w:rPr>
          <w:rFonts w:ascii="Times New Roman" w:hAnsi="Times New Roman" w:cs="Times New Roman"/>
        </w:rPr>
      </w:pPr>
      <w:r w:rsidRPr="007A219F">
        <w:rPr>
          <w:rStyle w:val="FootnoteReference"/>
          <w:rFonts w:ascii="Times New Roman" w:hAnsi="Times New Roman" w:cs="Times New Roman"/>
        </w:rPr>
        <w:footnoteRef/>
      </w:r>
      <w:r w:rsidRPr="007A219F">
        <w:rPr>
          <w:rFonts w:ascii="Times New Roman" w:hAnsi="Times New Roman" w:cs="Times New Roman"/>
        </w:rPr>
        <w:t xml:space="preserve"> Blíže viz</w:t>
      </w:r>
      <w:r w:rsidR="00C516C7">
        <w:rPr>
          <w:rFonts w:ascii="Times New Roman" w:hAnsi="Times New Roman" w:cs="Times New Roman"/>
        </w:rPr>
        <w:t>te</w:t>
      </w:r>
      <w:r w:rsidRPr="007A219F">
        <w:rPr>
          <w:rFonts w:ascii="Times New Roman" w:hAnsi="Times New Roman" w:cs="Times New Roman"/>
        </w:rPr>
        <w:t xml:space="preserve"> údaje na </w:t>
      </w:r>
      <w:hyperlink r:id="rId5" w:history="1">
        <w:r w:rsidRPr="007A219F">
          <w:rPr>
            <w:rStyle w:val="Hyperlink"/>
            <w:rFonts w:ascii="Times New Roman" w:hAnsi="Times New Roman" w:cs="Times New Roman"/>
          </w:rPr>
          <w:t>http://www.smocr.cz/cz/nase-projekty/ukoncene-projekty/vzdelany-zastupitel/default.aspx</w:t>
        </w:r>
      </w:hyperlink>
      <w:r w:rsidRPr="007A219F">
        <w:rPr>
          <w:rStyle w:val="Hyperlink"/>
          <w:rFonts w:ascii="Times New Roman" w:hAnsi="Times New Roman" w:cs="Times New Roman"/>
        </w:rPr>
        <w:t>.</w:t>
      </w:r>
      <w:r w:rsidRPr="007A219F">
        <w:rPr>
          <w:rFonts w:ascii="Times New Roman" w:hAnsi="Times New Roman" w:cs="Times New Roman"/>
        </w:rPr>
        <w:t xml:space="preserve">   </w:t>
      </w:r>
    </w:p>
  </w:footnote>
  <w:footnote w:id="6">
    <w:p w:rsidR="00B64571" w:rsidRPr="006451B2" w:rsidRDefault="00B64571" w:rsidP="00B64571">
      <w:pPr>
        <w:pStyle w:val="FootnoteText"/>
        <w:jc w:val="both"/>
        <w:rPr>
          <w:rFonts w:ascii="Times New Roman" w:hAnsi="Times New Roman"/>
        </w:rPr>
      </w:pPr>
      <w:r w:rsidRPr="006451B2">
        <w:rPr>
          <w:rStyle w:val="FootnoteReference"/>
          <w:rFonts w:ascii="Times New Roman" w:hAnsi="Times New Roman"/>
        </w:rPr>
        <w:footnoteRef/>
      </w:r>
      <w:r w:rsidRPr="006451B2">
        <w:rPr>
          <w:rFonts w:ascii="Times New Roman" w:hAnsi="Times New Roman"/>
        </w:rPr>
        <w:t xml:space="preserve"> Naplňovalo by totiž</w:t>
      </w:r>
      <w:r>
        <w:rPr>
          <w:rFonts w:ascii="Times New Roman" w:hAnsi="Times New Roman"/>
        </w:rPr>
        <w:t xml:space="preserve"> její</w:t>
      </w:r>
      <w:r w:rsidRPr="006451B2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>vní charakteristiku</w:t>
      </w:r>
      <w:r w:rsidRPr="006451B2">
        <w:rPr>
          <w:rFonts w:ascii="Times New Roman" w:hAnsi="Times New Roman"/>
        </w:rPr>
        <w:t>, neboť by se jednalo o mechanismus vyrovnání dluhů dlužníka</w:t>
      </w:r>
      <w:r>
        <w:rPr>
          <w:rFonts w:ascii="Times New Roman" w:hAnsi="Times New Roman"/>
        </w:rPr>
        <w:t xml:space="preserve"> (obce)</w:t>
      </w:r>
      <w:r w:rsidR="00022388">
        <w:rPr>
          <w:rFonts w:ascii="Times New Roman" w:hAnsi="Times New Roman"/>
        </w:rPr>
        <w:t xml:space="preserve"> v dohodě s jejími</w:t>
      </w:r>
      <w:r w:rsidRPr="006451B2">
        <w:rPr>
          <w:rFonts w:ascii="Times New Roman" w:hAnsi="Times New Roman"/>
        </w:rPr>
        <w:t xml:space="preserve"> věřiteli pod ochrannou insolvenčního 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B0" w:rsidRDefault="000E6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B0" w:rsidRDefault="000E6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B0" w:rsidRDefault="000E6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A1F"/>
    <w:multiLevelType w:val="hybridMultilevel"/>
    <w:tmpl w:val="0D364A9A"/>
    <w:lvl w:ilvl="0" w:tplc="80547FE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816C6D"/>
    <w:multiLevelType w:val="multilevel"/>
    <w:tmpl w:val="B20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9098B"/>
    <w:multiLevelType w:val="multilevel"/>
    <w:tmpl w:val="78D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F"/>
    <w:rsid w:val="00022388"/>
    <w:rsid w:val="000306A8"/>
    <w:rsid w:val="00042BB0"/>
    <w:rsid w:val="00053D40"/>
    <w:rsid w:val="00060337"/>
    <w:rsid w:val="00082FAC"/>
    <w:rsid w:val="00084B3A"/>
    <w:rsid w:val="000B2092"/>
    <w:rsid w:val="000B79C3"/>
    <w:rsid w:val="000C17BF"/>
    <w:rsid w:val="000E62B0"/>
    <w:rsid w:val="000F2AE5"/>
    <w:rsid w:val="000F6729"/>
    <w:rsid w:val="0014031D"/>
    <w:rsid w:val="00155F0F"/>
    <w:rsid w:val="0016499A"/>
    <w:rsid w:val="00165EFE"/>
    <w:rsid w:val="001C5B3E"/>
    <w:rsid w:val="001C74F9"/>
    <w:rsid w:val="001D2A81"/>
    <w:rsid w:val="001D3ADF"/>
    <w:rsid w:val="001E168B"/>
    <w:rsid w:val="00244567"/>
    <w:rsid w:val="00245378"/>
    <w:rsid w:val="0024724C"/>
    <w:rsid w:val="002505CB"/>
    <w:rsid w:val="002510D9"/>
    <w:rsid w:val="002769CA"/>
    <w:rsid w:val="00277ED9"/>
    <w:rsid w:val="00294028"/>
    <w:rsid w:val="002D2EBC"/>
    <w:rsid w:val="002E5AD6"/>
    <w:rsid w:val="002F38CB"/>
    <w:rsid w:val="00320849"/>
    <w:rsid w:val="00351DDC"/>
    <w:rsid w:val="00385B0B"/>
    <w:rsid w:val="0038794D"/>
    <w:rsid w:val="003B7BBA"/>
    <w:rsid w:val="003E29C2"/>
    <w:rsid w:val="003E6E5D"/>
    <w:rsid w:val="003F7B2D"/>
    <w:rsid w:val="00427829"/>
    <w:rsid w:val="00433AB2"/>
    <w:rsid w:val="00452C15"/>
    <w:rsid w:val="00462EA4"/>
    <w:rsid w:val="00470CC4"/>
    <w:rsid w:val="004B1C45"/>
    <w:rsid w:val="004B3C1D"/>
    <w:rsid w:val="004B731A"/>
    <w:rsid w:val="004C07F9"/>
    <w:rsid w:val="004D135E"/>
    <w:rsid w:val="004E3149"/>
    <w:rsid w:val="00506EFE"/>
    <w:rsid w:val="00527F5F"/>
    <w:rsid w:val="00531950"/>
    <w:rsid w:val="005325B0"/>
    <w:rsid w:val="005558EC"/>
    <w:rsid w:val="00623B9E"/>
    <w:rsid w:val="00673D3D"/>
    <w:rsid w:val="006A3442"/>
    <w:rsid w:val="006B0A7E"/>
    <w:rsid w:val="006B46D1"/>
    <w:rsid w:val="006D6D6B"/>
    <w:rsid w:val="00730624"/>
    <w:rsid w:val="007A219F"/>
    <w:rsid w:val="007A5831"/>
    <w:rsid w:val="007F13D8"/>
    <w:rsid w:val="00861603"/>
    <w:rsid w:val="008E1EF8"/>
    <w:rsid w:val="009059BC"/>
    <w:rsid w:val="009145B0"/>
    <w:rsid w:val="009169CB"/>
    <w:rsid w:val="009B5AAD"/>
    <w:rsid w:val="009C57EB"/>
    <w:rsid w:val="00A069CD"/>
    <w:rsid w:val="00A12641"/>
    <w:rsid w:val="00A20444"/>
    <w:rsid w:val="00A31B18"/>
    <w:rsid w:val="00A454ED"/>
    <w:rsid w:val="00A5160C"/>
    <w:rsid w:val="00A54ACD"/>
    <w:rsid w:val="00A721F7"/>
    <w:rsid w:val="00AA0659"/>
    <w:rsid w:val="00AA510B"/>
    <w:rsid w:val="00AB7FC9"/>
    <w:rsid w:val="00AD5300"/>
    <w:rsid w:val="00AE3909"/>
    <w:rsid w:val="00AF5540"/>
    <w:rsid w:val="00B015D1"/>
    <w:rsid w:val="00B040BB"/>
    <w:rsid w:val="00B36F7C"/>
    <w:rsid w:val="00B37404"/>
    <w:rsid w:val="00B4538F"/>
    <w:rsid w:val="00B5576C"/>
    <w:rsid w:val="00B56948"/>
    <w:rsid w:val="00B64571"/>
    <w:rsid w:val="00B65455"/>
    <w:rsid w:val="00B77618"/>
    <w:rsid w:val="00BC3444"/>
    <w:rsid w:val="00BD2758"/>
    <w:rsid w:val="00BE7444"/>
    <w:rsid w:val="00C13A52"/>
    <w:rsid w:val="00C47301"/>
    <w:rsid w:val="00C516C7"/>
    <w:rsid w:val="00C66E47"/>
    <w:rsid w:val="00CA33CD"/>
    <w:rsid w:val="00CA4390"/>
    <w:rsid w:val="00CB08A1"/>
    <w:rsid w:val="00CB0BDF"/>
    <w:rsid w:val="00CB1202"/>
    <w:rsid w:val="00CC2E07"/>
    <w:rsid w:val="00CD1F93"/>
    <w:rsid w:val="00CD4023"/>
    <w:rsid w:val="00CE2AC9"/>
    <w:rsid w:val="00CF4489"/>
    <w:rsid w:val="00D23674"/>
    <w:rsid w:val="00D85F85"/>
    <w:rsid w:val="00D86943"/>
    <w:rsid w:val="00D970F7"/>
    <w:rsid w:val="00DC3E40"/>
    <w:rsid w:val="00DE24A9"/>
    <w:rsid w:val="00E30656"/>
    <w:rsid w:val="00E60E7F"/>
    <w:rsid w:val="00E74350"/>
    <w:rsid w:val="00E8067F"/>
    <w:rsid w:val="00E83FEB"/>
    <w:rsid w:val="00E95CCF"/>
    <w:rsid w:val="00EB0716"/>
    <w:rsid w:val="00ED0F37"/>
    <w:rsid w:val="00EE3457"/>
    <w:rsid w:val="00F11AE8"/>
    <w:rsid w:val="00F20AA1"/>
    <w:rsid w:val="00F227A2"/>
    <w:rsid w:val="00F700A4"/>
    <w:rsid w:val="00F851EB"/>
    <w:rsid w:val="00F91690"/>
    <w:rsid w:val="00FA6D75"/>
    <w:rsid w:val="00FB5624"/>
    <w:rsid w:val="00FC4B2F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2510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dopisu">
    <w:name w:val="Text dopisu"/>
    <w:basedOn w:val="Normal"/>
    <w:rsid w:val="0016499A"/>
    <w:pPr>
      <w:overflowPunct w:val="0"/>
      <w:autoSpaceDE w:val="0"/>
      <w:autoSpaceDN w:val="0"/>
      <w:adjustRightInd w:val="0"/>
      <w:ind w:firstLine="544"/>
      <w:jc w:val="both"/>
    </w:pPr>
    <w:rPr>
      <w:szCs w:val="20"/>
    </w:rPr>
  </w:style>
  <w:style w:type="character" w:customStyle="1" w:styleId="bold">
    <w:name w:val="bold"/>
    <w:rsid w:val="0016499A"/>
  </w:style>
  <w:style w:type="paragraph" w:styleId="Header">
    <w:name w:val="header"/>
    <w:basedOn w:val="Normal"/>
    <w:link w:val="HeaderChar"/>
    <w:uiPriority w:val="99"/>
    <w:unhideWhenUsed/>
    <w:rsid w:val="002510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0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510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0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2510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unhideWhenUsed/>
    <w:rsid w:val="002510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510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510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0D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10D9"/>
    <w:rPr>
      <w:color w:val="093D93"/>
      <w:u w:val="single"/>
    </w:rPr>
  </w:style>
  <w:style w:type="paragraph" w:customStyle="1" w:styleId="Default">
    <w:name w:val="Default"/>
    <w:rsid w:val="002510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0337"/>
    <w:rPr>
      <w:color w:val="800080" w:themeColor="followedHyperlink"/>
      <w:u w:val="single"/>
    </w:rPr>
  </w:style>
  <w:style w:type="character" w:styleId="FootnoteReference">
    <w:name w:val="footnote reference"/>
    <w:uiPriority w:val="99"/>
    <w:semiHidden/>
    <w:unhideWhenUsed/>
    <w:rsid w:val="00B64571"/>
    <w:rPr>
      <w:vertAlign w:val="superscript"/>
    </w:rPr>
  </w:style>
  <w:style w:type="paragraph" w:styleId="IntenseQuote">
    <w:name w:val="Intense Quote"/>
    <w:aliases w:val="Nadpis x"/>
    <w:basedOn w:val="Normal"/>
    <w:next w:val="Normal"/>
    <w:link w:val="IntenseQuoteChar"/>
    <w:uiPriority w:val="30"/>
    <w:qFormat/>
    <w:rsid w:val="00470CC4"/>
    <w:pPr>
      <w:spacing w:before="120" w:after="60"/>
      <w:jc w:val="both"/>
    </w:pPr>
    <w:rPr>
      <w:rFonts w:ascii="Constantia" w:eastAsia="Calibri" w:hAnsi="Constantia"/>
      <w:b/>
      <w:bCs/>
      <w:i/>
      <w:iCs/>
      <w:color w:val="31849B"/>
      <w:szCs w:val="22"/>
      <w:lang w:eastAsia="en-US"/>
    </w:rPr>
  </w:style>
  <w:style w:type="character" w:customStyle="1" w:styleId="IntenseQuoteChar">
    <w:name w:val="Intense Quote Char"/>
    <w:aliases w:val="Nadpis x Char"/>
    <w:basedOn w:val="DefaultParagraphFont"/>
    <w:link w:val="IntenseQuote"/>
    <w:uiPriority w:val="30"/>
    <w:rsid w:val="00470CC4"/>
    <w:rPr>
      <w:rFonts w:ascii="Constantia" w:eastAsia="Calibri" w:hAnsi="Constantia" w:cs="Times New Roman"/>
      <w:b/>
      <w:bCs/>
      <w:i/>
      <w:iCs/>
      <w:color w:val="31849B"/>
      <w:sz w:val="24"/>
    </w:rPr>
  </w:style>
  <w:style w:type="paragraph" w:styleId="ListParagraph">
    <w:name w:val="List Paragraph"/>
    <w:basedOn w:val="Normal"/>
    <w:uiPriority w:val="34"/>
    <w:qFormat/>
    <w:rsid w:val="00CD1F9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.cz/cs/legislativa/legislativni-dokumenty/2008/usneseni-vlady-cr-c-13952008-933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zdelanyzastupitel.cz/prirucka/prirucka-pro-clena-zastupitelstva-obce-1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zdelanyzastupitel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cr.cz/cs/legislativa/legislativni-dokumenty/2012/usneseni-vlady-cr-c-7222012-93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r.cz/cs/legislativa/legislativni-dokumenty/2010/usneseni-vlady-cr-c-6952010-9356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vcr.cz/odk2/clanek/odbor-verejne-spravy-dozoru-a-kontroly.aspx?q=Y2hudW09Mw%3d%3d" TargetMode="External"/><Relationship Id="rId2" Type="http://schemas.openxmlformats.org/officeDocument/2006/relationships/hyperlink" Target="http://www.mfcr.cz/cs/verejny-sektor/uzemni-rozpocty/monitoring-hospodareni-obci" TargetMode="External"/><Relationship Id="rId1" Type="http://schemas.openxmlformats.org/officeDocument/2006/relationships/hyperlink" Target="http://www.mfcr.cz/cs/verejny-sektor/uzemni-rozpocty/zadluzenost-uzemnich-rozpoctu" TargetMode="External"/><Relationship Id="rId5" Type="http://schemas.openxmlformats.org/officeDocument/2006/relationships/hyperlink" Target="http://www.smocr.cz/cz/nase-projekty/ukoncene-projekty/vzdelany-zastupitel/default.aspx" TargetMode="External"/><Relationship Id="rId4" Type="http://schemas.openxmlformats.org/officeDocument/2006/relationships/hyperlink" Target="http://www.mvcr.cz/clanek/verejna-sprava-publikace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70A0-290B-4D37-B3F5-3480CCDB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3376</Words>
  <Characters>19925</Characters>
  <Application>Microsoft Office Word</Application>
  <DocSecurity>0</DocSecurity>
  <Lines>166</Lines>
  <Paragraphs>46</Paragraphs>
  <ScaleCrop>false</ScaleCrop>
  <Company/>
  <LinksUpToDate>false</LinksUpToDate>
  <CharactersWithSpaces>23255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2017-01-17T16:38:00Z</dcterms:created>
  <dcterms:modified xsi:type="dcterms:W3CDTF">2017-01-17T16:38:00Z</dcterms:modified>
</cp:coreProperties>
</file>