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18" w:rsidRDefault="00B54E18" w:rsidP="00104B7E">
      <w:pPr>
        <w:rPr>
          <w:rFonts w:cs="Times New Roman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280pt;height:152.9pt;z-index:251658240;visibility:visible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104B7E">
      <w:pPr>
        <w:rPr>
          <w:rFonts w:cs="Times New Roman"/>
        </w:rPr>
      </w:pPr>
    </w:p>
    <w:p w:rsidR="00B54E18" w:rsidRDefault="00B54E18" w:rsidP="00D37C6A">
      <w:pPr>
        <w:jc w:val="center"/>
        <w:rPr>
          <w:rFonts w:cs="Times New Roman"/>
          <w:b/>
          <w:bCs/>
          <w:sz w:val="32"/>
          <w:szCs w:val="32"/>
        </w:rPr>
      </w:pPr>
    </w:p>
    <w:p w:rsidR="00B54E18" w:rsidRDefault="00B54E18" w:rsidP="00D37C6A">
      <w:pPr>
        <w:jc w:val="center"/>
        <w:rPr>
          <w:rFonts w:cs="Times New Roman"/>
          <w:b/>
          <w:bCs/>
          <w:sz w:val="32"/>
          <w:szCs w:val="32"/>
        </w:rPr>
      </w:pPr>
    </w:p>
    <w:p w:rsidR="00B54E18" w:rsidRPr="00C865E9" w:rsidRDefault="00B54E18" w:rsidP="00D37C6A">
      <w:pPr>
        <w:jc w:val="center"/>
        <w:rPr>
          <w:b/>
          <w:bCs/>
          <w:sz w:val="40"/>
          <w:szCs w:val="40"/>
        </w:rPr>
      </w:pPr>
      <w:r w:rsidRPr="00C865E9">
        <w:rPr>
          <w:b/>
          <w:bCs/>
          <w:sz w:val="40"/>
          <w:szCs w:val="40"/>
        </w:rPr>
        <w:t xml:space="preserve">Stanovisko Unie obhájců ČR č. </w:t>
      </w:r>
      <w:r>
        <w:rPr>
          <w:b/>
          <w:bCs/>
          <w:sz w:val="40"/>
          <w:szCs w:val="40"/>
        </w:rPr>
        <w:t>3</w:t>
      </w:r>
      <w:r w:rsidRPr="00C865E9">
        <w:rPr>
          <w:b/>
          <w:bCs/>
          <w:sz w:val="40"/>
          <w:szCs w:val="40"/>
        </w:rPr>
        <w:t>/2016</w:t>
      </w:r>
    </w:p>
    <w:p w:rsidR="00B54E18" w:rsidRPr="00C865E9" w:rsidRDefault="00B54E18" w:rsidP="00D37C6A">
      <w:pPr>
        <w:jc w:val="center"/>
        <w:rPr>
          <w:b/>
          <w:bCs/>
          <w:sz w:val="32"/>
          <w:szCs w:val="32"/>
        </w:rPr>
      </w:pPr>
      <w:r w:rsidRPr="00C865E9">
        <w:rPr>
          <w:b/>
          <w:bCs/>
          <w:sz w:val="32"/>
          <w:szCs w:val="32"/>
        </w:rPr>
        <w:t>k nálezu Ústavního soudu Pl. ÚS 4/14 ze dne 19. 4. 2016</w:t>
      </w:r>
    </w:p>
    <w:p w:rsidR="00B54E18" w:rsidRPr="00D37C6A" w:rsidRDefault="00B54E18" w:rsidP="00D37C6A">
      <w:pPr>
        <w:jc w:val="both"/>
        <w:rPr>
          <w:rFonts w:cs="Times New Roman"/>
          <w:sz w:val="32"/>
          <w:szCs w:val="32"/>
        </w:rPr>
      </w:pPr>
    </w:p>
    <w:p w:rsidR="00B54E18" w:rsidRDefault="00B54E18" w:rsidP="00D37C6A">
      <w:pPr>
        <w:rPr>
          <w:rFonts w:cs="Times New Roman"/>
        </w:rPr>
      </w:pPr>
    </w:p>
    <w:p w:rsidR="00B54E18" w:rsidRDefault="00B54E18" w:rsidP="00D37C6A">
      <w:pPr>
        <w:rPr>
          <w:rFonts w:cs="Times New Roman"/>
        </w:rPr>
      </w:pPr>
    </w:p>
    <w:p w:rsidR="00B54E18" w:rsidRPr="007F50E5" w:rsidRDefault="00B54E18" w:rsidP="00D37C6A">
      <w:pPr>
        <w:jc w:val="both"/>
        <w:rPr>
          <w:sz w:val="24"/>
          <w:szCs w:val="24"/>
        </w:rPr>
      </w:pPr>
      <w:r w:rsidRPr="007F50E5">
        <w:rPr>
          <w:sz w:val="24"/>
          <w:szCs w:val="24"/>
        </w:rPr>
        <w:t xml:space="preserve">Skupina poslanců Poslanecké sněmovny Parlamentu České republiky podala k Ústavnímu soudu návrh na zrušení § 15 odst. 3 věta druhá, odst. 5 vyhlášky Ministerstva spravedlnosti č. 23/1994 Sb., o jednacím řádu státního zastupitelství, zřízení poboček některých státních zastupitelství a podrobnostech o úkonech prováděných právními čekateli. Ústavní soud dne 19. 4. 2016 nálezem </w:t>
      </w:r>
      <w:r>
        <w:rPr>
          <w:sz w:val="24"/>
          <w:szCs w:val="24"/>
        </w:rPr>
        <w:t xml:space="preserve">pléna sp. zn. </w:t>
      </w:r>
      <w:r w:rsidRPr="007F50E5">
        <w:rPr>
          <w:sz w:val="24"/>
          <w:szCs w:val="24"/>
        </w:rPr>
        <w:t xml:space="preserve">Pl. ÚS 4/14 návrh zamítl. </w:t>
      </w:r>
    </w:p>
    <w:p w:rsidR="00B54E18" w:rsidRPr="007F50E5" w:rsidRDefault="00B54E18" w:rsidP="00D37C6A">
      <w:pPr>
        <w:jc w:val="both"/>
        <w:rPr>
          <w:sz w:val="24"/>
          <w:szCs w:val="24"/>
        </w:rPr>
      </w:pPr>
    </w:p>
    <w:p w:rsidR="00B54E18" w:rsidRPr="00826C26" w:rsidRDefault="00B54E18" w:rsidP="00D37C6A">
      <w:pPr>
        <w:jc w:val="both"/>
        <w:rPr>
          <w:sz w:val="24"/>
          <w:szCs w:val="24"/>
        </w:rPr>
      </w:pPr>
      <w:r w:rsidRPr="00826C26">
        <w:rPr>
          <w:sz w:val="24"/>
          <w:szCs w:val="24"/>
        </w:rPr>
        <w:t xml:space="preserve">Ústavní soud </w:t>
      </w:r>
      <w:r>
        <w:rPr>
          <w:sz w:val="24"/>
          <w:szCs w:val="24"/>
        </w:rPr>
        <w:t xml:space="preserve">v </w:t>
      </w:r>
      <w:r w:rsidRPr="00826C26">
        <w:rPr>
          <w:sz w:val="24"/>
          <w:szCs w:val="24"/>
        </w:rPr>
        <w:t xml:space="preserve">odůvodnění nálezu (odstavec 116 nálezu) uvedl, že výklad § 26 trestního řádu, podle kterého by bylo ponecháno na úvaze státnímu zástupci krajského nebo vrchního státního zastupitelství, ke kterému z okresních soudů v jeho obvodu podá v přípravném řízení návrh na zajišťovací úkon podle Hlavy čtvrté trestního řádu (návrh na vzetí obviněného do vazby, návrh na vydání příkazu k domovní prohlídce nebo prohlídce jiných prostor nebo návrh na vydání příkazu k odposlechu a záznamu telekomunikačního provozu) či žádost o povolení sledování osob a věcí, je neústavní pro rozpor s čl. 38 odst. 1 Listiny základních práv a svobod. </w:t>
      </w:r>
    </w:p>
    <w:p w:rsidR="00B54E18" w:rsidRPr="00826C26" w:rsidRDefault="00B54E18" w:rsidP="00D37C6A">
      <w:pPr>
        <w:jc w:val="both"/>
        <w:rPr>
          <w:sz w:val="24"/>
          <w:szCs w:val="24"/>
        </w:rPr>
      </w:pPr>
    </w:p>
    <w:p w:rsidR="00B54E18" w:rsidRPr="00826C26" w:rsidRDefault="00B54E18" w:rsidP="00D37C6A">
      <w:pPr>
        <w:jc w:val="both"/>
        <w:rPr>
          <w:sz w:val="24"/>
          <w:szCs w:val="24"/>
        </w:rPr>
      </w:pPr>
      <w:r w:rsidRPr="00826C26">
        <w:rPr>
          <w:sz w:val="24"/>
          <w:szCs w:val="24"/>
        </w:rPr>
        <w:t>Ústavní soud provedl ústavně konformní výklad § 26 trestního řádu tak, že pokud příslušný návrh k</w:t>
      </w:r>
      <w:r>
        <w:rPr>
          <w:rFonts w:cs="Times New Roman"/>
          <w:sz w:val="24"/>
          <w:szCs w:val="24"/>
        </w:rPr>
        <w:t> </w:t>
      </w:r>
      <w:r w:rsidRPr="00826C26">
        <w:rPr>
          <w:sz w:val="24"/>
          <w:szCs w:val="24"/>
        </w:rPr>
        <w:t>soudu v přípravném řízení podává státní zástupce krajského nebo vrchního státního zastupitelství, je třeba aplikovat obecnou úpravu místní příslušnosti soudů podle trestního řádu, tedy místní příslušnost okresního soudu určit podle kritérií uvedených v § 18 trestního řádu (odstavec 117 nálezu).</w:t>
      </w:r>
    </w:p>
    <w:p w:rsidR="00B54E18" w:rsidRPr="007F50E5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7F50E5" w:rsidRDefault="00B54E18" w:rsidP="00D37C6A">
      <w:pPr>
        <w:jc w:val="both"/>
        <w:rPr>
          <w:sz w:val="24"/>
          <w:szCs w:val="24"/>
        </w:rPr>
      </w:pPr>
      <w:r w:rsidRPr="007F50E5">
        <w:rPr>
          <w:sz w:val="24"/>
          <w:szCs w:val="24"/>
        </w:rPr>
        <w:t>Nadále tak nebude možná dosavadní praxe, kdy si státní zástupce krajského nebo vrchního státního zastupitelství libovolně zvolil kterýkoli okresní soud v obvodu působnosti svého státního zastupitelství a k němu podal v přípravném řízení návrh. Nově tak bude státní zástupce krajského nebo vrchního státního zastupitelství povinen podat příslušný návrh místně příslušnému okresnímu soudu určenému podle § 18 trestního řádu, tedy zejména podle místa spáchání trestného činu.</w:t>
      </w:r>
    </w:p>
    <w:p w:rsidR="00B54E18" w:rsidRPr="007F50E5" w:rsidRDefault="00B54E18" w:rsidP="00D37C6A">
      <w:pPr>
        <w:jc w:val="both"/>
        <w:rPr>
          <w:sz w:val="24"/>
          <w:szCs w:val="24"/>
        </w:rPr>
      </w:pPr>
    </w:p>
    <w:p w:rsidR="00B54E18" w:rsidRPr="007F50E5" w:rsidRDefault="00B54E18" w:rsidP="00D37C6A">
      <w:pPr>
        <w:jc w:val="both"/>
        <w:rPr>
          <w:sz w:val="24"/>
          <w:szCs w:val="24"/>
        </w:rPr>
      </w:pPr>
      <w:r w:rsidRPr="007F50E5">
        <w:rPr>
          <w:sz w:val="24"/>
          <w:szCs w:val="24"/>
        </w:rPr>
        <w:t>Unie obhájců ČR respektuje nález Ústavního soudu Pl. ÚS 4/14, byť nesouhlasí se zamítnutím předmětného návrhu skupiny poslanců. Unie obhájců ČR považuje nález v otázce určování příslušnosti orgánů v přípravném řízení trestním za první krok. Unie obhájců ČR vítá, že Ústavní soud podal závazný výklad určení místní příslušnosti pro podávání příslušných návrhů státními zástupci krajských nebo vrchních státních zastupitelství k okresním soudům v přípravném řízení, a domnívá se, že návrh zákona o státním zastupitelství by měl tento nález reflektovat. Unie obhájců ČR dále vnímá i to, že Ústavní soud vyslovil, že nezávislost státního zástupce v trestním řízení není srovnatelná s nezávislostí soudce.</w:t>
      </w:r>
    </w:p>
    <w:p w:rsidR="00B54E18" w:rsidRPr="007F50E5" w:rsidRDefault="00B54E18" w:rsidP="00D37C6A">
      <w:pPr>
        <w:jc w:val="both"/>
        <w:rPr>
          <w:sz w:val="24"/>
          <w:szCs w:val="24"/>
        </w:rPr>
      </w:pP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  <w:r w:rsidRPr="007F50E5">
        <w:rPr>
          <w:sz w:val="24"/>
          <w:szCs w:val="24"/>
        </w:rPr>
        <w:t xml:space="preserve">Unie obhájců ČR </w:t>
      </w:r>
      <w:r>
        <w:rPr>
          <w:sz w:val="24"/>
          <w:szCs w:val="24"/>
        </w:rPr>
        <w:t xml:space="preserve">vnímá </w:t>
      </w:r>
      <w:r w:rsidRPr="007F50E5">
        <w:rPr>
          <w:sz w:val="24"/>
          <w:szCs w:val="24"/>
        </w:rPr>
        <w:t>jako zásadní d</w:t>
      </w:r>
      <w:r>
        <w:rPr>
          <w:sz w:val="24"/>
          <w:szCs w:val="24"/>
        </w:rPr>
        <w:t xml:space="preserve">opady </w:t>
      </w:r>
      <w:r w:rsidRPr="007F50E5">
        <w:rPr>
          <w:sz w:val="24"/>
          <w:szCs w:val="24"/>
        </w:rPr>
        <w:t xml:space="preserve">nálezu </w:t>
      </w:r>
      <w:r>
        <w:rPr>
          <w:sz w:val="24"/>
          <w:szCs w:val="24"/>
        </w:rPr>
        <w:t xml:space="preserve">v </w:t>
      </w:r>
      <w:r w:rsidRPr="007F50E5">
        <w:rPr>
          <w:sz w:val="24"/>
          <w:szCs w:val="24"/>
        </w:rPr>
        <w:t xml:space="preserve">dosud neskončených trestních </w:t>
      </w:r>
      <w:r>
        <w:rPr>
          <w:sz w:val="24"/>
          <w:szCs w:val="24"/>
        </w:rPr>
        <w:t xml:space="preserve">řízeních, konkrétně </w:t>
      </w:r>
      <w:r w:rsidRPr="007F50E5">
        <w:rPr>
          <w:sz w:val="24"/>
          <w:szCs w:val="24"/>
        </w:rPr>
        <w:t>v otázce použitelnosti důkazů, pokud při jejich opatřování došlo k porušení zákona. Pravděpodobně nebude sporu, že na pravomocně skončené věci nález nedopadá (odstavec 120 nálezu). Není ani sporu o tom, že se nález plně aplikuje na návrhy státních zástupců podávané po 2. 5. 2016 (datum vyhlášení nálezu</w:t>
      </w:r>
      <w:r>
        <w:rPr>
          <w:sz w:val="24"/>
          <w:szCs w:val="24"/>
        </w:rPr>
        <w:t>)</w:t>
      </w:r>
      <w:r w:rsidRPr="007F50E5">
        <w:rPr>
          <w:sz w:val="24"/>
          <w:szCs w:val="24"/>
        </w:rPr>
        <w:t xml:space="preserve">. </w:t>
      </w: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7F50E5" w:rsidRDefault="00B54E18" w:rsidP="00D37C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Spory nepochybně vzniknou při posouzení dopadu nálezu v dosud neskončených trestních řízeních. </w:t>
      </w:r>
      <w:r w:rsidRPr="007F50E5">
        <w:rPr>
          <w:sz w:val="24"/>
          <w:szCs w:val="24"/>
        </w:rPr>
        <w:t xml:space="preserve">Unie obhájců ČR zastává názor, že </w:t>
      </w:r>
      <w:r>
        <w:rPr>
          <w:sz w:val="24"/>
          <w:szCs w:val="24"/>
        </w:rPr>
        <w:t xml:space="preserve">právní závěry </w:t>
      </w:r>
      <w:r w:rsidRPr="007F50E5">
        <w:rPr>
          <w:b/>
          <w:bCs/>
          <w:sz w:val="24"/>
          <w:szCs w:val="24"/>
        </w:rPr>
        <w:t>nález</w:t>
      </w:r>
      <w:r>
        <w:rPr>
          <w:b/>
          <w:bCs/>
          <w:sz w:val="24"/>
          <w:szCs w:val="24"/>
        </w:rPr>
        <w:t>u</w:t>
      </w:r>
      <w:r w:rsidRPr="007F50E5">
        <w:rPr>
          <w:b/>
          <w:bCs/>
          <w:sz w:val="24"/>
          <w:szCs w:val="24"/>
        </w:rPr>
        <w:t xml:space="preserve"> musí být aplikován</w:t>
      </w:r>
      <w:r>
        <w:rPr>
          <w:b/>
          <w:bCs/>
          <w:sz w:val="24"/>
          <w:szCs w:val="24"/>
        </w:rPr>
        <w:t>y</w:t>
      </w:r>
      <w:r w:rsidRPr="007F50E5">
        <w:rPr>
          <w:b/>
          <w:bCs/>
          <w:sz w:val="24"/>
          <w:szCs w:val="24"/>
        </w:rPr>
        <w:t xml:space="preserve"> i v dosud neskončených trestních </w:t>
      </w:r>
      <w:r>
        <w:rPr>
          <w:b/>
          <w:bCs/>
          <w:sz w:val="24"/>
          <w:szCs w:val="24"/>
        </w:rPr>
        <w:t>řízeních</w:t>
      </w:r>
      <w:r w:rsidRPr="007F50E5">
        <w:rPr>
          <w:sz w:val="24"/>
          <w:szCs w:val="24"/>
        </w:rPr>
        <w:t>, a to z následujících důvodů.</w:t>
      </w:r>
    </w:p>
    <w:p w:rsidR="00B54E18" w:rsidRPr="007F50E5" w:rsidRDefault="00B54E18" w:rsidP="00D37C6A">
      <w:pPr>
        <w:jc w:val="both"/>
        <w:rPr>
          <w:sz w:val="24"/>
          <w:szCs w:val="24"/>
        </w:rPr>
      </w:pPr>
    </w:p>
    <w:p w:rsidR="00B54E18" w:rsidRPr="00826C26" w:rsidRDefault="00B54E18" w:rsidP="00D37C6A">
      <w:pPr>
        <w:jc w:val="both"/>
        <w:rPr>
          <w:sz w:val="24"/>
          <w:szCs w:val="24"/>
        </w:rPr>
      </w:pPr>
      <w:r w:rsidRPr="007F50E5">
        <w:rPr>
          <w:sz w:val="24"/>
          <w:szCs w:val="24"/>
        </w:rPr>
        <w:t xml:space="preserve">Pro právní posouzení </w:t>
      </w:r>
      <w:r>
        <w:rPr>
          <w:sz w:val="24"/>
          <w:szCs w:val="24"/>
        </w:rPr>
        <w:t xml:space="preserve">aplikace právních závěrů </w:t>
      </w:r>
      <w:r w:rsidRPr="007F50E5">
        <w:rPr>
          <w:sz w:val="24"/>
          <w:szCs w:val="24"/>
        </w:rPr>
        <w:t xml:space="preserve">nálezu </w:t>
      </w:r>
      <w:r>
        <w:rPr>
          <w:sz w:val="24"/>
          <w:szCs w:val="24"/>
        </w:rPr>
        <w:t xml:space="preserve">v dosud neskončených trestních řízeních </w:t>
      </w:r>
      <w:r w:rsidRPr="007F50E5">
        <w:rPr>
          <w:sz w:val="24"/>
          <w:szCs w:val="24"/>
        </w:rPr>
        <w:t>je stěžejní skutečností, že nálezem nedošlo ke zrušení právního předpisu. Nálezem došlo k výkladu stávajících účinných právních předpisů, tedy ke vzniku nové judikatury. Proto jde o problematiku časové působnosti judikatury</w:t>
      </w:r>
      <w:r>
        <w:rPr>
          <w:sz w:val="24"/>
          <w:szCs w:val="24"/>
        </w:rPr>
        <w:t xml:space="preserve">, o níž platí, </w:t>
      </w:r>
      <w:r w:rsidRPr="007F50E5">
        <w:rPr>
          <w:sz w:val="24"/>
          <w:szCs w:val="24"/>
        </w:rPr>
        <w:t xml:space="preserve">že </w:t>
      </w:r>
      <w:r w:rsidRPr="00060A64">
        <w:rPr>
          <w:sz w:val="24"/>
          <w:szCs w:val="24"/>
        </w:rPr>
        <w:t>právní závěry obsažené v novém judikátu se uplatní ve všech dosud probíhajících řízeních,</w:t>
      </w:r>
      <w:r w:rsidRPr="00826C26">
        <w:rPr>
          <w:sz w:val="24"/>
          <w:szCs w:val="24"/>
        </w:rPr>
        <w:t xml:space="preserve"> ale nedotknou se věcí již pravomocně ukončených (tzv. incidentní retrospektiva). Změna trestní judikatury tak musí být aplikována i v dosud neskončených trestních řízeních. </w:t>
      </w: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  <w:r w:rsidRPr="00826C26">
        <w:rPr>
          <w:sz w:val="24"/>
          <w:szCs w:val="24"/>
        </w:rPr>
        <w:t>Problematice intertemporálních účinků nové judikatury se věnoval i Ústavní soud, který v odstavci 10 odůvodnění usnesení ze dne 13. 1. 2015 IV. ÚS 2863/14 uvedl: „</w:t>
      </w:r>
      <w:r w:rsidRPr="00826C26">
        <w:rPr>
          <w:i/>
          <w:iCs/>
          <w:sz w:val="24"/>
          <w:szCs w:val="24"/>
        </w:rPr>
        <w:t xml:space="preserve">Již ve svém nálezu ze dne 5. srpna 2010 sp. zn. II. ÚS 3168/09 Ústavní soud v souladu se soudobými evropskými kontinentálními trendy zdůraznil, že v horizontálních právních vztazích zůstává zásadou incidentní retrospektiva nových právních názorů vytvořených judikatorními změnami. </w:t>
      </w:r>
      <w:r w:rsidRPr="000A20FB">
        <w:rPr>
          <w:b/>
          <w:bCs/>
          <w:i/>
          <w:iCs/>
          <w:sz w:val="24"/>
          <w:szCs w:val="24"/>
        </w:rPr>
        <w:t>Nový právní názor bude tedy aplikován na všechna probíhající řízení</w:t>
      </w:r>
      <w:r w:rsidRPr="00826C26">
        <w:rPr>
          <w:i/>
          <w:iCs/>
          <w:sz w:val="24"/>
          <w:szCs w:val="24"/>
        </w:rPr>
        <w:t>. Tím Ústavní soud odlišil situaci retrospektivního působení změny judikatury (tj. opravy „chybného“ právního názoru) od retroaktivního působení právních norem (k tomu srov. např. doktrinální názor Kühn, Zdeněk: Prospektivní a retrospektivní působení judikatorních změn, in: Právní rozhledy č. 6/2011, str. 191 – 197).</w:t>
      </w:r>
      <w:r w:rsidRPr="00826C26">
        <w:rPr>
          <w:sz w:val="24"/>
          <w:szCs w:val="24"/>
        </w:rPr>
        <w:t xml:space="preserve">“ </w:t>
      </w: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  <w:r w:rsidRPr="00826C26">
        <w:rPr>
          <w:sz w:val="24"/>
          <w:szCs w:val="24"/>
        </w:rPr>
        <w:t xml:space="preserve">Ani v zahraničí není problematika </w:t>
      </w:r>
      <w:r>
        <w:rPr>
          <w:sz w:val="24"/>
          <w:szCs w:val="24"/>
        </w:rPr>
        <w:t xml:space="preserve">časové působnosti judikatury </w:t>
      </w:r>
      <w:r w:rsidRPr="00826C26">
        <w:rPr>
          <w:sz w:val="24"/>
          <w:szCs w:val="24"/>
        </w:rPr>
        <w:t>neznámá, když například U.S. Supreme Court ve věci Griffith v. Kentucky, 479 U.S. 314 (1987), rozhodl, že nové pravidlo trestního řízení musí být aplikováno retroaktivně na všechny případy, které dosud nebyly s konečnou platností rozhodnuty, a to bez výjimky.</w:t>
      </w:r>
    </w:p>
    <w:p w:rsidR="00B54E18" w:rsidRPr="007F50E5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7F50E5" w:rsidRDefault="00B54E18" w:rsidP="00D37C6A">
      <w:pPr>
        <w:jc w:val="both"/>
        <w:rPr>
          <w:rFonts w:cs="Times New Roman"/>
          <w:sz w:val="24"/>
          <w:szCs w:val="24"/>
        </w:rPr>
      </w:pPr>
      <w:r w:rsidRPr="007F50E5">
        <w:rPr>
          <w:sz w:val="24"/>
          <w:szCs w:val="24"/>
        </w:rPr>
        <w:t xml:space="preserve">Na posouzení má </w:t>
      </w:r>
      <w:r>
        <w:rPr>
          <w:sz w:val="24"/>
          <w:szCs w:val="24"/>
        </w:rPr>
        <w:t xml:space="preserve">rovněž </w:t>
      </w:r>
      <w:r w:rsidRPr="007F50E5">
        <w:rPr>
          <w:sz w:val="24"/>
          <w:szCs w:val="24"/>
        </w:rPr>
        <w:t xml:space="preserve">vliv skutečnost, že tato </w:t>
      </w:r>
      <w:r w:rsidRPr="007F50E5">
        <w:rPr>
          <w:b/>
          <w:bCs/>
          <w:sz w:val="24"/>
          <w:szCs w:val="24"/>
        </w:rPr>
        <w:t>nová judikatura vznikla na základě v praxi uplatňované libovůl</w:t>
      </w:r>
      <w:r>
        <w:rPr>
          <w:b/>
          <w:bCs/>
          <w:sz w:val="24"/>
          <w:szCs w:val="24"/>
        </w:rPr>
        <w:t>e</w:t>
      </w:r>
      <w:r w:rsidRPr="007F50E5">
        <w:rPr>
          <w:b/>
          <w:bCs/>
          <w:sz w:val="24"/>
          <w:szCs w:val="24"/>
        </w:rPr>
        <w:t xml:space="preserve"> státních zástupců</w:t>
      </w:r>
      <w:r w:rsidRPr="007F50E5">
        <w:rPr>
          <w:sz w:val="24"/>
          <w:szCs w:val="24"/>
        </w:rPr>
        <w:t xml:space="preserve"> při výběru okresního soudu místně příslušného k vydání příkazů v přípravném řízení, jejichž podstatou je zásah do základních lidských práv. Ústavní soud opakovaně a v podstatě dlouhodobě signalizoval pochyby o ústavní konform</w:t>
      </w:r>
      <w:r>
        <w:rPr>
          <w:sz w:val="24"/>
          <w:szCs w:val="24"/>
        </w:rPr>
        <w:t xml:space="preserve">itě </w:t>
      </w:r>
      <w:r w:rsidRPr="007F50E5">
        <w:rPr>
          <w:sz w:val="24"/>
          <w:szCs w:val="24"/>
        </w:rPr>
        <w:t xml:space="preserve">přesunů věcí místně nepříslušným soudům. A obhájci rovněž na nesprávnou praxi upozorňovali. Přesto tato praxe dále pokračovala. Nález tak zjevně není žádný </w:t>
      </w:r>
      <w:r>
        <w:rPr>
          <w:sz w:val="24"/>
          <w:szCs w:val="24"/>
        </w:rPr>
        <w:t>„</w:t>
      </w:r>
      <w:r w:rsidRPr="007F50E5">
        <w:rPr>
          <w:sz w:val="24"/>
          <w:szCs w:val="24"/>
        </w:rPr>
        <w:t>blesk z jasného nebe</w:t>
      </w:r>
      <w:r>
        <w:rPr>
          <w:sz w:val="24"/>
          <w:szCs w:val="24"/>
        </w:rPr>
        <w:t>“</w:t>
      </w:r>
      <w:r w:rsidRPr="007F50E5">
        <w:rPr>
          <w:sz w:val="24"/>
          <w:szCs w:val="24"/>
        </w:rPr>
        <w:t>, ale jen logické vyústění toho, co již dlouho hrozilo. Z uvedeného proto plyne závěr, že státní zastupitelství věd</w:t>
      </w:r>
      <w:r>
        <w:rPr>
          <w:sz w:val="24"/>
          <w:szCs w:val="24"/>
        </w:rPr>
        <w:t>omě dlouhodobě porušovalo zákon, ač mohlo postupovat správně.</w:t>
      </w:r>
    </w:p>
    <w:p w:rsidR="00B54E18" w:rsidRPr="007F50E5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7F50E5" w:rsidRDefault="00B54E18" w:rsidP="00D37C6A">
      <w:pPr>
        <w:jc w:val="both"/>
        <w:rPr>
          <w:sz w:val="24"/>
          <w:szCs w:val="24"/>
        </w:rPr>
      </w:pPr>
      <w:r w:rsidRPr="007F50E5">
        <w:rPr>
          <w:sz w:val="24"/>
          <w:szCs w:val="24"/>
        </w:rPr>
        <w:t xml:space="preserve">Unie obhájců ČR </w:t>
      </w:r>
      <w:r>
        <w:rPr>
          <w:sz w:val="24"/>
          <w:szCs w:val="24"/>
        </w:rPr>
        <w:t xml:space="preserve">současně </w:t>
      </w:r>
      <w:r w:rsidRPr="007F50E5">
        <w:rPr>
          <w:sz w:val="24"/>
          <w:szCs w:val="24"/>
        </w:rPr>
        <w:t xml:space="preserve">nesdílí </w:t>
      </w:r>
      <w:r>
        <w:rPr>
          <w:sz w:val="24"/>
          <w:szCs w:val="24"/>
        </w:rPr>
        <w:t xml:space="preserve">vyskytující se </w:t>
      </w:r>
      <w:r w:rsidRPr="007F50E5">
        <w:rPr>
          <w:sz w:val="24"/>
          <w:szCs w:val="24"/>
        </w:rPr>
        <w:t xml:space="preserve">názor, že vydání příslušného příkazu v trestním řízení </w:t>
      </w:r>
      <w:r>
        <w:rPr>
          <w:sz w:val="24"/>
          <w:szCs w:val="24"/>
        </w:rPr>
        <w:t xml:space="preserve">je </w:t>
      </w:r>
      <w:r w:rsidRPr="007F50E5">
        <w:rPr>
          <w:sz w:val="24"/>
          <w:szCs w:val="24"/>
        </w:rPr>
        <w:t xml:space="preserve">samostatným, oddělitelným a individuálním právním aktem (a rovnou i pravomocným) a </w:t>
      </w:r>
      <w:r>
        <w:rPr>
          <w:sz w:val="24"/>
          <w:szCs w:val="24"/>
        </w:rPr>
        <w:t xml:space="preserve">jeho </w:t>
      </w:r>
      <w:r w:rsidRPr="007F50E5">
        <w:rPr>
          <w:sz w:val="24"/>
          <w:szCs w:val="24"/>
        </w:rPr>
        <w:t xml:space="preserve">realizace </w:t>
      </w:r>
      <w:r>
        <w:rPr>
          <w:sz w:val="24"/>
          <w:szCs w:val="24"/>
        </w:rPr>
        <w:t xml:space="preserve">je již jen jeho </w:t>
      </w:r>
      <w:r w:rsidRPr="007F50E5">
        <w:rPr>
          <w:sz w:val="24"/>
          <w:szCs w:val="24"/>
        </w:rPr>
        <w:t>vykonáním</w:t>
      </w:r>
      <w:r>
        <w:rPr>
          <w:sz w:val="24"/>
          <w:szCs w:val="24"/>
        </w:rPr>
        <w:t xml:space="preserve"> </w:t>
      </w:r>
      <w:r w:rsidRPr="007F50E5">
        <w:rPr>
          <w:sz w:val="24"/>
          <w:szCs w:val="24"/>
        </w:rPr>
        <w:t xml:space="preserve">(tedy konečným výkonem příkazu). Vydání příslušného příkazu </w:t>
      </w:r>
      <w:r>
        <w:rPr>
          <w:sz w:val="24"/>
          <w:szCs w:val="24"/>
        </w:rPr>
        <w:t xml:space="preserve">soudem je součástí jediného trestního řízení upraveného trestním řádem, nikoliv samostatným druhem trestního řízení, které je vydáním příkazu ukončeno. </w:t>
      </w:r>
      <w:r w:rsidRPr="007F50E5">
        <w:rPr>
          <w:sz w:val="24"/>
          <w:szCs w:val="24"/>
        </w:rPr>
        <w:t>Naopak</w:t>
      </w:r>
      <w:r>
        <w:rPr>
          <w:sz w:val="24"/>
          <w:szCs w:val="24"/>
        </w:rPr>
        <w:t xml:space="preserve">, příslušný příkaz a jeho následná realizace je trestním řádem předpokládaným způsobem opatřování důkazů, jež jsou </w:t>
      </w:r>
      <w:r w:rsidRPr="007F50E5">
        <w:rPr>
          <w:sz w:val="24"/>
          <w:szCs w:val="24"/>
        </w:rPr>
        <w:t>následně hodnocen</w:t>
      </w:r>
      <w:r>
        <w:rPr>
          <w:sz w:val="24"/>
          <w:szCs w:val="24"/>
        </w:rPr>
        <w:t xml:space="preserve">y ve prospěch či </w:t>
      </w:r>
      <w:r w:rsidRPr="007F50E5">
        <w:rPr>
          <w:sz w:val="24"/>
          <w:szCs w:val="24"/>
        </w:rPr>
        <w:t xml:space="preserve">neprospěch obviněného. Protože zákonnost důkazu, a tedy jeho použitelnost v dokazování, je </w:t>
      </w:r>
      <w:r>
        <w:rPr>
          <w:sz w:val="24"/>
          <w:szCs w:val="24"/>
        </w:rPr>
        <w:t xml:space="preserve">závislá </w:t>
      </w:r>
      <w:r w:rsidRPr="007F50E5">
        <w:rPr>
          <w:sz w:val="24"/>
          <w:szCs w:val="24"/>
        </w:rPr>
        <w:t xml:space="preserve">na zákonnosti příkazu, je </w:t>
      </w:r>
      <w:r>
        <w:rPr>
          <w:sz w:val="24"/>
          <w:szCs w:val="24"/>
        </w:rPr>
        <w:t xml:space="preserve">zákonnost </w:t>
      </w:r>
      <w:r w:rsidRPr="007F50E5">
        <w:rPr>
          <w:sz w:val="24"/>
          <w:szCs w:val="24"/>
        </w:rPr>
        <w:t>příkaz</w:t>
      </w:r>
      <w:r>
        <w:rPr>
          <w:sz w:val="24"/>
          <w:szCs w:val="24"/>
        </w:rPr>
        <w:t>u n</w:t>
      </w:r>
      <w:r w:rsidRPr="007F50E5">
        <w:rPr>
          <w:sz w:val="24"/>
          <w:szCs w:val="24"/>
        </w:rPr>
        <w:t>eodděliteln</w:t>
      </w:r>
      <w:r>
        <w:rPr>
          <w:sz w:val="24"/>
          <w:szCs w:val="24"/>
        </w:rPr>
        <w:t xml:space="preserve">á od </w:t>
      </w:r>
      <w:r w:rsidRPr="007F50E5">
        <w:rPr>
          <w:sz w:val="24"/>
          <w:szCs w:val="24"/>
        </w:rPr>
        <w:t>použit</w:t>
      </w:r>
      <w:r>
        <w:rPr>
          <w:sz w:val="24"/>
          <w:szCs w:val="24"/>
        </w:rPr>
        <w:t>elnosti d</w:t>
      </w:r>
      <w:r w:rsidRPr="007F50E5">
        <w:rPr>
          <w:sz w:val="24"/>
          <w:szCs w:val="24"/>
        </w:rPr>
        <w:t xml:space="preserve">ůkazu. Výkladem </w:t>
      </w:r>
      <w:r>
        <w:rPr>
          <w:sz w:val="24"/>
          <w:szCs w:val="24"/>
        </w:rPr>
        <w:t xml:space="preserve">a contrario </w:t>
      </w:r>
      <w:r w:rsidRPr="007F50E5">
        <w:rPr>
          <w:sz w:val="24"/>
          <w:szCs w:val="24"/>
        </w:rPr>
        <w:t>by</w:t>
      </w:r>
      <w:r>
        <w:rPr>
          <w:sz w:val="24"/>
          <w:szCs w:val="24"/>
        </w:rPr>
        <w:t xml:space="preserve">chom </w:t>
      </w:r>
      <w:r w:rsidRPr="007F50E5">
        <w:rPr>
          <w:sz w:val="24"/>
          <w:szCs w:val="24"/>
        </w:rPr>
        <w:t>dospě</w:t>
      </w:r>
      <w:r>
        <w:rPr>
          <w:sz w:val="24"/>
          <w:szCs w:val="24"/>
        </w:rPr>
        <w:t xml:space="preserve">li </w:t>
      </w:r>
      <w:r w:rsidRPr="007F50E5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7F50E5">
        <w:rPr>
          <w:sz w:val="24"/>
          <w:szCs w:val="24"/>
        </w:rPr>
        <w:t xml:space="preserve">závěru, že příkaz vydaný podjatým, věcně či místně nepříslušným či jinak zcela neoprávněným soudcem by legitimoval i z něj vzešlé důkazy. </w:t>
      </w: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826C26" w:rsidRDefault="00B54E18" w:rsidP="002B3E44">
      <w:pPr>
        <w:jc w:val="both"/>
        <w:rPr>
          <w:sz w:val="24"/>
          <w:szCs w:val="24"/>
        </w:rPr>
      </w:pPr>
      <w:r w:rsidRPr="00826C26">
        <w:rPr>
          <w:sz w:val="24"/>
          <w:szCs w:val="24"/>
        </w:rPr>
        <w:t xml:space="preserve">Při formulaci stanoviska vycházela Unie obhájců ČR </w:t>
      </w:r>
      <w:r>
        <w:rPr>
          <w:sz w:val="24"/>
          <w:szCs w:val="24"/>
        </w:rPr>
        <w:t xml:space="preserve">dále </w:t>
      </w:r>
      <w:r w:rsidRPr="00826C26">
        <w:rPr>
          <w:sz w:val="24"/>
          <w:szCs w:val="24"/>
        </w:rPr>
        <w:t>ze zásady „</w:t>
      </w:r>
      <w:r w:rsidRPr="00826C26">
        <w:rPr>
          <w:i/>
          <w:iCs/>
          <w:sz w:val="24"/>
          <w:szCs w:val="24"/>
        </w:rPr>
        <w:t>ex iniuria ius non oritur</w:t>
      </w:r>
      <w:r w:rsidRPr="00826C26">
        <w:rPr>
          <w:sz w:val="24"/>
          <w:szCs w:val="24"/>
        </w:rPr>
        <w:t>“, tj. „</w:t>
      </w:r>
      <w:r w:rsidRPr="00826C26">
        <w:rPr>
          <w:i/>
          <w:iCs/>
          <w:sz w:val="24"/>
          <w:szCs w:val="24"/>
        </w:rPr>
        <w:t>z bezpráví nemůže povstat právo</w:t>
      </w:r>
      <w:r w:rsidRPr="00826C26">
        <w:rPr>
          <w:sz w:val="24"/>
          <w:szCs w:val="24"/>
        </w:rPr>
        <w:t>“</w:t>
      </w:r>
      <w:r>
        <w:rPr>
          <w:sz w:val="24"/>
          <w:szCs w:val="24"/>
        </w:rPr>
        <w:t xml:space="preserve">, a z další </w:t>
      </w:r>
      <w:r w:rsidRPr="00826C26">
        <w:rPr>
          <w:sz w:val="24"/>
          <w:szCs w:val="24"/>
        </w:rPr>
        <w:t xml:space="preserve">judikatury Ústavního soudu, například z nálezu Ústavního soudu ze dne 14. 7. 2010 sp. zn. IV. ÚS 1235/09, který uvádí: „ </w:t>
      </w:r>
      <w:r w:rsidRPr="00826C26">
        <w:rPr>
          <w:i/>
          <w:iCs/>
          <w:sz w:val="24"/>
          <w:szCs w:val="24"/>
        </w:rPr>
        <w:t>...pokud důkaz, resp. informace o něm obsažená, nebyl získán co do jednotlivých dílčích komponentů (fází) procesu dokazování procesně přípustným způsobem, musí být soudem a limine vyloučen z předmětu úvah směřujících ke zjištění skutkového základu věci.</w:t>
      </w:r>
      <w:r w:rsidRPr="00826C26">
        <w:rPr>
          <w:sz w:val="24"/>
          <w:szCs w:val="24"/>
        </w:rPr>
        <w:t>“, nebo z rozhodnutí Ústavního soudu ze dne 27. 5. 2003 sp. zn. III. ÚS 623/2000, které uvádí: „</w:t>
      </w:r>
      <w:r w:rsidRPr="00826C26">
        <w:rPr>
          <w:i/>
          <w:iCs/>
          <w:sz w:val="24"/>
          <w:szCs w:val="24"/>
        </w:rPr>
        <w:t>Případné nezákonnosti nelze omluvit účelovým konstatováním, že celková spravedlivost procesu byla přece zachována a tím snad byl garantován i spravedlivý trest. Nezákonný proces nemůže přispět k rozhodnutí o oprávněnosti trestního obvinění proti konkrétní osobě, resp. není s to tuto oprávněnost náležitě garantovat.</w:t>
      </w:r>
      <w:r w:rsidRPr="00826C26">
        <w:rPr>
          <w:sz w:val="24"/>
          <w:szCs w:val="24"/>
        </w:rPr>
        <w:t>“ a dále „</w:t>
      </w:r>
      <w:r w:rsidRPr="00826C26">
        <w:rPr>
          <w:i/>
          <w:iCs/>
          <w:sz w:val="24"/>
          <w:szCs w:val="24"/>
        </w:rPr>
        <w:t>... rámcem spravedlivého procesu může být jedině proces vedený zákonným způsobem.</w:t>
      </w:r>
      <w:r w:rsidRPr="00826C26">
        <w:rPr>
          <w:sz w:val="24"/>
          <w:szCs w:val="24"/>
        </w:rPr>
        <w:t xml:space="preserve">“ </w:t>
      </w:r>
    </w:p>
    <w:p w:rsidR="00B54E18" w:rsidRPr="007F50E5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7F50E5" w:rsidRDefault="00B54E18" w:rsidP="00D37C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r w:rsidRPr="007F50E5">
        <w:rPr>
          <w:b/>
          <w:bCs/>
          <w:sz w:val="24"/>
          <w:szCs w:val="24"/>
        </w:rPr>
        <w:t>právním státě není možné připustit, aby soud rozhodoval na základě důkazu, který byl opatřen způsobem, který Ústavní soud označil za nezákonný</w:t>
      </w:r>
      <w:r w:rsidRPr="007F50E5">
        <w:rPr>
          <w:sz w:val="24"/>
          <w:szCs w:val="24"/>
        </w:rPr>
        <w:t xml:space="preserve">. </w:t>
      </w:r>
      <w:r w:rsidRPr="00826C26">
        <w:rPr>
          <w:b/>
          <w:bCs/>
          <w:sz w:val="24"/>
          <w:szCs w:val="24"/>
        </w:rPr>
        <w:t xml:space="preserve">Důkaz získaný </w:t>
      </w:r>
      <w:r w:rsidRPr="007F50E5">
        <w:rPr>
          <w:b/>
          <w:bCs/>
          <w:sz w:val="24"/>
          <w:szCs w:val="24"/>
        </w:rPr>
        <w:t>neústavním způsobem nemůže být podkladem pro rozhodnutí po datu vyhlášení nálezu</w:t>
      </w:r>
      <w:r w:rsidRPr="007F50E5">
        <w:rPr>
          <w:sz w:val="24"/>
          <w:szCs w:val="24"/>
        </w:rPr>
        <w:t xml:space="preserve">. Takový důkaz nemůže být v trestním řízení použit, i kdyby v důsledku toho neměl být obviněný potrestán. Pokud připustíme opak, </w:t>
      </w:r>
      <w:r>
        <w:rPr>
          <w:sz w:val="24"/>
          <w:szCs w:val="24"/>
        </w:rPr>
        <w:t xml:space="preserve">ztratí </w:t>
      </w:r>
      <w:r w:rsidRPr="007F50E5">
        <w:rPr>
          <w:sz w:val="24"/>
          <w:szCs w:val="24"/>
        </w:rPr>
        <w:t>většina procesních pravidel smysl.</w:t>
      </w:r>
    </w:p>
    <w:p w:rsidR="00B54E18" w:rsidRPr="007F50E5" w:rsidRDefault="00B54E18" w:rsidP="00D37C6A">
      <w:pPr>
        <w:jc w:val="both"/>
        <w:rPr>
          <w:sz w:val="24"/>
          <w:szCs w:val="24"/>
        </w:rPr>
      </w:pPr>
    </w:p>
    <w:p w:rsidR="00B54E18" w:rsidRPr="00826C26" w:rsidRDefault="00B54E18" w:rsidP="004C66D6">
      <w:pPr>
        <w:jc w:val="both"/>
        <w:rPr>
          <w:b/>
          <w:bCs/>
          <w:sz w:val="24"/>
          <w:szCs w:val="24"/>
        </w:rPr>
      </w:pPr>
      <w:r w:rsidRPr="00826C26">
        <w:rPr>
          <w:sz w:val="24"/>
          <w:szCs w:val="24"/>
        </w:rPr>
        <w:t xml:space="preserve">Vzhledem k uvedenému </w:t>
      </w:r>
      <w:r w:rsidRPr="00826C26">
        <w:rPr>
          <w:b/>
          <w:bCs/>
          <w:sz w:val="24"/>
          <w:szCs w:val="24"/>
        </w:rPr>
        <w:t xml:space="preserve">Unie obhájců ČR doporučuje obhájcům v trestních </w:t>
      </w:r>
      <w:r>
        <w:rPr>
          <w:b/>
          <w:bCs/>
          <w:sz w:val="24"/>
          <w:szCs w:val="24"/>
        </w:rPr>
        <w:t xml:space="preserve">řízeních </w:t>
      </w:r>
      <w:r w:rsidRPr="00826C26">
        <w:rPr>
          <w:b/>
          <w:bCs/>
          <w:sz w:val="24"/>
          <w:szCs w:val="24"/>
        </w:rPr>
        <w:t xml:space="preserve">dosud pravomocně neskončených, ve kterých jsou používány důkazy získané na základě příkazu místně nepříslušného soudu, podat návrh na jejich vyřazení ze spisu z důvodu jejich absolutní neúčinnosti. </w:t>
      </w:r>
    </w:p>
    <w:p w:rsidR="00B54E18" w:rsidRDefault="00B54E18" w:rsidP="00D37C6A">
      <w:pPr>
        <w:jc w:val="both"/>
        <w:rPr>
          <w:rFonts w:cs="Times New Roman"/>
          <w:sz w:val="24"/>
          <w:szCs w:val="24"/>
        </w:rPr>
      </w:pPr>
    </w:p>
    <w:p w:rsidR="00B54E18" w:rsidRPr="009763FA" w:rsidRDefault="00B54E18" w:rsidP="00D37C6A">
      <w:pPr>
        <w:jc w:val="both"/>
        <w:rPr>
          <w:sz w:val="24"/>
          <w:szCs w:val="24"/>
        </w:rPr>
      </w:pPr>
      <w:r w:rsidRPr="009763FA">
        <w:rPr>
          <w:sz w:val="24"/>
          <w:szCs w:val="24"/>
        </w:rPr>
        <w:t>Závěrem je vhodné připomenout, že absolutní neúčinnost některých důkazů neznamená zmaření trestního řízení, které může pokračovat, pouze se v něm musí vycházet z jiných, legálně opatřených důkazů, pokud existují.</w:t>
      </w:r>
    </w:p>
    <w:p w:rsidR="00B54E18" w:rsidRDefault="00B54E18" w:rsidP="00D37C6A">
      <w:pPr>
        <w:rPr>
          <w:rFonts w:cs="Times New Roman"/>
          <w:sz w:val="24"/>
          <w:szCs w:val="24"/>
        </w:rPr>
      </w:pPr>
    </w:p>
    <w:p w:rsidR="00B54E18" w:rsidRDefault="00B54E18" w:rsidP="00D37C6A">
      <w:pPr>
        <w:rPr>
          <w:rFonts w:cs="Times New Roman"/>
          <w:sz w:val="24"/>
          <w:szCs w:val="24"/>
        </w:rPr>
      </w:pPr>
    </w:p>
    <w:p w:rsidR="00B54E18" w:rsidRPr="00C865E9" w:rsidRDefault="00B54E18" w:rsidP="00C865E9">
      <w:pPr>
        <w:ind w:left="4820"/>
        <w:rPr>
          <w:b/>
          <w:bCs/>
          <w:sz w:val="24"/>
          <w:szCs w:val="24"/>
        </w:rPr>
      </w:pPr>
      <w:r w:rsidRPr="00C865E9">
        <w:rPr>
          <w:b/>
          <w:bCs/>
          <w:sz w:val="24"/>
          <w:szCs w:val="24"/>
        </w:rPr>
        <w:t>Unie obhájců České republiky</w:t>
      </w:r>
    </w:p>
    <w:p w:rsidR="00B54E18" w:rsidRDefault="00B54E18" w:rsidP="00C865E9">
      <w:pPr>
        <w:ind w:left="4820"/>
        <w:rPr>
          <w:sz w:val="24"/>
          <w:szCs w:val="24"/>
        </w:rPr>
      </w:pPr>
      <w:r>
        <w:rPr>
          <w:sz w:val="24"/>
          <w:szCs w:val="24"/>
        </w:rPr>
        <w:t>JUDr. Tomáš Sokol, prezident</w:t>
      </w:r>
    </w:p>
    <w:p w:rsidR="00B54E18" w:rsidRDefault="00B54E18" w:rsidP="00D37C6A">
      <w:pPr>
        <w:rPr>
          <w:rFonts w:cs="Times New Roman"/>
          <w:sz w:val="24"/>
          <w:szCs w:val="24"/>
        </w:rPr>
      </w:pPr>
    </w:p>
    <w:p w:rsidR="00B54E18" w:rsidRDefault="00B54E18" w:rsidP="00D37C6A">
      <w:pPr>
        <w:rPr>
          <w:sz w:val="24"/>
          <w:szCs w:val="24"/>
        </w:rPr>
      </w:pPr>
      <w:r>
        <w:rPr>
          <w:sz w:val="24"/>
          <w:szCs w:val="24"/>
        </w:rPr>
        <w:t>Zpracovali:</w:t>
      </w:r>
    </w:p>
    <w:p w:rsidR="00B54E18" w:rsidRDefault="00B54E18" w:rsidP="00D37C6A">
      <w:pPr>
        <w:rPr>
          <w:rFonts w:cs="Times New Roman"/>
          <w:sz w:val="24"/>
          <w:szCs w:val="24"/>
        </w:rPr>
      </w:pPr>
      <w:r w:rsidRPr="007F50E5">
        <w:rPr>
          <w:sz w:val="24"/>
          <w:szCs w:val="24"/>
        </w:rPr>
        <w:t>JUDr. Filip Seifert, MBA</w:t>
      </w:r>
    </w:p>
    <w:p w:rsidR="00B54E18" w:rsidRDefault="00B54E18" w:rsidP="00D37C6A">
      <w:pPr>
        <w:rPr>
          <w:sz w:val="24"/>
          <w:szCs w:val="24"/>
        </w:rPr>
      </w:pPr>
      <w:r>
        <w:rPr>
          <w:sz w:val="24"/>
          <w:szCs w:val="24"/>
        </w:rPr>
        <w:t>JUDr. Petr Toman</w:t>
      </w:r>
    </w:p>
    <w:p w:rsidR="00B54E18" w:rsidRPr="00497D68" w:rsidRDefault="00B54E18" w:rsidP="00104B7E">
      <w:pPr>
        <w:rPr>
          <w:rFonts w:cs="Times New Roman"/>
          <w:sz w:val="24"/>
          <w:szCs w:val="24"/>
        </w:rPr>
      </w:pPr>
      <w:r w:rsidRPr="007F50E5">
        <w:rPr>
          <w:sz w:val="24"/>
          <w:szCs w:val="24"/>
        </w:rPr>
        <w:t>člen</w:t>
      </w:r>
      <w:r>
        <w:rPr>
          <w:sz w:val="24"/>
          <w:szCs w:val="24"/>
        </w:rPr>
        <w:t>ové</w:t>
      </w:r>
      <w:r w:rsidRPr="007F50E5">
        <w:rPr>
          <w:sz w:val="24"/>
          <w:szCs w:val="24"/>
        </w:rPr>
        <w:t xml:space="preserve"> prezídia Unie obhájců ČR</w:t>
      </w:r>
      <w:bookmarkStart w:id="0" w:name="_GoBack"/>
      <w:bookmarkEnd w:id="0"/>
    </w:p>
    <w:sectPr w:rsidR="00B54E18" w:rsidRPr="00497D68" w:rsidSect="008F771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18" w:rsidRDefault="00B54E18" w:rsidP="00104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4E18" w:rsidRDefault="00B54E18" w:rsidP="00104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8" w:rsidRDefault="00B54E18" w:rsidP="00174851">
    <w:pPr>
      <w:pStyle w:val="Header"/>
      <w:jc w:val="right"/>
      <w:rPr>
        <w:i/>
        <w:iCs/>
      </w:rPr>
    </w:pPr>
    <w:r>
      <w:rPr>
        <w:i/>
        <w:iCs/>
      </w:rPr>
      <w:t>www.uocr.cz</w:t>
    </w:r>
  </w:p>
  <w:p w:rsidR="00B54E18" w:rsidRDefault="00B54E1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18" w:rsidRDefault="00B54E18" w:rsidP="00104B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4E18" w:rsidRDefault="00B54E18" w:rsidP="00104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8" w:rsidRPr="00104B7E" w:rsidRDefault="00B54E18" w:rsidP="00104B7E">
    <w:pPr>
      <w:pStyle w:val="Header"/>
      <w:jc w:val="right"/>
      <w:rPr>
        <w:rFonts w:cs="Times New Roman"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73F9"/>
    <w:multiLevelType w:val="hybridMultilevel"/>
    <w:tmpl w:val="E856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5F544F"/>
    <w:multiLevelType w:val="hybridMultilevel"/>
    <w:tmpl w:val="507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B7E"/>
    <w:rsid w:val="00016130"/>
    <w:rsid w:val="00047421"/>
    <w:rsid w:val="00060A64"/>
    <w:rsid w:val="000911A9"/>
    <w:rsid w:val="000A20FB"/>
    <w:rsid w:val="00104B7E"/>
    <w:rsid w:val="00110769"/>
    <w:rsid w:val="00120776"/>
    <w:rsid w:val="00174851"/>
    <w:rsid w:val="001872B0"/>
    <w:rsid w:val="001F045D"/>
    <w:rsid w:val="00203561"/>
    <w:rsid w:val="0023673D"/>
    <w:rsid w:val="0026417A"/>
    <w:rsid w:val="002B3E44"/>
    <w:rsid w:val="00385F54"/>
    <w:rsid w:val="003F5F08"/>
    <w:rsid w:val="00461B32"/>
    <w:rsid w:val="00497D68"/>
    <w:rsid w:val="004C66D6"/>
    <w:rsid w:val="00526EAD"/>
    <w:rsid w:val="005A647F"/>
    <w:rsid w:val="00600A98"/>
    <w:rsid w:val="006242EB"/>
    <w:rsid w:val="0065068E"/>
    <w:rsid w:val="006859E7"/>
    <w:rsid w:val="006B4CF5"/>
    <w:rsid w:val="006C2982"/>
    <w:rsid w:val="006E64D9"/>
    <w:rsid w:val="00701BB7"/>
    <w:rsid w:val="007F50E5"/>
    <w:rsid w:val="00826C26"/>
    <w:rsid w:val="0083338F"/>
    <w:rsid w:val="008F771E"/>
    <w:rsid w:val="009763FA"/>
    <w:rsid w:val="00A107AF"/>
    <w:rsid w:val="00A7100D"/>
    <w:rsid w:val="00B54E18"/>
    <w:rsid w:val="00BE6EBC"/>
    <w:rsid w:val="00C6287C"/>
    <w:rsid w:val="00C865E9"/>
    <w:rsid w:val="00D3054E"/>
    <w:rsid w:val="00D37C6A"/>
    <w:rsid w:val="00D56F6E"/>
    <w:rsid w:val="00D71356"/>
    <w:rsid w:val="00DD141C"/>
    <w:rsid w:val="00DE626A"/>
    <w:rsid w:val="00E25526"/>
    <w:rsid w:val="00E9768B"/>
    <w:rsid w:val="00EE5ACB"/>
    <w:rsid w:val="00EF4B40"/>
    <w:rsid w:val="00F328DF"/>
    <w:rsid w:val="00FC1C37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69"/>
    <w:rPr>
      <w:rFonts w:ascii="Cambria" w:hAnsi="Cambria" w:cs="Cambria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4B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7E"/>
    <w:rPr>
      <w:rFonts w:ascii="Lucida Grande" w:hAnsi="Lucida Grande" w:cs="Lucida Grande"/>
      <w:sz w:val="18"/>
      <w:szCs w:val="18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rsid w:val="00104B7E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B7E"/>
    <w:rPr>
      <w:rFonts w:ascii="Cambria" w:hAnsi="Cambria" w:cs="Cambria"/>
      <w:lang w:val="cs-CZ"/>
    </w:rPr>
  </w:style>
  <w:style w:type="character" w:styleId="FootnoteReference">
    <w:name w:val="footnote reference"/>
    <w:basedOn w:val="DefaultParagraphFont"/>
    <w:uiPriority w:val="99"/>
    <w:semiHidden/>
    <w:rsid w:val="00104B7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04B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B7E"/>
    <w:rPr>
      <w:rFonts w:ascii="Cambria" w:hAnsi="Cambria" w:cs="Cambria"/>
      <w:sz w:val="20"/>
      <w:szCs w:val="20"/>
      <w:lang w:val="cs-CZ"/>
    </w:rPr>
  </w:style>
  <w:style w:type="paragraph" w:styleId="Footer">
    <w:name w:val="footer"/>
    <w:basedOn w:val="Normal"/>
    <w:link w:val="FooterChar"/>
    <w:uiPriority w:val="99"/>
    <w:rsid w:val="00104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B7E"/>
    <w:rPr>
      <w:rFonts w:ascii="Cambria" w:hAnsi="Cambria" w:cs="Cambria"/>
      <w:sz w:val="20"/>
      <w:szCs w:val="20"/>
      <w:lang w:val="cs-CZ"/>
    </w:rPr>
  </w:style>
  <w:style w:type="paragraph" w:styleId="ListParagraph">
    <w:name w:val="List Paragraph"/>
    <w:basedOn w:val="Normal"/>
    <w:uiPriority w:val="99"/>
    <w:qFormat/>
    <w:rsid w:val="00600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37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C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C6A"/>
    <w:rPr>
      <w:rFonts w:ascii="Cambria" w:hAnsi="Cambria" w:cs="Cambria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1289</Words>
  <Characters>7608</Characters>
  <Application>Microsoft Office Outlook</Application>
  <DocSecurity>0</DocSecurity>
  <Lines>0</Lines>
  <Paragraphs>0</Paragraphs>
  <ScaleCrop>false</ScaleCrop>
  <Company>jarda.kramer__@yahoo.com_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Kramer</dc:creator>
  <cp:keywords/>
  <dc:description/>
  <cp:lastModifiedBy>Irena Válová</cp:lastModifiedBy>
  <cp:revision>2</cp:revision>
  <dcterms:created xsi:type="dcterms:W3CDTF">2016-06-01T09:54:00Z</dcterms:created>
  <dcterms:modified xsi:type="dcterms:W3CDTF">2016-06-01T09:54:00Z</dcterms:modified>
</cp:coreProperties>
</file>