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F1" w:rsidRPr="00AE7786" w:rsidRDefault="00B16BC3" w:rsidP="00537AF1">
      <w:pPr>
        <w:spacing w:after="0"/>
        <w:ind w:left="1275" w:firstLine="141"/>
        <w:rPr>
          <w:rFonts w:eastAsia="Times New Roman" w:cs="Times New Roman"/>
          <w:szCs w:val="24"/>
          <w:lang w:eastAsia="cs-CZ"/>
        </w:rPr>
      </w:pPr>
      <w:r>
        <w:rPr>
          <w:rFonts w:eastAsia="Times New Roman" w:cs="Times New Roman"/>
          <w:szCs w:val="24"/>
          <w:lang w:eastAsia="cs-CZ"/>
        </w:rPr>
        <w:t>0</w:t>
      </w:r>
      <w:r w:rsidR="003C17D8">
        <w:rPr>
          <w:rFonts w:eastAsia="Times New Roman" w:cs="Times New Roman"/>
          <w:szCs w:val="24"/>
          <w:lang w:eastAsia="cs-CZ"/>
        </w:rPr>
        <w:t>7</w:t>
      </w:r>
      <w:bookmarkStart w:id="0" w:name="_GoBack"/>
      <w:bookmarkEnd w:id="0"/>
      <w:r>
        <w:rPr>
          <w:rFonts w:eastAsia="Times New Roman" w:cs="Times New Roman"/>
          <w:szCs w:val="24"/>
          <w:lang w:eastAsia="cs-CZ"/>
        </w:rPr>
        <w:t>.06</w:t>
      </w:r>
      <w:r w:rsidR="00537AF1" w:rsidRPr="00AE7786">
        <w:rPr>
          <w:rFonts w:eastAsia="Times New Roman" w:cs="Times New Roman"/>
          <w:szCs w:val="24"/>
          <w:lang w:eastAsia="cs-CZ"/>
        </w:rPr>
        <w:t>.201</w:t>
      </w:r>
      <w:r w:rsidR="00537AF1">
        <w:rPr>
          <w:rFonts w:eastAsia="Times New Roman" w:cs="Times New Roman"/>
          <w:szCs w:val="24"/>
          <w:lang w:eastAsia="cs-CZ"/>
        </w:rPr>
        <w:t>6</w:t>
      </w:r>
      <w:r w:rsidR="00537AF1" w:rsidRPr="00AE7786">
        <w:rPr>
          <w:rFonts w:eastAsia="Times New Roman" w:cs="Times New Roman"/>
          <w:szCs w:val="24"/>
          <w:lang w:eastAsia="cs-CZ"/>
        </w:rPr>
        <w:t xml:space="preserve"> </w:t>
      </w:r>
      <w:r w:rsidR="00537AF1" w:rsidRPr="00AE7786">
        <w:rPr>
          <w:rFonts w:eastAsia="Times New Roman" w:cs="Times New Roman"/>
          <w:szCs w:val="24"/>
          <w:lang w:eastAsia="cs-CZ"/>
        </w:rPr>
        <w:tab/>
      </w:r>
      <w:r w:rsidR="00537AF1" w:rsidRPr="00AE7786">
        <w:rPr>
          <w:rFonts w:eastAsia="Times New Roman" w:cs="Times New Roman"/>
          <w:szCs w:val="24"/>
          <w:lang w:eastAsia="cs-CZ"/>
        </w:rPr>
        <w:tab/>
      </w:r>
      <w:r w:rsidR="00537AF1" w:rsidRPr="00AE7786">
        <w:rPr>
          <w:rFonts w:eastAsia="Times New Roman" w:cs="Times New Roman"/>
          <w:szCs w:val="24"/>
          <w:lang w:eastAsia="cs-CZ"/>
        </w:rPr>
        <w:tab/>
      </w:r>
      <w:r w:rsidR="00537AF1" w:rsidRPr="00AE7786">
        <w:rPr>
          <w:rFonts w:eastAsia="Times New Roman" w:cs="Times New Roman"/>
          <w:szCs w:val="24"/>
          <w:lang w:eastAsia="cs-CZ"/>
        </w:rPr>
        <w:tab/>
        <w:t>Obvodní soud pro Prahu 1</w:t>
      </w:r>
    </w:p>
    <w:p w:rsidR="00537AF1" w:rsidRPr="00AE7786" w:rsidRDefault="00537AF1" w:rsidP="00537AF1">
      <w:pPr>
        <w:spacing w:after="0"/>
        <w:ind w:left="1134" w:firstLine="282"/>
        <w:rPr>
          <w:rFonts w:eastAsia="Times New Roman" w:cs="Times New Roman"/>
          <w:szCs w:val="24"/>
          <w:lang w:eastAsia="cs-CZ"/>
        </w:rPr>
      </w:pPr>
      <w:r w:rsidRPr="00AE7786">
        <w:rPr>
          <w:rFonts w:eastAsia="Times New Roman" w:cs="Times New Roman"/>
          <w:szCs w:val="24"/>
          <w:lang w:eastAsia="cs-CZ"/>
        </w:rPr>
        <w:t>19/02768/</w:t>
      </w:r>
      <w:r w:rsidR="00B16BC3">
        <w:rPr>
          <w:rFonts w:eastAsia="Times New Roman" w:cs="Times New Roman"/>
          <w:szCs w:val="24"/>
          <w:lang w:eastAsia="cs-CZ"/>
        </w:rPr>
        <w:t>něm</w:t>
      </w:r>
      <w:r w:rsidR="008C7D61">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t>Ovocný trh 14</w:t>
      </w:r>
    </w:p>
    <w:p w:rsidR="00537AF1" w:rsidRPr="00AE7786" w:rsidRDefault="00537AF1" w:rsidP="00537AF1">
      <w:pPr>
        <w:spacing w:after="0"/>
        <w:rPr>
          <w:rFonts w:eastAsia="Times New Roman" w:cs="Times New Roman"/>
          <w:szCs w:val="24"/>
          <w:lang w:eastAsia="cs-CZ"/>
        </w:rPr>
      </w:pP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t>112 94 Praha 1</w:t>
      </w:r>
    </w:p>
    <w:p w:rsidR="00537AF1" w:rsidRPr="00AE7786" w:rsidRDefault="00537AF1" w:rsidP="00537AF1">
      <w:pPr>
        <w:spacing w:after="0"/>
        <w:rPr>
          <w:rFonts w:eastAsia="Times New Roman" w:cs="Times New Roman"/>
          <w:szCs w:val="24"/>
          <w:lang w:eastAsia="cs-CZ"/>
        </w:rPr>
      </w:pP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t xml:space="preserve"> </w:t>
      </w: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b/>
          <w:szCs w:val="24"/>
          <w:u w:val="single"/>
          <w:lang w:eastAsia="cs-CZ"/>
        </w:rPr>
      </w:pP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b/>
          <w:szCs w:val="24"/>
          <w:u w:val="single"/>
          <w:lang w:eastAsia="cs-CZ"/>
        </w:rPr>
        <w:t xml:space="preserve">ke </w:t>
      </w:r>
      <w:proofErr w:type="spellStart"/>
      <w:proofErr w:type="gramStart"/>
      <w:r w:rsidRPr="00AE7786">
        <w:rPr>
          <w:rFonts w:eastAsia="Times New Roman" w:cs="Times New Roman"/>
          <w:b/>
          <w:szCs w:val="24"/>
          <w:u w:val="single"/>
          <w:lang w:eastAsia="cs-CZ"/>
        </w:rPr>
        <w:t>sp.zn</w:t>
      </w:r>
      <w:proofErr w:type="spellEnd"/>
      <w:r w:rsidRPr="00AE7786">
        <w:rPr>
          <w:rFonts w:eastAsia="Times New Roman" w:cs="Times New Roman"/>
          <w:b/>
          <w:szCs w:val="24"/>
          <w:u w:val="single"/>
          <w:lang w:eastAsia="cs-CZ"/>
        </w:rPr>
        <w:t>.</w:t>
      </w:r>
      <w:proofErr w:type="gramEnd"/>
      <w:r w:rsidRPr="00AE7786">
        <w:rPr>
          <w:rFonts w:eastAsia="Times New Roman" w:cs="Times New Roman"/>
          <w:b/>
          <w:szCs w:val="24"/>
          <w:u w:val="single"/>
          <w:lang w:eastAsia="cs-CZ"/>
        </w:rPr>
        <w:t xml:space="preserve"> 3 T 35/2014</w:t>
      </w: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b/>
          <w:szCs w:val="24"/>
          <w:lang w:eastAsia="cs-CZ"/>
        </w:rPr>
      </w:pPr>
      <w:r>
        <w:rPr>
          <w:rFonts w:eastAsia="Times New Roman" w:cs="Times New Roman"/>
          <w:szCs w:val="24"/>
          <w:lang w:eastAsia="cs-CZ"/>
        </w:rPr>
        <w:t>Obžalovaný</w:t>
      </w:r>
      <w:r w:rsidRPr="00AE7786">
        <w:rPr>
          <w:rFonts w:eastAsia="Times New Roman" w:cs="Times New Roman"/>
          <w:szCs w:val="24"/>
          <w:lang w:eastAsia="cs-CZ"/>
        </w:rPr>
        <w:t xml:space="preserve">: </w:t>
      </w:r>
      <w:r w:rsidRPr="00AE7786">
        <w:rPr>
          <w:rFonts w:eastAsia="Times New Roman" w:cs="Times New Roman"/>
          <w:szCs w:val="24"/>
          <w:lang w:eastAsia="cs-CZ"/>
        </w:rPr>
        <w:tab/>
      </w:r>
      <w:r w:rsidRPr="00AE7786">
        <w:rPr>
          <w:rFonts w:eastAsia="Times New Roman" w:cs="Times New Roman"/>
          <w:b/>
          <w:szCs w:val="24"/>
          <w:lang w:eastAsia="cs-CZ"/>
        </w:rPr>
        <w:t xml:space="preserve">Generálporučík Ing. Ondrej Páleník, MBA, </w:t>
      </w:r>
      <w:r w:rsidRPr="00AE7786">
        <w:rPr>
          <w:rFonts w:eastAsia="Times New Roman" w:cs="Times New Roman"/>
          <w:szCs w:val="24"/>
          <w:lang w:eastAsia="cs-CZ"/>
        </w:rPr>
        <w:t xml:space="preserve">nar. </w:t>
      </w:r>
      <w:proofErr w:type="gramStart"/>
      <w:r w:rsidRPr="00AE7786">
        <w:rPr>
          <w:rFonts w:eastAsia="Times New Roman" w:cs="Times New Roman"/>
          <w:szCs w:val="24"/>
          <w:lang w:eastAsia="cs-CZ"/>
        </w:rPr>
        <w:t>21.2.1965</w:t>
      </w:r>
      <w:proofErr w:type="gramEnd"/>
      <w:r w:rsidRPr="00AE7786">
        <w:rPr>
          <w:rFonts w:eastAsia="Times New Roman" w:cs="Times New Roman"/>
          <w:szCs w:val="24"/>
          <w:lang w:eastAsia="cs-CZ"/>
        </w:rPr>
        <w:t xml:space="preserve"> </w:t>
      </w:r>
    </w:p>
    <w:p w:rsidR="00537AF1" w:rsidRPr="00AE7786" w:rsidRDefault="00537AF1" w:rsidP="00537AF1">
      <w:pPr>
        <w:spacing w:after="0"/>
        <w:ind w:left="1416" w:right="49" w:firstLine="708"/>
        <w:rPr>
          <w:rFonts w:eastAsia="Times New Roman" w:cs="Times New Roman"/>
          <w:szCs w:val="24"/>
          <w:lang w:eastAsia="cs-CZ"/>
        </w:rPr>
      </w:pPr>
      <w:r w:rsidRPr="00AE7786">
        <w:rPr>
          <w:rFonts w:eastAsia="Times New Roman" w:cs="Times New Roman"/>
          <w:szCs w:val="24"/>
          <w:lang w:eastAsia="cs-CZ"/>
        </w:rPr>
        <w:t>trvale bytem Luční 34, Prostějov</w:t>
      </w:r>
    </w:p>
    <w:p w:rsidR="00537AF1" w:rsidRPr="00AE7786" w:rsidRDefault="00537AF1" w:rsidP="00537AF1">
      <w:pPr>
        <w:spacing w:after="0"/>
        <w:ind w:left="1416" w:right="49" w:firstLine="708"/>
        <w:rPr>
          <w:rFonts w:eastAsia="Times New Roman" w:cs="Times New Roman"/>
          <w:szCs w:val="24"/>
          <w:lang w:eastAsia="cs-CZ"/>
        </w:rPr>
      </w:pPr>
    </w:p>
    <w:p w:rsidR="00537AF1" w:rsidRPr="00AE7786" w:rsidRDefault="00537AF1" w:rsidP="00537AF1">
      <w:pPr>
        <w:spacing w:after="0"/>
        <w:ind w:left="1416" w:right="49" w:firstLine="708"/>
        <w:rPr>
          <w:rFonts w:eastAsia="Times New Roman" w:cs="Times New Roman"/>
          <w:szCs w:val="24"/>
          <w:lang w:eastAsia="cs-CZ"/>
        </w:rPr>
      </w:pPr>
      <w:r w:rsidRPr="00AE7786">
        <w:rPr>
          <w:rFonts w:eastAsia="Times New Roman" w:cs="Times New Roman"/>
          <w:szCs w:val="24"/>
          <w:lang w:eastAsia="cs-CZ"/>
        </w:rPr>
        <w:tab/>
      </w: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b/>
          <w:szCs w:val="24"/>
          <w:lang w:eastAsia="cs-CZ"/>
        </w:rPr>
      </w:pPr>
      <w:r w:rsidRPr="00AE7786">
        <w:rPr>
          <w:rFonts w:eastAsia="Times New Roman" w:cs="Times New Roman"/>
          <w:szCs w:val="24"/>
          <w:lang w:eastAsia="cs-CZ"/>
        </w:rPr>
        <w:t xml:space="preserve">Obhájce: </w:t>
      </w:r>
      <w:r w:rsidRPr="00AE7786">
        <w:rPr>
          <w:rFonts w:eastAsia="Times New Roman" w:cs="Times New Roman"/>
          <w:szCs w:val="24"/>
          <w:lang w:eastAsia="cs-CZ"/>
        </w:rPr>
        <w:tab/>
      </w:r>
      <w:r w:rsidRPr="00AE7786">
        <w:rPr>
          <w:rFonts w:eastAsia="Times New Roman" w:cs="Times New Roman"/>
          <w:b/>
          <w:szCs w:val="24"/>
          <w:lang w:eastAsia="cs-CZ"/>
        </w:rPr>
        <w:t>JUDr. Tomáš Sokol, advokát</w:t>
      </w:r>
    </w:p>
    <w:p w:rsidR="00537AF1" w:rsidRPr="00AE7786" w:rsidRDefault="00537AF1" w:rsidP="00537AF1">
      <w:pPr>
        <w:spacing w:after="0"/>
        <w:rPr>
          <w:rFonts w:eastAsia="Times New Roman" w:cs="Times New Roman"/>
          <w:szCs w:val="24"/>
          <w:lang w:eastAsia="cs-CZ"/>
        </w:rPr>
      </w:pPr>
      <w:r w:rsidRPr="00AE7786">
        <w:rPr>
          <w:rFonts w:eastAsia="Times New Roman" w:cs="Times New Roman"/>
          <w:b/>
          <w:szCs w:val="24"/>
          <w:lang w:eastAsia="cs-CZ"/>
        </w:rPr>
        <w:tab/>
      </w:r>
      <w:r w:rsidRPr="00AE7786">
        <w:rPr>
          <w:rFonts w:eastAsia="Times New Roman" w:cs="Times New Roman"/>
          <w:b/>
          <w:szCs w:val="24"/>
          <w:lang w:eastAsia="cs-CZ"/>
        </w:rPr>
        <w:tab/>
      </w:r>
      <w:r w:rsidRPr="00AE7786">
        <w:rPr>
          <w:rFonts w:eastAsia="Times New Roman" w:cs="Times New Roman"/>
          <w:b/>
          <w:szCs w:val="24"/>
          <w:lang w:eastAsia="cs-CZ"/>
        </w:rPr>
        <w:tab/>
      </w:r>
      <w:r w:rsidRPr="00AE7786">
        <w:rPr>
          <w:rFonts w:eastAsia="Times New Roman" w:cs="Times New Roman"/>
          <w:szCs w:val="24"/>
          <w:lang w:eastAsia="cs-CZ"/>
        </w:rPr>
        <w:t xml:space="preserve">Advokátní kancelář Brož </w:t>
      </w:r>
      <w:r w:rsidRPr="00AE7786">
        <w:rPr>
          <w:rFonts w:eastAsia="Times New Roman" w:cs="Times New Roman"/>
          <w:szCs w:val="24"/>
          <w:lang w:val="en-US" w:eastAsia="cs-CZ"/>
        </w:rPr>
        <w:t>&amp; Sokol &amp; Nov</w:t>
      </w:r>
      <w:proofErr w:type="spellStart"/>
      <w:r w:rsidRPr="00AE7786">
        <w:rPr>
          <w:rFonts w:eastAsia="Times New Roman" w:cs="Times New Roman"/>
          <w:szCs w:val="24"/>
          <w:lang w:eastAsia="cs-CZ"/>
        </w:rPr>
        <w:t>ák</w:t>
      </w:r>
      <w:proofErr w:type="spellEnd"/>
      <w:r w:rsidRPr="00AE7786">
        <w:rPr>
          <w:rFonts w:eastAsia="Times New Roman" w:cs="Times New Roman"/>
          <w:szCs w:val="24"/>
          <w:lang w:eastAsia="cs-CZ"/>
        </w:rPr>
        <w:t xml:space="preserve"> s.r.o. </w:t>
      </w:r>
    </w:p>
    <w:p w:rsidR="00537AF1" w:rsidRPr="00AE7786" w:rsidRDefault="00537AF1" w:rsidP="00537AF1">
      <w:pPr>
        <w:spacing w:after="0"/>
        <w:rPr>
          <w:rFonts w:eastAsia="Times New Roman" w:cs="Times New Roman"/>
          <w:szCs w:val="24"/>
          <w:lang w:eastAsia="cs-CZ"/>
        </w:rPr>
      </w:pPr>
      <w:r w:rsidRPr="00AE7786">
        <w:rPr>
          <w:rFonts w:eastAsia="Times New Roman" w:cs="Times New Roman"/>
          <w:szCs w:val="24"/>
          <w:lang w:eastAsia="cs-CZ"/>
        </w:rPr>
        <w:tab/>
      </w:r>
      <w:r w:rsidRPr="00AE7786">
        <w:rPr>
          <w:rFonts w:eastAsia="Times New Roman" w:cs="Times New Roman"/>
          <w:szCs w:val="24"/>
          <w:lang w:eastAsia="cs-CZ"/>
        </w:rPr>
        <w:tab/>
      </w:r>
      <w:r w:rsidRPr="00AE7786">
        <w:rPr>
          <w:rFonts w:eastAsia="Times New Roman" w:cs="Times New Roman"/>
          <w:szCs w:val="24"/>
          <w:lang w:eastAsia="cs-CZ"/>
        </w:rPr>
        <w:tab/>
        <w:t>Sokolská 60, 120 00 Praha 2</w:t>
      </w: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FC5609" w:rsidP="00537AF1">
      <w:pPr>
        <w:spacing w:after="0"/>
        <w:ind w:left="2124"/>
        <w:rPr>
          <w:rFonts w:eastAsia="Times New Roman" w:cs="Times New Roman"/>
          <w:b/>
          <w:sz w:val="28"/>
          <w:szCs w:val="28"/>
          <w:lang w:eastAsia="cs-CZ"/>
        </w:rPr>
      </w:pPr>
      <w:r>
        <w:rPr>
          <w:rFonts w:eastAsia="Times New Roman" w:cs="Times New Roman"/>
          <w:b/>
          <w:sz w:val="28"/>
          <w:szCs w:val="28"/>
          <w:lang w:eastAsia="cs-CZ"/>
        </w:rPr>
        <w:t xml:space="preserve">Odůvodnění námitky nezákonnosti vznesené v podání obžalovaného ze dne </w:t>
      </w:r>
      <w:proofErr w:type="gramStart"/>
      <w:r>
        <w:rPr>
          <w:rFonts w:eastAsia="Times New Roman" w:cs="Times New Roman"/>
          <w:b/>
          <w:sz w:val="28"/>
          <w:szCs w:val="28"/>
          <w:lang w:eastAsia="cs-CZ"/>
        </w:rPr>
        <w:t>10.5.2016</w:t>
      </w:r>
      <w:proofErr w:type="gramEnd"/>
    </w:p>
    <w:p w:rsidR="00537AF1" w:rsidRPr="00AE7786" w:rsidRDefault="00537AF1" w:rsidP="00537AF1">
      <w:pPr>
        <w:spacing w:after="0"/>
        <w:rPr>
          <w:rFonts w:eastAsia="Times New Roman" w:cs="Times New Roman"/>
          <w:b/>
          <w:sz w:val="28"/>
          <w:szCs w:val="28"/>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ind w:left="2124"/>
        <w:rPr>
          <w:rFonts w:eastAsia="Times New Roman" w:cs="Times New Roman"/>
          <w:szCs w:val="24"/>
          <w:lang w:eastAsia="cs-CZ"/>
        </w:rPr>
      </w:pPr>
      <w:r w:rsidRPr="00AE7786">
        <w:rPr>
          <w:rFonts w:eastAsia="Times New Roman" w:cs="Times New Roman"/>
          <w:szCs w:val="24"/>
          <w:lang w:eastAsia="cs-CZ"/>
        </w:rPr>
        <w:t>Jednou</w:t>
      </w:r>
    </w:p>
    <w:p w:rsidR="00537AF1" w:rsidRPr="00AE7786" w:rsidRDefault="00537AF1" w:rsidP="00537AF1">
      <w:pPr>
        <w:spacing w:after="0"/>
        <w:ind w:left="2124"/>
        <w:rPr>
          <w:rFonts w:eastAsia="Times New Roman" w:cs="Times New Roman"/>
          <w:szCs w:val="24"/>
          <w:lang w:eastAsia="cs-CZ"/>
        </w:rPr>
      </w:pPr>
      <w:r w:rsidRPr="00AE7786">
        <w:rPr>
          <w:rFonts w:eastAsia="Times New Roman" w:cs="Times New Roman"/>
          <w:szCs w:val="24"/>
          <w:lang w:eastAsia="cs-CZ"/>
        </w:rPr>
        <w:t>Datovou schránku</w:t>
      </w: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rPr>
          <w:rFonts w:eastAsia="Times New Roman" w:cs="Times New Roman"/>
          <w:szCs w:val="24"/>
          <w:lang w:eastAsia="cs-CZ"/>
        </w:rPr>
      </w:pPr>
    </w:p>
    <w:p w:rsidR="00537AF1" w:rsidRPr="00AE7786" w:rsidRDefault="00537AF1" w:rsidP="00537AF1">
      <w:pPr>
        <w:spacing w:after="0"/>
        <w:ind w:firstLine="141"/>
        <w:rPr>
          <w:rFonts w:eastAsia="Times New Roman" w:cs="Times New Roman"/>
          <w:szCs w:val="24"/>
          <w:lang w:eastAsia="cs-CZ"/>
        </w:rPr>
      </w:pPr>
    </w:p>
    <w:p w:rsidR="00537AF1" w:rsidRPr="00AE7786" w:rsidRDefault="00537AF1" w:rsidP="00537AF1">
      <w:pPr>
        <w:spacing w:after="0"/>
        <w:ind w:firstLine="141"/>
        <w:rPr>
          <w:rFonts w:eastAsia="Times New Roman" w:cs="Times New Roman"/>
          <w:szCs w:val="24"/>
          <w:lang w:eastAsia="cs-CZ"/>
        </w:rPr>
      </w:pPr>
    </w:p>
    <w:p w:rsidR="00537AF1" w:rsidRPr="00AE7786" w:rsidRDefault="00537AF1" w:rsidP="00537AF1">
      <w:pPr>
        <w:spacing w:after="0"/>
        <w:ind w:firstLine="141"/>
        <w:rPr>
          <w:rFonts w:eastAsia="Times New Roman" w:cs="Times New Roman"/>
          <w:szCs w:val="24"/>
          <w:lang w:eastAsia="cs-CZ"/>
        </w:rPr>
      </w:pPr>
    </w:p>
    <w:p w:rsidR="00537AF1" w:rsidRPr="00AE7786" w:rsidRDefault="00537AF1" w:rsidP="00537AF1">
      <w:pPr>
        <w:spacing w:after="0"/>
        <w:ind w:firstLine="141"/>
        <w:rPr>
          <w:rFonts w:eastAsia="Times New Roman" w:cs="Times New Roman"/>
          <w:szCs w:val="24"/>
          <w:lang w:eastAsia="cs-CZ"/>
        </w:rPr>
      </w:pPr>
    </w:p>
    <w:p w:rsidR="00537AF1" w:rsidRPr="00AE7786" w:rsidRDefault="00537AF1" w:rsidP="00537AF1">
      <w:pPr>
        <w:spacing w:after="0"/>
        <w:ind w:firstLine="141"/>
        <w:rPr>
          <w:rFonts w:eastAsia="Times New Roman" w:cs="Times New Roman"/>
          <w:szCs w:val="24"/>
          <w:lang w:eastAsia="cs-CZ"/>
        </w:rPr>
      </w:pPr>
    </w:p>
    <w:p w:rsidR="00537AF1" w:rsidRPr="00C32D00" w:rsidRDefault="00537AF1" w:rsidP="00537AF1">
      <w:pPr>
        <w:autoSpaceDE w:val="0"/>
        <w:autoSpaceDN w:val="0"/>
        <w:adjustRightInd w:val="0"/>
        <w:spacing w:after="120"/>
        <w:ind w:right="283"/>
        <w:rPr>
          <w:rFonts w:cs="Times New Roman"/>
          <w:szCs w:val="24"/>
        </w:rPr>
      </w:pPr>
    </w:p>
    <w:p w:rsidR="000B6711" w:rsidRDefault="00FC5609" w:rsidP="007252AC">
      <w:pPr>
        <w:spacing w:after="0"/>
        <w:ind w:firstLine="141"/>
        <w:rPr>
          <w:rFonts w:eastAsia="Times New Roman"/>
        </w:rPr>
      </w:pPr>
      <w:r>
        <w:rPr>
          <w:rFonts w:cs="Times New Roman"/>
          <w:szCs w:val="24"/>
        </w:rPr>
        <w:t>V rubrice označené věci podal obžalovaný</w:t>
      </w:r>
      <w:r w:rsidR="00154456">
        <w:rPr>
          <w:rFonts w:cs="Times New Roman"/>
          <w:szCs w:val="24"/>
        </w:rPr>
        <w:t>, g</w:t>
      </w:r>
      <w:r w:rsidR="00154456" w:rsidRPr="00154456">
        <w:rPr>
          <w:rFonts w:eastAsia="Times New Roman" w:cs="Times New Roman"/>
          <w:szCs w:val="24"/>
          <w:lang w:eastAsia="cs-CZ"/>
        </w:rPr>
        <w:t>enerálporučík Ing. Ondrej Páleník, MBA</w:t>
      </w:r>
      <w:r w:rsidR="00154456">
        <w:rPr>
          <w:rFonts w:cs="Times New Roman"/>
          <w:szCs w:val="24"/>
        </w:rPr>
        <w:t xml:space="preserve">, </w:t>
      </w:r>
      <w:r w:rsidR="00154456" w:rsidRPr="00AE7786">
        <w:rPr>
          <w:rFonts w:eastAsia="Times New Roman" w:cs="Times New Roman"/>
          <w:szCs w:val="24"/>
          <w:lang w:eastAsia="cs-CZ"/>
        </w:rPr>
        <w:t xml:space="preserve">nar. </w:t>
      </w:r>
      <w:proofErr w:type="gramStart"/>
      <w:r w:rsidR="00154456" w:rsidRPr="00AE7786">
        <w:rPr>
          <w:rFonts w:eastAsia="Times New Roman" w:cs="Times New Roman"/>
          <w:szCs w:val="24"/>
          <w:lang w:eastAsia="cs-CZ"/>
        </w:rPr>
        <w:t>21.2.1965</w:t>
      </w:r>
      <w:proofErr w:type="gramEnd"/>
      <w:r w:rsidR="00154456" w:rsidRPr="00AE7786">
        <w:rPr>
          <w:rFonts w:eastAsia="Times New Roman" w:cs="Times New Roman"/>
          <w:szCs w:val="24"/>
          <w:lang w:eastAsia="cs-CZ"/>
        </w:rPr>
        <w:t xml:space="preserve"> </w:t>
      </w:r>
      <w:r w:rsidR="00154456">
        <w:rPr>
          <w:rFonts w:cs="Times New Roman"/>
          <w:szCs w:val="24"/>
        </w:rPr>
        <w:t>(dále také jen „klient“)</w:t>
      </w:r>
      <w:r w:rsidRPr="00154456">
        <w:rPr>
          <w:rFonts w:cs="Times New Roman"/>
          <w:szCs w:val="24"/>
        </w:rPr>
        <w:t xml:space="preserve"> </w:t>
      </w:r>
      <w:r>
        <w:rPr>
          <w:rFonts w:cs="Times New Roman"/>
          <w:szCs w:val="24"/>
        </w:rPr>
        <w:t xml:space="preserve">dne 18.5.2016 u Obvodního soudu pro Prahu 1 podání označené jako </w:t>
      </w:r>
      <w:r w:rsidRPr="007252AC">
        <w:rPr>
          <w:rFonts w:cs="Times New Roman"/>
          <w:szCs w:val="24"/>
        </w:rPr>
        <w:t>„</w:t>
      </w:r>
      <w:r w:rsidR="007252AC" w:rsidRPr="007252AC">
        <w:rPr>
          <w:rFonts w:eastAsia="Times New Roman" w:cs="Times New Roman"/>
          <w:szCs w:val="24"/>
          <w:lang w:eastAsia="cs-CZ"/>
        </w:rPr>
        <w:t>Vyjádření s návrhem na provedení důkazů</w:t>
      </w:r>
      <w:r w:rsidR="007252AC">
        <w:rPr>
          <w:rFonts w:eastAsia="Times New Roman" w:cs="Times New Roman"/>
          <w:szCs w:val="24"/>
          <w:lang w:eastAsia="cs-CZ"/>
        </w:rPr>
        <w:t xml:space="preserve">“, v jehož textu </w:t>
      </w:r>
      <w:r w:rsidR="000B6711">
        <w:rPr>
          <w:rFonts w:eastAsia="Times New Roman" w:cs="Times New Roman"/>
          <w:szCs w:val="24"/>
          <w:lang w:eastAsia="cs-CZ"/>
        </w:rPr>
        <w:t>byla mim</w:t>
      </w:r>
      <w:r w:rsidR="007252AC">
        <w:rPr>
          <w:rFonts w:eastAsia="Times New Roman" w:cs="Times New Roman"/>
          <w:szCs w:val="24"/>
          <w:lang w:eastAsia="cs-CZ"/>
        </w:rPr>
        <w:t>o jiné uplatn</w:t>
      </w:r>
      <w:r w:rsidR="000B6711">
        <w:rPr>
          <w:rFonts w:eastAsia="Times New Roman" w:cs="Times New Roman"/>
          <w:szCs w:val="24"/>
          <w:lang w:eastAsia="cs-CZ"/>
        </w:rPr>
        <w:t>ěna</w:t>
      </w:r>
      <w:r>
        <w:rPr>
          <w:rFonts w:cs="Times New Roman"/>
          <w:szCs w:val="24"/>
        </w:rPr>
        <w:t xml:space="preserve"> </w:t>
      </w:r>
      <w:r w:rsidR="007252AC">
        <w:rPr>
          <w:rFonts w:cs="Times New Roman"/>
          <w:szCs w:val="24"/>
        </w:rPr>
        <w:t>a stručně odůvodn</w:t>
      </w:r>
      <w:r w:rsidR="000B6711">
        <w:rPr>
          <w:rFonts w:cs="Times New Roman"/>
          <w:szCs w:val="24"/>
        </w:rPr>
        <w:t>ěna</w:t>
      </w:r>
      <w:r w:rsidR="007252AC">
        <w:rPr>
          <w:rFonts w:cs="Times New Roman"/>
          <w:szCs w:val="24"/>
        </w:rPr>
        <w:t xml:space="preserve"> </w:t>
      </w:r>
      <w:r>
        <w:rPr>
          <w:rFonts w:cs="Times New Roman"/>
          <w:szCs w:val="24"/>
        </w:rPr>
        <w:t>pod bodem 16) a násl.</w:t>
      </w:r>
      <w:r w:rsidR="007252AC">
        <w:rPr>
          <w:rFonts w:cs="Times New Roman"/>
          <w:szCs w:val="24"/>
        </w:rPr>
        <w:t xml:space="preserve"> </w:t>
      </w:r>
      <w:r>
        <w:rPr>
          <w:rFonts w:cs="Times New Roman"/>
          <w:szCs w:val="24"/>
        </w:rPr>
        <w:t>námitk</w:t>
      </w:r>
      <w:r w:rsidR="000B6711">
        <w:rPr>
          <w:rFonts w:cs="Times New Roman"/>
          <w:szCs w:val="24"/>
        </w:rPr>
        <w:t>a</w:t>
      </w:r>
      <w:r>
        <w:rPr>
          <w:rFonts w:cs="Times New Roman"/>
          <w:szCs w:val="24"/>
        </w:rPr>
        <w:t xml:space="preserve"> </w:t>
      </w:r>
      <w:r>
        <w:t>nezákonnost</w:t>
      </w:r>
      <w:r w:rsidR="007252AC">
        <w:t>i</w:t>
      </w:r>
      <w:r>
        <w:t xml:space="preserve"> všech rozhodnutí vydaných Okresním soudem v Ostravě a Krajským soudem v Ostravě ve stadiu přípravného řízení v dané trestní věci, když tyto soudy ve světle nálezu pléna Ústavního soudu ze dne 19.4.2016, </w:t>
      </w:r>
      <w:proofErr w:type="spellStart"/>
      <w:r>
        <w:t>sp</w:t>
      </w:r>
      <w:proofErr w:type="spellEnd"/>
      <w:r>
        <w:t xml:space="preserve">. zn. </w:t>
      </w:r>
      <w:proofErr w:type="spellStart"/>
      <w:r>
        <w:t>Pl</w:t>
      </w:r>
      <w:proofErr w:type="spellEnd"/>
      <w:r>
        <w:t xml:space="preserve">. ÚS 4/14, rozhodovaly jako soudy místně nepříslušné, čímž došlo k porušení </w:t>
      </w:r>
      <w:r>
        <w:rPr>
          <w:rFonts w:eastAsia="Times New Roman"/>
        </w:rPr>
        <w:t xml:space="preserve">ústavně garantovaného "práva na zákonného soudce", </w:t>
      </w:r>
      <w:r w:rsidR="000B6711">
        <w:rPr>
          <w:rFonts w:eastAsia="Times New Roman"/>
        </w:rPr>
        <w:t>následkem čehož je</w:t>
      </w:r>
      <w:r>
        <w:rPr>
          <w:rFonts w:eastAsia="Times New Roman"/>
        </w:rPr>
        <w:t xml:space="preserve"> nezákonnost takových rozhodnutí</w:t>
      </w:r>
      <w:r w:rsidR="007252AC">
        <w:rPr>
          <w:rFonts w:eastAsia="Times New Roman"/>
        </w:rPr>
        <w:t xml:space="preserve">. Tímto podáním tedy navazuji na </w:t>
      </w:r>
      <w:r w:rsidR="000B6711">
        <w:rPr>
          <w:rFonts w:eastAsia="Times New Roman"/>
        </w:rPr>
        <w:t xml:space="preserve">tuto </w:t>
      </w:r>
      <w:r w:rsidR="007252AC">
        <w:rPr>
          <w:rFonts w:eastAsia="Times New Roman"/>
        </w:rPr>
        <w:t>vznesenou námitku nezákonnosti</w:t>
      </w:r>
      <w:r w:rsidR="000B6711">
        <w:rPr>
          <w:rFonts w:eastAsia="Times New Roman"/>
        </w:rPr>
        <w:t xml:space="preserve"> rozhodnutí </w:t>
      </w:r>
      <w:r w:rsidR="000B6711">
        <w:t>vydaných Okresním soudem v Ostravě a Krajským soudem v Ostravě ve stadiu přípravného řízení v dané trestní věci</w:t>
      </w:r>
      <w:r w:rsidR="007252AC">
        <w:rPr>
          <w:rFonts w:eastAsia="Times New Roman"/>
        </w:rPr>
        <w:t xml:space="preserve">, </w:t>
      </w:r>
      <w:r w:rsidR="000B6711">
        <w:rPr>
          <w:rFonts w:eastAsia="Times New Roman"/>
        </w:rPr>
        <w:t>a uvedenou námitku</w:t>
      </w:r>
      <w:r w:rsidR="007252AC">
        <w:rPr>
          <w:rFonts w:eastAsia="Times New Roman"/>
        </w:rPr>
        <w:t xml:space="preserve"> podrobně</w:t>
      </w:r>
    </w:p>
    <w:p w:rsidR="000B6711" w:rsidRDefault="000B6711" w:rsidP="007252AC">
      <w:pPr>
        <w:spacing w:after="0"/>
        <w:ind w:firstLine="141"/>
        <w:rPr>
          <w:rFonts w:eastAsia="Times New Roman"/>
        </w:rPr>
      </w:pPr>
    </w:p>
    <w:p w:rsidR="00537AF1" w:rsidRPr="000B6711" w:rsidRDefault="000B6711" w:rsidP="000B6711">
      <w:pPr>
        <w:spacing w:after="0"/>
        <w:jc w:val="center"/>
        <w:rPr>
          <w:rFonts w:cs="Times New Roman"/>
          <w:b/>
          <w:szCs w:val="24"/>
        </w:rPr>
      </w:pPr>
      <w:proofErr w:type="gramStart"/>
      <w:r w:rsidRPr="000B6711">
        <w:rPr>
          <w:rFonts w:eastAsia="Times New Roman"/>
          <w:b/>
        </w:rPr>
        <w:t xml:space="preserve">o </w:t>
      </w:r>
      <w:r w:rsidR="007252AC" w:rsidRPr="000B6711">
        <w:rPr>
          <w:rFonts w:eastAsia="Times New Roman"/>
          <w:b/>
        </w:rPr>
        <w:t>d</w:t>
      </w:r>
      <w:r w:rsidRPr="000B6711">
        <w:rPr>
          <w:rFonts w:eastAsia="Times New Roman"/>
          <w:b/>
        </w:rPr>
        <w:t xml:space="preserve"> </w:t>
      </w:r>
      <w:r w:rsidR="007252AC" w:rsidRPr="000B6711">
        <w:rPr>
          <w:rFonts w:eastAsia="Times New Roman"/>
          <w:b/>
        </w:rPr>
        <w:t>ů</w:t>
      </w:r>
      <w:r w:rsidRPr="000B6711">
        <w:rPr>
          <w:rFonts w:eastAsia="Times New Roman"/>
          <w:b/>
        </w:rPr>
        <w:t xml:space="preserve"> </w:t>
      </w:r>
      <w:r w:rsidR="007252AC" w:rsidRPr="000B6711">
        <w:rPr>
          <w:rFonts w:eastAsia="Times New Roman"/>
          <w:b/>
        </w:rPr>
        <w:t>v</w:t>
      </w:r>
      <w:r w:rsidRPr="000B6711">
        <w:rPr>
          <w:rFonts w:eastAsia="Times New Roman"/>
          <w:b/>
        </w:rPr>
        <w:t> </w:t>
      </w:r>
      <w:r w:rsidR="007252AC" w:rsidRPr="000B6711">
        <w:rPr>
          <w:rFonts w:eastAsia="Times New Roman"/>
          <w:b/>
        </w:rPr>
        <w:t>o</w:t>
      </w:r>
      <w:r w:rsidRPr="000B6711">
        <w:rPr>
          <w:rFonts w:eastAsia="Times New Roman"/>
          <w:b/>
        </w:rPr>
        <w:t xml:space="preserve"> </w:t>
      </w:r>
      <w:r w:rsidR="007252AC" w:rsidRPr="000B6711">
        <w:rPr>
          <w:rFonts w:eastAsia="Times New Roman"/>
          <w:b/>
        </w:rPr>
        <w:t>d</w:t>
      </w:r>
      <w:r w:rsidRPr="000B6711">
        <w:rPr>
          <w:rFonts w:eastAsia="Times New Roman"/>
          <w:b/>
        </w:rPr>
        <w:t xml:space="preserve"> </w:t>
      </w:r>
      <w:r w:rsidR="007252AC" w:rsidRPr="000B6711">
        <w:rPr>
          <w:rFonts w:eastAsia="Times New Roman"/>
          <w:b/>
        </w:rPr>
        <w:t>ň</w:t>
      </w:r>
      <w:r w:rsidRPr="000B6711">
        <w:rPr>
          <w:rFonts w:eastAsia="Times New Roman"/>
          <w:b/>
        </w:rPr>
        <w:t xml:space="preserve"> </w:t>
      </w:r>
      <w:r w:rsidR="007252AC" w:rsidRPr="000B6711">
        <w:rPr>
          <w:rFonts w:eastAsia="Times New Roman"/>
          <w:b/>
        </w:rPr>
        <w:t>u</w:t>
      </w:r>
      <w:r w:rsidRPr="000B6711">
        <w:rPr>
          <w:rFonts w:eastAsia="Times New Roman"/>
          <w:b/>
        </w:rPr>
        <w:t xml:space="preserve"> </w:t>
      </w:r>
      <w:r w:rsidR="007252AC" w:rsidRPr="000B6711">
        <w:rPr>
          <w:rFonts w:eastAsia="Times New Roman"/>
          <w:b/>
        </w:rPr>
        <w:t>j</w:t>
      </w:r>
      <w:r w:rsidRPr="000B6711">
        <w:rPr>
          <w:rFonts w:eastAsia="Times New Roman"/>
          <w:b/>
        </w:rPr>
        <w:t xml:space="preserve"> </w:t>
      </w:r>
      <w:r w:rsidR="007252AC" w:rsidRPr="000B6711">
        <w:rPr>
          <w:rFonts w:eastAsia="Times New Roman"/>
          <w:b/>
        </w:rPr>
        <w:t>i</w:t>
      </w:r>
      <w:r w:rsidRPr="000B6711">
        <w:rPr>
          <w:rFonts w:eastAsia="Times New Roman"/>
          <w:b/>
        </w:rPr>
        <w:t xml:space="preserve">  t a k t o:</w:t>
      </w:r>
      <w:proofErr w:type="gramEnd"/>
    </w:p>
    <w:p w:rsidR="00537AF1" w:rsidRDefault="00537AF1" w:rsidP="00537AF1">
      <w:pPr>
        <w:autoSpaceDE w:val="0"/>
        <w:autoSpaceDN w:val="0"/>
        <w:adjustRightInd w:val="0"/>
        <w:spacing w:after="120"/>
        <w:ind w:right="283" w:firstLine="141"/>
        <w:rPr>
          <w:rFonts w:cs="Times New Roman"/>
          <w:szCs w:val="24"/>
        </w:rPr>
      </w:pPr>
    </w:p>
    <w:p w:rsidR="000B6711" w:rsidRDefault="000B6711" w:rsidP="00537AF1">
      <w:pPr>
        <w:autoSpaceDE w:val="0"/>
        <w:autoSpaceDN w:val="0"/>
        <w:adjustRightInd w:val="0"/>
        <w:spacing w:after="120"/>
        <w:ind w:right="283" w:firstLine="141"/>
        <w:rPr>
          <w:rFonts w:cs="Times New Roman"/>
          <w:szCs w:val="24"/>
        </w:rPr>
      </w:pPr>
    </w:p>
    <w:p w:rsidR="000B6711" w:rsidRDefault="000B6711" w:rsidP="000B6711">
      <w:pPr>
        <w:spacing w:after="0"/>
        <w:rPr>
          <w:rFonts w:cs="Times New Roman"/>
          <w:szCs w:val="24"/>
        </w:rPr>
      </w:pPr>
      <w:r>
        <w:rPr>
          <w:rFonts w:cs="Times New Roman"/>
          <w:szCs w:val="24"/>
        </w:rPr>
        <w:t>1)</w:t>
      </w:r>
      <w:r>
        <w:rPr>
          <w:rFonts w:cs="Times New Roman"/>
          <w:szCs w:val="24"/>
        </w:rPr>
        <w:tab/>
        <w:t xml:space="preserve">Ústavní soud v nálezu </w:t>
      </w:r>
      <w:proofErr w:type="spellStart"/>
      <w:r w:rsidRPr="00386F7A">
        <w:rPr>
          <w:rFonts w:cs="Times New Roman"/>
          <w:szCs w:val="24"/>
        </w:rPr>
        <w:t>Pl</w:t>
      </w:r>
      <w:proofErr w:type="spellEnd"/>
      <w:r w:rsidRPr="00386F7A">
        <w:rPr>
          <w:rFonts w:cs="Times New Roman"/>
          <w:szCs w:val="24"/>
        </w:rPr>
        <w:t xml:space="preserve">. ÚS 4/14, ze dne </w:t>
      </w:r>
      <w:proofErr w:type="gramStart"/>
      <w:r w:rsidRPr="00386F7A">
        <w:rPr>
          <w:rFonts w:cs="Times New Roman"/>
          <w:szCs w:val="24"/>
        </w:rPr>
        <w:t>19.4.2016</w:t>
      </w:r>
      <w:proofErr w:type="gramEnd"/>
      <w:r>
        <w:rPr>
          <w:rFonts w:cs="Times New Roman"/>
          <w:szCs w:val="24"/>
        </w:rPr>
        <w:t xml:space="preserve"> (dále jen jako „nález </w:t>
      </w:r>
      <w:proofErr w:type="spellStart"/>
      <w:r w:rsidRPr="00386F7A">
        <w:rPr>
          <w:rFonts w:cs="Times New Roman"/>
          <w:szCs w:val="24"/>
        </w:rPr>
        <w:t>Pl</w:t>
      </w:r>
      <w:proofErr w:type="spellEnd"/>
      <w:r w:rsidRPr="00386F7A">
        <w:rPr>
          <w:rFonts w:cs="Times New Roman"/>
          <w:szCs w:val="24"/>
        </w:rPr>
        <w:t>. ÚS 4/14</w:t>
      </w:r>
      <w:r>
        <w:rPr>
          <w:rFonts w:cs="Times New Roman"/>
          <w:szCs w:val="24"/>
        </w:rPr>
        <w:t>“)</w:t>
      </w:r>
      <w:r w:rsidRPr="00412664">
        <w:rPr>
          <w:rFonts w:cs="Times New Roman"/>
          <w:szCs w:val="24"/>
        </w:rPr>
        <w:t xml:space="preserve"> </w:t>
      </w:r>
      <w:r>
        <w:rPr>
          <w:rFonts w:cs="Times New Roman"/>
          <w:szCs w:val="24"/>
        </w:rPr>
        <w:t xml:space="preserve">dovodil, že situace, kdy je ponecháno prakticky výlučně na úvaze státního zástupce krajského nebo vrchního státního zastupitelství, k jakému soudu podá návrh zajišťovacího úkonu, je protiústavní a odporuje čl. 38 odst. 1 Listiny: </w:t>
      </w:r>
      <w:r w:rsidRPr="00B749FC">
        <w:rPr>
          <w:rFonts w:cs="Times New Roman"/>
          <w:szCs w:val="24"/>
        </w:rPr>
        <w:t>„</w:t>
      </w:r>
      <w:r w:rsidRPr="00B749FC">
        <w:rPr>
          <w:rFonts w:cs="Times New Roman"/>
          <w:i/>
          <w:szCs w:val="24"/>
        </w:rPr>
        <w:t>V rozporu s čl. 38 odst. 1 Listiny by byl takový výklad § 26 trestního řádu, podle kterého by bylo ponecháno na úvaze státnímu zástupci krajského nebo vrchního státního zastupitelství, jaký z okresních soudů v jeho obvodu zvolí, resp. ke kterému z nich příslušný návrh podá.</w:t>
      </w:r>
      <w:r w:rsidRPr="00B749FC">
        <w:rPr>
          <w:rFonts w:cs="Times New Roman"/>
          <w:szCs w:val="24"/>
        </w:rPr>
        <w:t>“</w:t>
      </w:r>
      <w:r>
        <w:rPr>
          <w:rFonts w:cs="Times New Roman"/>
          <w:szCs w:val="24"/>
        </w:rPr>
        <w:t xml:space="preserve">. Ústavní soud také v citovaném nálezu výslovně stanovil, že i v těchto případech se musí uplatnit ustanovení trestního řádu o místní příslušnosti dle § 18: </w:t>
      </w:r>
      <w:r w:rsidRPr="00C50ECB">
        <w:rPr>
          <w:rFonts w:cs="Times New Roman"/>
          <w:szCs w:val="24"/>
        </w:rPr>
        <w:t>„</w:t>
      </w:r>
      <w:r w:rsidRPr="00C50ECB">
        <w:rPr>
          <w:rFonts w:cs="Times New Roman"/>
          <w:i/>
          <w:szCs w:val="24"/>
        </w:rPr>
        <w:t>návrhy státních zástupců krajských státních zastupitelství a vrchních státních zastupitelství v přípravném řízení musí v souladu s čl. 38 odst. 1 Listiny základních práv a svobod směřovat vůči okresnímu soudu příslušnému podle § 18 trestního řádu</w:t>
      </w:r>
      <w:r w:rsidRPr="00C50ECB">
        <w:rPr>
          <w:rFonts w:cs="Times New Roman"/>
          <w:szCs w:val="24"/>
        </w:rPr>
        <w:t>.“</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2)</w:t>
      </w:r>
      <w:r>
        <w:rPr>
          <w:rFonts w:cs="Times New Roman"/>
          <w:szCs w:val="24"/>
        </w:rPr>
        <w:tab/>
        <w:t xml:space="preserve">Z uvedeného tedy vyplývá, že krajská a státní zastupitelství se musejí při podávání procesních návrhů okresním soudům řídit striktně ustanovením o místní příslušnosti v § 18 </w:t>
      </w:r>
      <w:proofErr w:type="spellStart"/>
      <w:r>
        <w:rPr>
          <w:rFonts w:cs="Times New Roman"/>
          <w:szCs w:val="24"/>
        </w:rPr>
        <w:t>tr</w:t>
      </w:r>
      <w:proofErr w:type="spellEnd"/>
      <w:r>
        <w:rPr>
          <w:rFonts w:cs="Times New Roman"/>
          <w:szCs w:val="24"/>
        </w:rPr>
        <w:t xml:space="preserve">. </w:t>
      </w:r>
      <w:proofErr w:type="gramStart"/>
      <w:r>
        <w:rPr>
          <w:rFonts w:cs="Times New Roman"/>
          <w:szCs w:val="24"/>
        </w:rPr>
        <w:t>řádu</w:t>
      </w:r>
      <w:proofErr w:type="gramEnd"/>
      <w:r>
        <w:rPr>
          <w:rFonts w:cs="Times New Roman"/>
          <w:szCs w:val="24"/>
        </w:rPr>
        <w:t xml:space="preserve">, kdy navíc to, že předložili návrh konkrétnímu soudu musejí i náležitě odůvodnit. Ve věci </w:t>
      </w:r>
      <w:r w:rsidR="00154456">
        <w:rPr>
          <w:rFonts w:cs="Times New Roman"/>
          <w:szCs w:val="24"/>
        </w:rPr>
        <w:t>klienta</w:t>
      </w:r>
      <w:r>
        <w:rPr>
          <w:rFonts w:cs="Times New Roman"/>
          <w:szCs w:val="24"/>
        </w:rPr>
        <w:t xml:space="preserve"> však došlo k tomu, že orgány činné v trestním řízení se tímto pravidlem neřídily a v případě </w:t>
      </w:r>
      <w:r w:rsidR="00154456">
        <w:rPr>
          <w:rFonts w:cs="Times New Roman"/>
          <w:szCs w:val="24"/>
        </w:rPr>
        <w:t xml:space="preserve">zajišťovacích úkonů v přípravném řízení (jmenovitě </w:t>
      </w:r>
      <w:r w:rsidR="001B6A23" w:rsidRPr="001B6A23">
        <w:rPr>
          <w:rFonts w:cs="Times New Roman"/>
          <w:szCs w:val="24"/>
        </w:rPr>
        <w:t>příkaz</w:t>
      </w:r>
      <w:r w:rsidR="001B6A23">
        <w:rPr>
          <w:rFonts w:cs="Times New Roman"/>
          <w:szCs w:val="24"/>
        </w:rPr>
        <w:t>y</w:t>
      </w:r>
      <w:r w:rsidR="001B6A23" w:rsidRPr="001B6A23">
        <w:rPr>
          <w:rFonts w:cs="Times New Roman"/>
          <w:szCs w:val="24"/>
        </w:rPr>
        <w:t xml:space="preserve"> k odposlechu a záznamu telekomunikačního provozu</w:t>
      </w:r>
      <w:r w:rsidR="001B6A23">
        <w:rPr>
          <w:rFonts w:cs="Times New Roman"/>
          <w:szCs w:val="24"/>
        </w:rPr>
        <w:t xml:space="preserve">, </w:t>
      </w:r>
      <w:r w:rsidR="00154456">
        <w:rPr>
          <w:rFonts w:cs="Times New Roman"/>
          <w:szCs w:val="24"/>
        </w:rPr>
        <w:t xml:space="preserve">nařízení domovních prohlídek, nařízení prohlídek jiných </w:t>
      </w:r>
      <w:proofErr w:type="gramStart"/>
      <w:r w:rsidR="00154456">
        <w:rPr>
          <w:rFonts w:cs="Times New Roman"/>
          <w:szCs w:val="24"/>
        </w:rPr>
        <w:t>prostor</w:t>
      </w:r>
      <w:r w:rsidR="001B6A23">
        <w:rPr>
          <w:rFonts w:cs="Times New Roman"/>
          <w:szCs w:val="24"/>
        </w:rPr>
        <w:t>)</w:t>
      </w:r>
      <w:r w:rsidR="00154456">
        <w:rPr>
          <w:rFonts w:cs="Times New Roman"/>
          <w:szCs w:val="24"/>
        </w:rPr>
        <w:t xml:space="preserve"> </w:t>
      </w:r>
      <w:r>
        <w:rPr>
          <w:rFonts w:cs="Times New Roman"/>
          <w:szCs w:val="24"/>
        </w:rPr>
        <w:t xml:space="preserve"> postupovaly</w:t>
      </w:r>
      <w:proofErr w:type="gramEnd"/>
      <w:r>
        <w:rPr>
          <w:rFonts w:cs="Times New Roman"/>
          <w:szCs w:val="24"/>
        </w:rPr>
        <w:t xml:space="preserve"> v rozporu s ustanovením o místní příslušnosti</w:t>
      </w:r>
      <w:r w:rsidR="001B6A23">
        <w:rPr>
          <w:rFonts w:cs="Times New Roman"/>
          <w:szCs w:val="24"/>
        </w:rPr>
        <w:t>.</w:t>
      </w:r>
      <w:r>
        <w:rPr>
          <w:rFonts w:cs="Times New Roman"/>
          <w:szCs w:val="24"/>
        </w:rPr>
        <w:t xml:space="preserve"> </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3)</w:t>
      </w:r>
      <w:r>
        <w:rPr>
          <w:rFonts w:cs="Times New Roman"/>
          <w:szCs w:val="24"/>
        </w:rPr>
        <w:tab/>
        <w:t xml:space="preserve">Je třeba </w:t>
      </w:r>
      <w:r w:rsidR="00036702">
        <w:rPr>
          <w:rFonts w:cs="Times New Roman"/>
          <w:szCs w:val="24"/>
        </w:rPr>
        <w:t>konstatovat</w:t>
      </w:r>
      <w:r>
        <w:rPr>
          <w:rFonts w:cs="Times New Roman"/>
          <w:szCs w:val="24"/>
        </w:rPr>
        <w:t xml:space="preserve">, že výše citovávané závěry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se musejí nutně vztahovat i na trestní věc </w:t>
      </w:r>
      <w:r w:rsidR="001B6A23">
        <w:rPr>
          <w:rFonts w:cs="Times New Roman"/>
          <w:szCs w:val="24"/>
        </w:rPr>
        <w:t>obžalovaného</w:t>
      </w:r>
      <w:r>
        <w:rPr>
          <w:rFonts w:cs="Times New Roman"/>
          <w:szCs w:val="24"/>
        </w:rPr>
        <w:t xml:space="preserve"> a to bez ohledu na to, že dané trestní řízení bylo zahájeno již před vydáním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Trestní řízení </w:t>
      </w:r>
      <w:r w:rsidR="00036702">
        <w:rPr>
          <w:rFonts w:cs="Times New Roman"/>
          <w:szCs w:val="24"/>
        </w:rPr>
        <w:t>v dané věci</w:t>
      </w:r>
      <w:r>
        <w:rPr>
          <w:rFonts w:cs="Times New Roman"/>
          <w:szCs w:val="24"/>
        </w:rPr>
        <w:t xml:space="preserve"> </w:t>
      </w:r>
      <w:r w:rsidR="00B9169E">
        <w:rPr>
          <w:rFonts w:cs="Times New Roman"/>
          <w:szCs w:val="24"/>
        </w:rPr>
        <w:t>není totiž</w:t>
      </w:r>
      <w:r>
        <w:rPr>
          <w:rFonts w:cs="Times New Roman"/>
          <w:szCs w:val="24"/>
        </w:rPr>
        <w:t xml:space="preserve"> pravomocně skončeno a jako na takové se na něj musí vztahovat i nález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se všemi jeho důsledky, tedy i s tím, že ve věci </w:t>
      </w:r>
      <w:r w:rsidR="001B6A23">
        <w:rPr>
          <w:rFonts w:cs="Times New Roman"/>
          <w:szCs w:val="24"/>
        </w:rPr>
        <w:t>obžalovaného</w:t>
      </w:r>
      <w:r>
        <w:rPr>
          <w:rFonts w:cs="Times New Roman"/>
          <w:szCs w:val="24"/>
        </w:rPr>
        <w:t xml:space="preserve"> došlo k porušení § 26 ve spojení s § 18 </w:t>
      </w:r>
      <w:proofErr w:type="spellStart"/>
      <w:r>
        <w:rPr>
          <w:rFonts w:cs="Times New Roman"/>
          <w:szCs w:val="24"/>
        </w:rPr>
        <w:t>tr</w:t>
      </w:r>
      <w:proofErr w:type="spellEnd"/>
      <w:r>
        <w:rPr>
          <w:rFonts w:cs="Times New Roman"/>
          <w:szCs w:val="24"/>
        </w:rPr>
        <w:t xml:space="preserve">. </w:t>
      </w:r>
      <w:proofErr w:type="gramStart"/>
      <w:r>
        <w:rPr>
          <w:rFonts w:cs="Times New Roman"/>
          <w:szCs w:val="24"/>
        </w:rPr>
        <w:t>řádu</w:t>
      </w:r>
      <w:proofErr w:type="gramEnd"/>
      <w:r>
        <w:rPr>
          <w:rFonts w:cs="Times New Roman"/>
          <w:szCs w:val="24"/>
        </w:rPr>
        <w:t xml:space="preserve"> a v souladu s dikcí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taktéž k porušení práva </w:t>
      </w:r>
      <w:r w:rsidR="001B6A23">
        <w:rPr>
          <w:rFonts w:cs="Times New Roman"/>
          <w:szCs w:val="24"/>
        </w:rPr>
        <w:t>klienta</w:t>
      </w:r>
      <w:r>
        <w:rPr>
          <w:rFonts w:cs="Times New Roman"/>
          <w:szCs w:val="24"/>
        </w:rPr>
        <w:t xml:space="preserve"> na zákonného soudce dle čl. 38 odst. 1 Listiny. </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lastRenderedPageBreak/>
        <w:t>4)</w:t>
      </w:r>
      <w:r>
        <w:rPr>
          <w:rFonts w:cs="Times New Roman"/>
          <w:szCs w:val="24"/>
        </w:rPr>
        <w:tab/>
      </w:r>
      <w:r w:rsidR="001B6A23">
        <w:rPr>
          <w:rFonts w:cs="Times New Roman"/>
          <w:szCs w:val="24"/>
        </w:rPr>
        <w:t>J</w:t>
      </w:r>
      <w:r>
        <w:rPr>
          <w:rFonts w:cs="Times New Roman"/>
          <w:szCs w:val="24"/>
        </w:rPr>
        <w:t xml:space="preserve">e třeba uvést, že Ústavní soud časové účinky svého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na již běžící trestní řízení v tomto nálezu neřeší jednoznačně ani závazně. Pouze v bodu 120 tohoto nálezu je uvedeno následující: „</w:t>
      </w:r>
      <w:r w:rsidRPr="001E326C">
        <w:rPr>
          <w:rFonts w:cs="Times New Roman"/>
          <w:i/>
          <w:szCs w:val="24"/>
        </w:rPr>
        <w:t xml:space="preserve">Ústavní soud v souvislosti s právním názorem vyjádřeným v odůvodnění rozhodnutí v projednávané věci připomíná, že jím provedený ústavně konformní výklad napadených ustanovení předmětné vyhlášky nemá (srov. § 71 zákona o Ústavním soudu a </w:t>
      </w:r>
      <w:proofErr w:type="spellStart"/>
      <w:r w:rsidRPr="001E326C">
        <w:rPr>
          <w:rFonts w:cs="Times New Roman"/>
          <w:i/>
          <w:szCs w:val="24"/>
        </w:rPr>
        <w:t>contr</w:t>
      </w:r>
      <w:proofErr w:type="spellEnd"/>
      <w:r w:rsidRPr="001E326C">
        <w:rPr>
          <w:rFonts w:cs="Times New Roman"/>
          <w:i/>
          <w:szCs w:val="24"/>
        </w:rPr>
        <w:t>.) bez dalšího dopad na následné hodnocení trestních řízení, v nichž byla napadené ustanovení aplikována.</w:t>
      </w:r>
      <w:r>
        <w:rPr>
          <w:rFonts w:cs="Times New Roman"/>
          <w:szCs w:val="24"/>
        </w:rPr>
        <w:t xml:space="preserve">“ V prvé řadě - § 71 zákona o Ústavním soudu (zákon č. 182/1993 Sb.) se zabývá případy, kdy byl zrušen právní předpis nebo jeho část. Nálezem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však žádný právní předpis zrušen nebyl, jelikož návrh byl zamítnut a podřazovat tedy uvedenou situaci pod ustanovení § 71 zákona o Ústavním soudu by už z tohoto důvodu bylo chybné.</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5)</w:t>
      </w:r>
      <w:r>
        <w:rPr>
          <w:rFonts w:cs="Times New Roman"/>
          <w:szCs w:val="24"/>
        </w:rPr>
        <w:tab/>
        <w:t>I kdyby se odhlédlo od výše uvedeného nedostatku podmínky „zrušení předpisu nebo jeho části“, je třeba poukázat na to, že „</w:t>
      </w:r>
      <w:r w:rsidRPr="00F9194D">
        <w:rPr>
          <w:rFonts w:cs="Times New Roman"/>
          <w:i/>
          <w:szCs w:val="24"/>
        </w:rPr>
        <w:t>ustanovení § 71 zcela opomíjí řešení následků spojených se zrušením procesní normy tak, jak se mají či nemají promítnout do případů, které jsou takříkajíc v běhu</w:t>
      </w:r>
      <w:r>
        <w:rPr>
          <w:rFonts w:cs="Times New Roman"/>
          <w:szCs w:val="24"/>
        </w:rPr>
        <w:t>“ (</w:t>
      </w:r>
      <w:r w:rsidRPr="00B973B6">
        <w:rPr>
          <w:rFonts w:cs="Times New Roman"/>
          <w:szCs w:val="24"/>
        </w:rPr>
        <w:t xml:space="preserve">Odlišné stanovisko soudkyně Elišky Wagnerové ke stanovisku pléna Ústavního soudu </w:t>
      </w:r>
      <w:proofErr w:type="spellStart"/>
      <w:r w:rsidRPr="00B973B6">
        <w:rPr>
          <w:rFonts w:cs="Times New Roman"/>
          <w:szCs w:val="24"/>
        </w:rPr>
        <w:t>Pl</w:t>
      </w:r>
      <w:proofErr w:type="spellEnd"/>
      <w:r w:rsidRPr="00B973B6">
        <w:rPr>
          <w:rFonts w:cs="Times New Roman"/>
          <w:szCs w:val="24"/>
        </w:rPr>
        <w:t>. Ú</w:t>
      </w:r>
      <w:r>
        <w:rPr>
          <w:rFonts w:cs="Times New Roman"/>
          <w:szCs w:val="24"/>
        </w:rPr>
        <w:t>S-st. 31/10 ze dne 14. 12. 2010)</w:t>
      </w:r>
      <w:r w:rsidR="00B9169E">
        <w:rPr>
          <w:rFonts w:cs="Times New Roman"/>
          <w:szCs w:val="24"/>
        </w:rPr>
        <w:t>.</w:t>
      </w:r>
      <w:r>
        <w:rPr>
          <w:rFonts w:cs="Times New Roman"/>
          <w:szCs w:val="24"/>
        </w:rPr>
        <w:t xml:space="preserve"> To je tedy další důvod, proč by se ustanovení tohoto paragrafu nemělo v daném případě vůbec aplikovat. Tento závěr potvrzuje i citované stanovisko</w:t>
      </w:r>
      <w:r w:rsidRPr="00B973B6">
        <w:rPr>
          <w:rFonts w:cs="Times New Roman"/>
          <w:szCs w:val="24"/>
        </w:rPr>
        <w:t xml:space="preserve"> pléna Ústavního soudu </w:t>
      </w:r>
      <w:proofErr w:type="spellStart"/>
      <w:r w:rsidRPr="00B973B6">
        <w:rPr>
          <w:rFonts w:cs="Times New Roman"/>
          <w:szCs w:val="24"/>
        </w:rPr>
        <w:t>Pl</w:t>
      </w:r>
      <w:proofErr w:type="spellEnd"/>
      <w:r w:rsidRPr="00B973B6">
        <w:rPr>
          <w:rFonts w:cs="Times New Roman"/>
          <w:szCs w:val="24"/>
        </w:rPr>
        <w:t>. Ú</w:t>
      </w:r>
      <w:r>
        <w:rPr>
          <w:rFonts w:cs="Times New Roman"/>
          <w:szCs w:val="24"/>
        </w:rPr>
        <w:t>S-st. 31/10: „</w:t>
      </w:r>
      <w:r w:rsidRPr="00840D09">
        <w:rPr>
          <w:rFonts w:cs="Times New Roman"/>
          <w:i/>
          <w:szCs w:val="24"/>
        </w:rPr>
        <w:t>ustanovení odstavce 1 (míněn § 71) se v daném případě neuplatní, neboť toto ustanovení primárně míří do poměrů hmotněprávních spíše než na situace, kdy je prospektivně zrušeno či za protiústavní prohlášeno procesní ustanovení upravující režim dílčích procesních úkonů v trestním řízení, zejména nerozhodl-li Ústavní soud o časových aspektech vykonatelnosti svého derogačního zásahu jinak (§ 58 odst. 1 zákona o Ústavním soudu)</w:t>
      </w:r>
      <w:r>
        <w:rPr>
          <w:rFonts w:cs="Times New Roman"/>
          <w:szCs w:val="24"/>
        </w:rPr>
        <w:t>“ (</w:t>
      </w:r>
      <w:r w:rsidRPr="00840D09">
        <w:rPr>
          <w:rFonts w:cs="Times New Roman"/>
          <w:szCs w:val="24"/>
        </w:rPr>
        <w:t xml:space="preserve">stanovisku pléna Ústavního soudu </w:t>
      </w:r>
      <w:proofErr w:type="spellStart"/>
      <w:r w:rsidRPr="00840D09">
        <w:rPr>
          <w:rFonts w:cs="Times New Roman"/>
          <w:szCs w:val="24"/>
        </w:rPr>
        <w:t>Pl</w:t>
      </w:r>
      <w:proofErr w:type="spellEnd"/>
      <w:r w:rsidRPr="00840D09">
        <w:rPr>
          <w:rFonts w:cs="Times New Roman"/>
          <w:szCs w:val="24"/>
        </w:rPr>
        <w:t>.</w:t>
      </w:r>
      <w:r>
        <w:rPr>
          <w:rFonts w:cs="Times New Roman"/>
          <w:szCs w:val="24"/>
        </w:rPr>
        <w:t xml:space="preserve"> </w:t>
      </w:r>
      <w:r w:rsidRPr="00840D09">
        <w:rPr>
          <w:rFonts w:cs="Times New Roman"/>
          <w:szCs w:val="24"/>
        </w:rPr>
        <w:t>ÚS-st. 31/10 ze dne 14. 12. 2010</w:t>
      </w:r>
      <w:r>
        <w:rPr>
          <w:rFonts w:cs="Times New Roman"/>
          <w:szCs w:val="24"/>
        </w:rPr>
        <w:t xml:space="preserve">). </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6)</w:t>
      </w:r>
      <w:r>
        <w:rPr>
          <w:rFonts w:cs="Times New Roman"/>
          <w:szCs w:val="24"/>
        </w:rPr>
        <w:tab/>
        <w:t xml:space="preserve">Citovaný nález </w:t>
      </w:r>
      <w:proofErr w:type="spellStart"/>
      <w:r w:rsidRPr="00840D09">
        <w:rPr>
          <w:rFonts w:cs="Times New Roman"/>
          <w:szCs w:val="24"/>
        </w:rPr>
        <w:t>Pl</w:t>
      </w:r>
      <w:proofErr w:type="spellEnd"/>
      <w:r w:rsidRPr="00840D09">
        <w:rPr>
          <w:rFonts w:cs="Times New Roman"/>
          <w:szCs w:val="24"/>
        </w:rPr>
        <w:t>.</w:t>
      </w:r>
      <w:r>
        <w:rPr>
          <w:rFonts w:cs="Times New Roman"/>
          <w:szCs w:val="24"/>
        </w:rPr>
        <w:t xml:space="preserve"> </w:t>
      </w:r>
      <w:r w:rsidRPr="00840D09">
        <w:rPr>
          <w:rFonts w:cs="Times New Roman"/>
          <w:szCs w:val="24"/>
        </w:rPr>
        <w:t>ÚS-st. 31/10</w:t>
      </w:r>
      <w:r>
        <w:rPr>
          <w:rFonts w:cs="Times New Roman"/>
          <w:szCs w:val="24"/>
        </w:rPr>
        <w:t xml:space="preserve"> uváděl, že je „</w:t>
      </w:r>
      <w:r w:rsidRPr="00E005EA">
        <w:rPr>
          <w:rFonts w:cs="Times New Roman"/>
          <w:i/>
          <w:szCs w:val="24"/>
        </w:rPr>
        <w:t xml:space="preserve">nutné nahlížet na </w:t>
      </w:r>
      <w:proofErr w:type="spellStart"/>
      <w:r w:rsidRPr="00E005EA">
        <w:rPr>
          <w:rFonts w:cs="Times New Roman"/>
          <w:i/>
          <w:szCs w:val="24"/>
        </w:rPr>
        <w:t>intertemporální</w:t>
      </w:r>
      <w:proofErr w:type="spellEnd"/>
      <w:r w:rsidRPr="00E005EA">
        <w:rPr>
          <w:rFonts w:cs="Times New Roman"/>
          <w:i/>
          <w:szCs w:val="24"/>
        </w:rPr>
        <w:t xml:space="preserve"> účinky nálezu </w:t>
      </w:r>
      <w:proofErr w:type="spellStart"/>
      <w:r w:rsidRPr="00E005EA">
        <w:rPr>
          <w:rFonts w:cs="Times New Roman"/>
          <w:i/>
          <w:szCs w:val="24"/>
        </w:rPr>
        <w:t>sp</w:t>
      </w:r>
      <w:proofErr w:type="spellEnd"/>
      <w:r w:rsidRPr="00E005EA">
        <w:rPr>
          <w:rFonts w:cs="Times New Roman"/>
          <w:i/>
          <w:szCs w:val="24"/>
        </w:rPr>
        <w:t xml:space="preserve">. zn. </w:t>
      </w:r>
      <w:proofErr w:type="spellStart"/>
      <w:r w:rsidRPr="00E005EA">
        <w:rPr>
          <w:rFonts w:cs="Times New Roman"/>
          <w:i/>
          <w:szCs w:val="24"/>
        </w:rPr>
        <w:t>Pl</w:t>
      </w:r>
      <w:proofErr w:type="spellEnd"/>
      <w:r w:rsidRPr="00E005EA">
        <w:rPr>
          <w:rFonts w:cs="Times New Roman"/>
          <w:i/>
          <w:szCs w:val="24"/>
        </w:rPr>
        <w:t xml:space="preserve">. ÚS 3/09 ze dne 8. 6. 2010 (N 121/57 </w:t>
      </w:r>
      <w:proofErr w:type="spellStart"/>
      <w:r w:rsidRPr="00E005EA">
        <w:rPr>
          <w:rFonts w:cs="Times New Roman"/>
          <w:i/>
          <w:szCs w:val="24"/>
        </w:rPr>
        <w:t>SbNU</w:t>
      </w:r>
      <w:proofErr w:type="spellEnd"/>
      <w:r w:rsidRPr="00E005EA">
        <w:rPr>
          <w:rFonts w:cs="Times New Roman"/>
          <w:i/>
          <w:szCs w:val="24"/>
        </w:rPr>
        <w:t xml:space="preserve"> 495; 219/2010 Sb.) tak, že se odvíjejí ex </w:t>
      </w:r>
      <w:proofErr w:type="spellStart"/>
      <w:r w:rsidRPr="00E005EA">
        <w:rPr>
          <w:rFonts w:cs="Times New Roman"/>
          <w:i/>
          <w:szCs w:val="24"/>
        </w:rPr>
        <w:t>nunc</w:t>
      </w:r>
      <w:proofErr w:type="spellEnd"/>
      <w:r>
        <w:rPr>
          <w:rFonts w:cs="Times New Roman"/>
          <w:szCs w:val="24"/>
        </w:rPr>
        <w:t xml:space="preserve"> (…)“, ale to je pouze ve vztahu ke konkrétnímu nálezu (tedy k nálezu</w:t>
      </w:r>
      <w:r w:rsidRPr="00E005EA">
        <w:rPr>
          <w:rFonts w:cs="Times New Roman"/>
          <w:szCs w:val="24"/>
        </w:rPr>
        <w:t xml:space="preserve"> </w:t>
      </w:r>
      <w:proofErr w:type="spellStart"/>
      <w:r w:rsidRPr="00E005EA">
        <w:rPr>
          <w:rFonts w:cs="Times New Roman"/>
          <w:szCs w:val="24"/>
        </w:rPr>
        <w:t>Pl</w:t>
      </w:r>
      <w:proofErr w:type="spellEnd"/>
      <w:r w:rsidRPr="00E005EA">
        <w:rPr>
          <w:rFonts w:cs="Times New Roman"/>
          <w:szCs w:val="24"/>
        </w:rPr>
        <w:t>. ÚS 3/09 ze dne 8. 6. 2010</w:t>
      </w:r>
      <w:r>
        <w:rPr>
          <w:rFonts w:cs="Times New Roman"/>
          <w:szCs w:val="24"/>
        </w:rPr>
        <w:t xml:space="preserve">). Opět je také třeba zdůraznit, že ve vztahu k </w:t>
      </w:r>
      <w:r w:rsidRPr="00A96998">
        <w:rPr>
          <w:rFonts w:cs="Times New Roman"/>
          <w:szCs w:val="24"/>
        </w:rPr>
        <w:t xml:space="preserve">nálezu </w:t>
      </w:r>
      <w:proofErr w:type="spellStart"/>
      <w:r w:rsidRPr="00A96998">
        <w:rPr>
          <w:rFonts w:cs="Times New Roman"/>
          <w:szCs w:val="24"/>
        </w:rPr>
        <w:t>Pl</w:t>
      </w:r>
      <w:proofErr w:type="spellEnd"/>
      <w:r w:rsidRPr="00A96998">
        <w:rPr>
          <w:rFonts w:cs="Times New Roman"/>
          <w:szCs w:val="24"/>
        </w:rPr>
        <w:t>. ÚS 3/09</w:t>
      </w:r>
      <w:r>
        <w:rPr>
          <w:rFonts w:cs="Times New Roman"/>
          <w:szCs w:val="24"/>
        </w:rPr>
        <w:t xml:space="preserve"> a ke </w:t>
      </w:r>
      <w:r w:rsidRPr="00840D09">
        <w:rPr>
          <w:rFonts w:cs="Times New Roman"/>
          <w:szCs w:val="24"/>
        </w:rPr>
        <w:t xml:space="preserve">stanovisku pléna Ústavního soudu </w:t>
      </w:r>
      <w:proofErr w:type="spellStart"/>
      <w:r w:rsidRPr="00840D09">
        <w:rPr>
          <w:rFonts w:cs="Times New Roman"/>
          <w:szCs w:val="24"/>
        </w:rPr>
        <w:t>Pl</w:t>
      </w:r>
      <w:proofErr w:type="spellEnd"/>
      <w:r w:rsidRPr="00840D09">
        <w:rPr>
          <w:rFonts w:cs="Times New Roman"/>
          <w:szCs w:val="24"/>
        </w:rPr>
        <w:t>.</w:t>
      </w:r>
      <w:r>
        <w:rPr>
          <w:rFonts w:cs="Times New Roman"/>
          <w:szCs w:val="24"/>
        </w:rPr>
        <w:t xml:space="preserve"> </w:t>
      </w:r>
      <w:r w:rsidRPr="00840D09">
        <w:rPr>
          <w:rFonts w:cs="Times New Roman"/>
          <w:szCs w:val="24"/>
        </w:rPr>
        <w:t>ÚS-st. 31/10</w:t>
      </w:r>
      <w:r>
        <w:rPr>
          <w:rFonts w:cs="Times New Roman"/>
          <w:szCs w:val="24"/>
        </w:rPr>
        <w:t>, se jednalo o situaci, kdy byla zrušena část právního předpisu (část u</w:t>
      </w:r>
      <w:r w:rsidRPr="00A96998">
        <w:rPr>
          <w:rFonts w:cs="Times New Roman"/>
          <w:szCs w:val="24"/>
        </w:rPr>
        <w:t>stanovení § 83a v odst. 1</w:t>
      </w:r>
      <w:r>
        <w:rPr>
          <w:rFonts w:cs="Times New Roman"/>
          <w:szCs w:val="24"/>
        </w:rPr>
        <w:t xml:space="preserve"> </w:t>
      </w:r>
      <w:proofErr w:type="spellStart"/>
      <w:r>
        <w:rPr>
          <w:rFonts w:cs="Times New Roman"/>
          <w:szCs w:val="24"/>
        </w:rPr>
        <w:t>tr</w:t>
      </w:r>
      <w:proofErr w:type="spellEnd"/>
      <w:r>
        <w:rPr>
          <w:rFonts w:cs="Times New Roman"/>
          <w:szCs w:val="24"/>
        </w:rPr>
        <w:t xml:space="preserve">. </w:t>
      </w:r>
      <w:proofErr w:type="gramStart"/>
      <w:r>
        <w:rPr>
          <w:rFonts w:cs="Times New Roman"/>
          <w:szCs w:val="24"/>
        </w:rPr>
        <w:t>řádu</w:t>
      </w:r>
      <w:proofErr w:type="gramEnd"/>
      <w:r>
        <w:rPr>
          <w:rFonts w:cs="Times New Roman"/>
          <w:szCs w:val="24"/>
        </w:rPr>
        <w:t xml:space="preserve">), což není případ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Zde, jak bylo uvedeno výše, vůbec ke zrušení právního předpisu ani jeho části nedošlo a tudíž na něj nelze stanovisko</w:t>
      </w:r>
      <w:r w:rsidRPr="00840D09">
        <w:rPr>
          <w:rFonts w:cs="Times New Roman"/>
          <w:szCs w:val="24"/>
        </w:rPr>
        <w:t xml:space="preserve"> pléna Ústavního soudu </w:t>
      </w:r>
      <w:proofErr w:type="spellStart"/>
      <w:r w:rsidRPr="00840D09">
        <w:rPr>
          <w:rFonts w:cs="Times New Roman"/>
          <w:szCs w:val="24"/>
        </w:rPr>
        <w:t>Pl</w:t>
      </w:r>
      <w:proofErr w:type="spellEnd"/>
      <w:r w:rsidRPr="00840D09">
        <w:rPr>
          <w:rFonts w:cs="Times New Roman"/>
          <w:szCs w:val="24"/>
        </w:rPr>
        <w:t>.</w:t>
      </w:r>
      <w:r>
        <w:rPr>
          <w:rFonts w:cs="Times New Roman"/>
          <w:szCs w:val="24"/>
        </w:rPr>
        <w:t xml:space="preserve"> </w:t>
      </w:r>
      <w:r w:rsidRPr="00840D09">
        <w:rPr>
          <w:rFonts w:cs="Times New Roman"/>
          <w:szCs w:val="24"/>
        </w:rPr>
        <w:t>ÚS-st. 31/10</w:t>
      </w:r>
      <w:r>
        <w:rPr>
          <w:rFonts w:cs="Times New Roman"/>
          <w:szCs w:val="24"/>
        </w:rPr>
        <w:t xml:space="preserve"> aplikovat.</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7)</w:t>
      </w:r>
      <w:r>
        <w:rPr>
          <w:rFonts w:cs="Times New Roman"/>
          <w:szCs w:val="24"/>
        </w:rPr>
        <w:tab/>
        <w:t xml:space="preserve">Z odkazu na ustanovení § 71 zákona o Ústavním soudu v bodu 120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tudíž nelze vyvozovat závěry, že by se nález neměl vztahovat na již běžící trestní řízení, jelikož a) § 71 zákona o Ústavním soudu se vůbec nevztahuje na procesní normy a b) v rámci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vůbec nedošlo ke zrušení právního předpisu, což je podmínkou aplikace § 71 zákona o Ústavním soudu.</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8)</w:t>
      </w:r>
      <w:r>
        <w:rPr>
          <w:rFonts w:cs="Times New Roman"/>
          <w:szCs w:val="24"/>
        </w:rPr>
        <w:tab/>
        <w:t xml:space="preserve">Bez ohledu na to, zda se použije či nepoužije uvedený § 71 zákona o Ústavním soudu, je třeba připomenout, že Ústavní soud sám uvádí ve výše citované formulaci bodu 120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podmínku „</w:t>
      </w:r>
      <w:r w:rsidRPr="001E326C">
        <w:rPr>
          <w:rFonts w:cs="Times New Roman"/>
          <w:i/>
          <w:szCs w:val="24"/>
        </w:rPr>
        <w:t>bez dalšího</w:t>
      </w:r>
      <w:r>
        <w:rPr>
          <w:rFonts w:cs="Times New Roman"/>
          <w:szCs w:val="24"/>
        </w:rPr>
        <w:t xml:space="preserve">“. Nelze tedy </w:t>
      </w:r>
      <w:proofErr w:type="spellStart"/>
      <w:r>
        <w:rPr>
          <w:rFonts w:cs="Times New Roman"/>
          <w:szCs w:val="24"/>
        </w:rPr>
        <w:t>apriori</w:t>
      </w:r>
      <w:proofErr w:type="spellEnd"/>
      <w:r>
        <w:rPr>
          <w:rFonts w:cs="Times New Roman"/>
          <w:szCs w:val="24"/>
        </w:rPr>
        <w:t xml:space="preserve"> vyloučit aplikaci důsledků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na již probíhající trestní </w:t>
      </w:r>
      <w:r>
        <w:rPr>
          <w:rFonts w:cs="Times New Roman"/>
          <w:szCs w:val="24"/>
        </w:rPr>
        <w:lastRenderedPageBreak/>
        <w:t xml:space="preserve">řízení, aniž by došlo k dalšímu posouzení tzv. inter-temporálních účinků tohoto nálezu. </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9)</w:t>
      </w:r>
      <w:r>
        <w:rPr>
          <w:rFonts w:cs="Times New Roman"/>
          <w:szCs w:val="24"/>
        </w:rPr>
        <w:tab/>
        <w:t xml:space="preserve">Ve vztahu k časovým účinkům judikatury byla v rámci odborné veřejnosti vyslovena teorie tzv. incidentní retrospektivity, ke které se opakovaně hlásí i vyšší soudy (viz např. judikát </w:t>
      </w:r>
      <w:r w:rsidRPr="00882342">
        <w:rPr>
          <w:rFonts w:cs="Times New Roman"/>
          <w:szCs w:val="24"/>
        </w:rPr>
        <w:t xml:space="preserve">3 </w:t>
      </w:r>
      <w:proofErr w:type="spellStart"/>
      <w:r w:rsidRPr="00882342">
        <w:rPr>
          <w:rFonts w:cs="Times New Roman"/>
          <w:szCs w:val="24"/>
        </w:rPr>
        <w:t>Ans</w:t>
      </w:r>
      <w:proofErr w:type="spellEnd"/>
      <w:r w:rsidRPr="00882342">
        <w:rPr>
          <w:rFonts w:cs="Times New Roman"/>
          <w:szCs w:val="24"/>
        </w:rPr>
        <w:t xml:space="preserve"> 6/2011 - 101</w:t>
      </w:r>
      <w:r>
        <w:rPr>
          <w:rFonts w:cs="Times New Roman"/>
          <w:szCs w:val="24"/>
        </w:rPr>
        <w:t xml:space="preserve"> ze dne </w:t>
      </w:r>
      <w:proofErr w:type="gramStart"/>
      <w:r>
        <w:rPr>
          <w:rFonts w:cs="Times New Roman"/>
          <w:szCs w:val="24"/>
        </w:rPr>
        <w:t>21.7.2011</w:t>
      </w:r>
      <w:proofErr w:type="gramEnd"/>
      <w:r>
        <w:rPr>
          <w:rFonts w:cs="Times New Roman"/>
          <w:szCs w:val="24"/>
        </w:rPr>
        <w:t>,</w:t>
      </w:r>
      <w:r w:rsidRPr="003D022A">
        <w:t xml:space="preserve"> </w:t>
      </w:r>
      <w:r>
        <w:rPr>
          <w:rFonts w:cs="Times New Roman"/>
          <w:szCs w:val="24"/>
        </w:rPr>
        <w:t>nález</w:t>
      </w:r>
      <w:r w:rsidRPr="003D022A">
        <w:rPr>
          <w:rFonts w:cs="Times New Roman"/>
          <w:szCs w:val="24"/>
        </w:rPr>
        <w:t xml:space="preserve"> II. ÚS 3168/09</w:t>
      </w:r>
      <w:r>
        <w:rPr>
          <w:rFonts w:cs="Times New Roman"/>
          <w:szCs w:val="24"/>
        </w:rPr>
        <w:t xml:space="preserve"> ze dne 5.8.</w:t>
      </w:r>
      <w:r w:rsidRPr="003D022A">
        <w:rPr>
          <w:rFonts w:cs="Times New Roman"/>
          <w:szCs w:val="24"/>
        </w:rPr>
        <w:t>2010</w:t>
      </w:r>
      <w:r>
        <w:rPr>
          <w:rFonts w:cs="Times New Roman"/>
          <w:szCs w:val="24"/>
        </w:rPr>
        <w:t xml:space="preserve">, usnesení </w:t>
      </w:r>
      <w:r w:rsidRPr="00AB13E2">
        <w:rPr>
          <w:rFonts w:cs="Times New Roman"/>
          <w:szCs w:val="24"/>
        </w:rPr>
        <w:t>IV. ÚS 2863/14</w:t>
      </w:r>
      <w:r>
        <w:rPr>
          <w:rFonts w:cs="Times New Roman"/>
          <w:szCs w:val="24"/>
        </w:rPr>
        <w:t xml:space="preserve"> ze dne 13.1.2015). Jde přitom o</w:t>
      </w:r>
      <w:r>
        <w:rPr>
          <w:rFonts w:cs="Times New Roman"/>
          <w:i/>
          <w:szCs w:val="24"/>
        </w:rPr>
        <w:t xml:space="preserve"> </w:t>
      </w:r>
      <w:r>
        <w:rPr>
          <w:rFonts w:cs="Times New Roman"/>
          <w:szCs w:val="24"/>
        </w:rPr>
        <w:t>„</w:t>
      </w:r>
      <w:r>
        <w:rPr>
          <w:rFonts w:cs="Times New Roman"/>
          <w:i/>
          <w:szCs w:val="24"/>
        </w:rPr>
        <w:t>zásadu</w:t>
      </w:r>
      <w:r w:rsidRPr="00B56799">
        <w:rPr>
          <w:rFonts w:cs="Times New Roman"/>
          <w:i/>
          <w:szCs w:val="24"/>
        </w:rPr>
        <w:t xml:space="preserve"> aplikace nové </w:t>
      </w:r>
      <w:proofErr w:type="spellStart"/>
      <w:r w:rsidRPr="00B56799">
        <w:rPr>
          <w:rFonts w:cs="Times New Roman"/>
          <w:i/>
          <w:szCs w:val="24"/>
        </w:rPr>
        <w:t>soudcovsky</w:t>
      </w:r>
      <w:proofErr w:type="spellEnd"/>
      <w:r w:rsidRPr="00B56799">
        <w:rPr>
          <w:rFonts w:cs="Times New Roman"/>
          <w:i/>
          <w:szCs w:val="24"/>
        </w:rPr>
        <w:t xml:space="preserve"> vytvořené normy na všechny aktuálně před nižšími soudy probíhající kauzy, event. i na všechny žaloby podané po dni vynesení nového precedentu</w:t>
      </w:r>
      <w:r>
        <w:rPr>
          <w:rFonts w:cs="Times New Roman"/>
          <w:szCs w:val="24"/>
        </w:rPr>
        <w:t>“ (</w:t>
      </w:r>
      <w:r w:rsidRPr="009147C5">
        <w:rPr>
          <w:rFonts w:cs="Times New Roman"/>
          <w:szCs w:val="24"/>
        </w:rPr>
        <w:t xml:space="preserve">Zdeněk </w:t>
      </w:r>
      <w:proofErr w:type="spellStart"/>
      <w:r w:rsidRPr="009147C5">
        <w:rPr>
          <w:rFonts w:cs="Times New Roman"/>
          <w:szCs w:val="24"/>
        </w:rPr>
        <w:t>Kühn</w:t>
      </w:r>
      <w:proofErr w:type="spellEnd"/>
      <w:r w:rsidRPr="009147C5">
        <w:rPr>
          <w:rFonts w:cs="Times New Roman"/>
          <w:szCs w:val="24"/>
        </w:rPr>
        <w:t xml:space="preserve">: Prospektivní a retrospektivní působení </w:t>
      </w:r>
      <w:proofErr w:type="spellStart"/>
      <w:r w:rsidRPr="009147C5">
        <w:rPr>
          <w:rFonts w:cs="Times New Roman"/>
          <w:szCs w:val="24"/>
        </w:rPr>
        <w:t>judikatorních</w:t>
      </w:r>
      <w:proofErr w:type="spellEnd"/>
      <w:r w:rsidRPr="009147C5">
        <w:rPr>
          <w:rFonts w:cs="Times New Roman"/>
          <w:szCs w:val="24"/>
        </w:rPr>
        <w:t xml:space="preserve"> změn, [Právní rozhledy 6/2011, s. 191]</w:t>
      </w:r>
      <w:r>
        <w:rPr>
          <w:rFonts w:cs="Times New Roman"/>
          <w:szCs w:val="24"/>
        </w:rPr>
        <w:t xml:space="preserve">). Uvedený autor v citovaném článku zmiňuje, že aplikace takovýchto norem i na probíhající řízení je společná jak zemím kontinentálního práva, tak zemím </w:t>
      </w:r>
      <w:proofErr w:type="spellStart"/>
      <w:r>
        <w:rPr>
          <w:rFonts w:cs="Times New Roman"/>
          <w:szCs w:val="24"/>
        </w:rPr>
        <w:t>common</w:t>
      </w:r>
      <w:proofErr w:type="spellEnd"/>
      <w:r>
        <w:rPr>
          <w:rFonts w:cs="Times New Roman"/>
          <w:szCs w:val="24"/>
        </w:rPr>
        <w:t xml:space="preserve"> </w:t>
      </w:r>
      <w:proofErr w:type="spellStart"/>
      <w:r>
        <w:rPr>
          <w:rFonts w:cs="Times New Roman"/>
          <w:szCs w:val="24"/>
        </w:rPr>
        <w:t>law</w:t>
      </w:r>
      <w:proofErr w:type="spellEnd"/>
      <w:r>
        <w:rPr>
          <w:rFonts w:cs="Times New Roman"/>
          <w:szCs w:val="24"/>
        </w:rPr>
        <w:t>. Nejedná se tedy o žádné specifikum, ale o obecně zastávaný princip ve vyspělých zemích.</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10)</w:t>
      </w:r>
      <w:r>
        <w:rPr>
          <w:rFonts w:cs="Times New Roman"/>
          <w:szCs w:val="24"/>
        </w:rPr>
        <w:tab/>
        <w:t xml:space="preserve">Jádrem výše nastíněné argumentace přitom je, že změnou judikatury je oprava omylu ve výkladu práva. Nejde tedy o vytvoření nové právní normy v důsledku činnosti soudu, ale jde pouze o nalézání práva, které již existovalo. Proto i případné označení působení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i na probíhající trestní řízení, jako retroaktivního, je zcela nepřiléhavé. Nadto judikatura není ani samostatným a originárním pramenem práva, ale vždy působí v souvislosti s jiným pramenem práva</w:t>
      </w:r>
      <w:r>
        <w:rPr>
          <w:rStyle w:val="Znakapoznpodarou"/>
          <w:rFonts w:cs="Times New Roman"/>
          <w:szCs w:val="24"/>
        </w:rPr>
        <w:footnoteReference w:id="1"/>
      </w:r>
      <w:r>
        <w:rPr>
          <w:rFonts w:cs="Times New Roman"/>
          <w:szCs w:val="24"/>
        </w:rPr>
        <w:t xml:space="preserve">. V tomto případě judikatura - nález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působí v souvislosti s § 26 a 18 </w:t>
      </w:r>
      <w:proofErr w:type="spellStart"/>
      <w:r>
        <w:rPr>
          <w:rFonts w:cs="Times New Roman"/>
          <w:szCs w:val="24"/>
        </w:rPr>
        <w:t>tr</w:t>
      </w:r>
      <w:proofErr w:type="spellEnd"/>
      <w:r>
        <w:rPr>
          <w:rFonts w:cs="Times New Roman"/>
          <w:szCs w:val="24"/>
        </w:rPr>
        <w:t xml:space="preserve">. </w:t>
      </w:r>
      <w:proofErr w:type="gramStart"/>
      <w:r>
        <w:rPr>
          <w:rFonts w:cs="Times New Roman"/>
          <w:szCs w:val="24"/>
        </w:rPr>
        <w:t>řádu</w:t>
      </w:r>
      <w:proofErr w:type="gramEnd"/>
      <w:r>
        <w:rPr>
          <w:rFonts w:cs="Times New Roman"/>
          <w:szCs w:val="24"/>
        </w:rPr>
        <w:t xml:space="preserve"> a tato ustanovení pouze blíže interpretuje. Uvedená ustanovení trestního řádu však byla účinná v této podobě již dlouho předtím, než bylo vůbec zahájeno trestní řízení ve věci obviněného.</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11)</w:t>
      </w:r>
      <w:r>
        <w:rPr>
          <w:rFonts w:cs="Times New Roman"/>
          <w:szCs w:val="24"/>
        </w:rPr>
        <w:tab/>
        <w:t xml:space="preserve">Důležité je také zdůraznit, že sporné je i samotné označení „změny“ judikatury jako konkrétního okamžiku. Citovaný odborný článek </w:t>
      </w:r>
      <w:r w:rsidRPr="009147C5">
        <w:rPr>
          <w:rFonts w:cs="Times New Roman"/>
          <w:szCs w:val="24"/>
        </w:rPr>
        <w:t xml:space="preserve">Prospektivní a retrospektivní působení </w:t>
      </w:r>
      <w:proofErr w:type="spellStart"/>
      <w:r w:rsidRPr="009147C5">
        <w:rPr>
          <w:rFonts w:cs="Times New Roman"/>
          <w:szCs w:val="24"/>
        </w:rPr>
        <w:t>judikatorních</w:t>
      </w:r>
      <w:proofErr w:type="spellEnd"/>
      <w:r w:rsidRPr="009147C5">
        <w:rPr>
          <w:rFonts w:cs="Times New Roman"/>
          <w:szCs w:val="24"/>
        </w:rPr>
        <w:t xml:space="preserve"> změn</w:t>
      </w:r>
      <w:r>
        <w:rPr>
          <w:rFonts w:cs="Times New Roman"/>
          <w:szCs w:val="24"/>
        </w:rPr>
        <w:t xml:space="preserve">, se ostatně zabývá i tím, že taková změna nemá jednoznačně určený den své účinnosti, neboť tuto nelze spojovat čistě s publikací nálezu Ústavního soudu. Taková změna je důsledkem akademické diskuze, publikace rozhodnutí nižších soudů atd. a to i v případě, že by jejich závěry byly v rozporu s dosavadní judikaturou. Na tomto místě je vhodné vyzdvihnout také fakt, že názor ohledně určování místní příslušnosti okresních soudů, jež Ústavní soud zaujal v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rozhodně není překvapivý. Ba naopak, odborná veřejnost a Ústavní soud mnohokrát veřejné žalobě naznačily, že současná praxe je přinejmenším problematická, ne-li protiústavní.</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12)</w:t>
      </w:r>
      <w:r>
        <w:rPr>
          <w:rFonts w:cs="Times New Roman"/>
          <w:szCs w:val="24"/>
        </w:rPr>
        <w:tab/>
        <w:t xml:space="preserve">Na fakt, že dosavadní praxe státních zastupitelství je nejenom v rozporu s trestním řádem, ale že je též v rozporu čl. 38 odst. 1 Listiny, upozorňovala nejintenzivněji oborná veřejnost. Rozhodně nelze tvrdit, že by závěry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byly pro státní zastupitelství překvapivé, jelikož ze strany obhájců bylo opakovaně poukazováno na neudržitelnost daných postupů. O tom ostatně vypovídá i usnesení Ústavního soudu </w:t>
      </w:r>
      <w:r w:rsidRPr="00724A2B">
        <w:rPr>
          <w:rFonts w:cs="Times New Roman"/>
          <w:szCs w:val="24"/>
        </w:rPr>
        <w:t>I. ÚS 2632/12</w:t>
      </w:r>
      <w:r>
        <w:rPr>
          <w:rFonts w:cs="Times New Roman"/>
          <w:szCs w:val="24"/>
        </w:rPr>
        <w:t xml:space="preserve"> v mediálně sledované kauze poslance MUDr. Davida Ratha. Toto usnesení, které již obsahuje výše uvedenou argumentaci ve vztahu k nezákonnosti dosavadního určování místní příslušnosti okresních soudů, bylo vydáno již </w:t>
      </w:r>
      <w:proofErr w:type="gramStart"/>
      <w:r>
        <w:rPr>
          <w:rFonts w:cs="Times New Roman"/>
          <w:szCs w:val="24"/>
        </w:rPr>
        <w:t>17.9.2012</w:t>
      </w:r>
      <w:proofErr w:type="gramEnd"/>
      <w:r>
        <w:rPr>
          <w:rFonts w:cs="Times New Roman"/>
          <w:szCs w:val="24"/>
        </w:rPr>
        <w:t xml:space="preserve">. Jde přitom pouze o jeden </w:t>
      </w:r>
      <w:r>
        <w:rPr>
          <w:rFonts w:cs="Times New Roman"/>
          <w:szCs w:val="24"/>
        </w:rPr>
        <w:lastRenderedPageBreak/>
        <w:t>z nejviditelnějších případů, přičemž stejné argumenty byly uplatňovány ze strany obhájců i dříve.</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13)</w:t>
      </w:r>
      <w:r>
        <w:rPr>
          <w:rFonts w:cs="Times New Roman"/>
          <w:szCs w:val="24"/>
        </w:rPr>
        <w:tab/>
        <w:t xml:space="preserve">Byl to ostatně i Ústavní soud, kdo v několika svých judikátech také naznačil, že dosavadní praxe státních zastupitelství není v pořádku. </w:t>
      </w:r>
      <w:proofErr w:type="spellStart"/>
      <w:r>
        <w:rPr>
          <w:rFonts w:cs="Times New Roman"/>
          <w:szCs w:val="24"/>
        </w:rPr>
        <w:t>Příkladmo</w:t>
      </w:r>
      <w:proofErr w:type="spellEnd"/>
      <w:r>
        <w:rPr>
          <w:rFonts w:cs="Times New Roman"/>
          <w:szCs w:val="24"/>
        </w:rPr>
        <w:t xml:space="preserve"> lze odkázat </w:t>
      </w:r>
      <w:r w:rsidR="00B9169E">
        <w:rPr>
          <w:rFonts w:cs="Times New Roman"/>
          <w:szCs w:val="24"/>
        </w:rPr>
        <w:t>právě</w:t>
      </w:r>
      <w:r>
        <w:rPr>
          <w:rFonts w:cs="Times New Roman"/>
          <w:szCs w:val="24"/>
        </w:rPr>
        <w:t xml:space="preserve"> na citované usnesení Ústavního soudu </w:t>
      </w:r>
      <w:r w:rsidRPr="00724A2B">
        <w:rPr>
          <w:rFonts w:cs="Times New Roman"/>
          <w:szCs w:val="24"/>
        </w:rPr>
        <w:t>I. ÚS 2632/12</w:t>
      </w:r>
      <w:r>
        <w:rPr>
          <w:rFonts w:cs="Times New Roman"/>
          <w:szCs w:val="24"/>
        </w:rPr>
        <w:t xml:space="preserve"> ze dne </w:t>
      </w:r>
      <w:proofErr w:type="gramStart"/>
      <w:r>
        <w:rPr>
          <w:rFonts w:cs="Times New Roman"/>
          <w:szCs w:val="24"/>
        </w:rPr>
        <w:t>17.9.2012</w:t>
      </w:r>
      <w:proofErr w:type="gramEnd"/>
      <w:r>
        <w:rPr>
          <w:rFonts w:cs="Times New Roman"/>
          <w:szCs w:val="24"/>
        </w:rPr>
        <w:t xml:space="preserve">, kde soud konstatuje, že postup státního zastupitelství ve věci místní příslušnosti  se jevil jako účelový a porušující předmětná právní ustanovení. Už v tomto usnesení se Ústavní soud ohradil vůči praxi státních zastupitelství. Z dalších případů, kdy Ústavní soud výslovně upozornil na nedostatky v dosavadním postupu státních zástupců, lze jmenovat usnesení </w:t>
      </w:r>
      <w:r w:rsidRPr="00780334">
        <w:rPr>
          <w:rFonts w:cs="Times New Roman"/>
          <w:szCs w:val="24"/>
        </w:rPr>
        <w:t xml:space="preserve">II. ÚS 4717/12 </w:t>
      </w:r>
      <w:r>
        <w:rPr>
          <w:rFonts w:cs="Times New Roman"/>
          <w:szCs w:val="24"/>
        </w:rPr>
        <w:t xml:space="preserve">ze dne </w:t>
      </w:r>
      <w:proofErr w:type="gramStart"/>
      <w:r>
        <w:rPr>
          <w:rFonts w:cs="Times New Roman"/>
          <w:szCs w:val="24"/>
        </w:rPr>
        <w:t>19.2.2013</w:t>
      </w:r>
      <w:proofErr w:type="gramEnd"/>
      <w:r>
        <w:rPr>
          <w:rFonts w:cs="Times New Roman"/>
          <w:szCs w:val="24"/>
        </w:rPr>
        <w:t xml:space="preserve">, usnesení </w:t>
      </w:r>
      <w:r w:rsidRPr="003220D1">
        <w:rPr>
          <w:rFonts w:cs="Times New Roman"/>
          <w:szCs w:val="24"/>
        </w:rPr>
        <w:t>III.</w:t>
      </w:r>
      <w:r>
        <w:rPr>
          <w:rFonts w:cs="Times New Roman"/>
          <w:szCs w:val="24"/>
        </w:rPr>
        <w:t xml:space="preserve"> </w:t>
      </w:r>
      <w:r w:rsidRPr="003220D1">
        <w:rPr>
          <w:rFonts w:cs="Times New Roman"/>
          <w:szCs w:val="24"/>
        </w:rPr>
        <w:t>ÚS 2717/13</w:t>
      </w:r>
      <w:r>
        <w:rPr>
          <w:rFonts w:cs="Times New Roman"/>
          <w:szCs w:val="24"/>
        </w:rPr>
        <w:t xml:space="preserve"> ze dne 21.5.2015, usnesení </w:t>
      </w:r>
      <w:r w:rsidRPr="00780334">
        <w:rPr>
          <w:rFonts w:cs="Times New Roman"/>
          <w:szCs w:val="24"/>
        </w:rPr>
        <w:t>I.</w:t>
      </w:r>
      <w:r>
        <w:rPr>
          <w:rFonts w:cs="Times New Roman"/>
          <w:szCs w:val="24"/>
        </w:rPr>
        <w:t xml:space="preserve"> </w:t>
      </w:r>
      <w:r w:rsidRPr="00780334">
        <w:rPr>
          <w:rFonts w:cs="Times New Roman"/>
          <w:szCs w:val="24"/>
        </w:rPr>
        <w:t>ÚS 1082/14 ze dne 15. 6. 2015</w:t>
      </w:r>
      <w:r>
        <w:rPr>
          <w:rFonts w:cs="Times New Roman"/>
          <w:szCs w:val="24"/>
        </w:rPr>
        <w:t xml:space="preserve"> atd. Rozhodně tedy nelze hovořit o jakékoliv překvapivosti či náhlé změně názoru Ústavního soudu, neboť přinejmenším z citovaných usnesení vyplývá opakované upozorňování na ústavněprávní nedostatky dosavadního přístupu k určování místní příslušnosti okresních soudů.</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14)</w:t>
      </w:r>
      <w:r>
        <w:rPr>
          <w:rFonts w:cs="Times New Roman"/>
          <w:szCs w:val="24"/>
        </w:rPr>
        <w:tab/>
        <w:t xml:space="preserve">I z tohoto plyne, že s ohledem na výše citovanou odbornou literaturu nelze považovat za pevný okamžik „změny judikatury“ vydání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ale že šlo o kontinuální proces, na jehož počátku stála odborná veřejnost, ke které se postupně v jednotlivých argumentech přidával Ústavní soud. Státní zastupitelství tak mělo dostatek podnětů a času na změnu své dosavadní praxe. To, že tento orgán činný v trestním řízení i přes soustavné předkládání relevantních argumentů obhájci a přes postupné vydávání citovaných rozhodnutí, setrvával na svém protiústavním názoru, pak nemůže jít v žádném případě k tíži </w:t>
      </w:r>
      <w:r w:rsidR="00B9169E">
        <w:rPr>
          <w:rFonts w:cs="Times New Roman"/>
          <w:szCs w:val="24"/>
        </w:rPr>
        <w:t>klienta (potažmo dalších obžalovaných)</w:t>
      </w:r>
      <w:r>
        <w:rPr>
          <w:rFonts w:cs="Times New Roman"/>
          <w:szCs w:val="24"/>
        </w:rPr>
        <w:t xml:space="preserve">, jehož trestní řízení již bylo zahájeno. Naopak ve světle této argumentace se jeví jako těžko ospravedlnitelné i to, že by </w:t>
      </w:r>
      <w:proofErr w:type="gramStart"/>
      <w:r>
        <w:rPr>
          <w:rFonts w:cs="Times New Roman"/>
          <w:szCs w:val="24"/>
        </w:rPr>
        <w:t>se</w:t>
      </w:r>
      <w:proofErr w:type="gramEnd"/>
      <w:r>
        <w:rPr>
          <w:rFonts w:cs="Times New Roman"/>
          <w:szCs w:val="24"/>
        </w:rPr>
        <w:t xml:space="preserve"> nález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neměl aplikovat též na řízení pravomocně skončená.</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15)</w:t>
      </w:r>
      <w:r>
        <w:rPr>
          <w:rFonts w:cs="Times New Roman"/>
          <w:szCs w:val="24"/>
        </w:rPr>
        <w:tab/>
        <w:t xml:space="preserve">Ve prospěch incidentní retrospektivity v případě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a tedy jeho použití i na zahájená řízení, pak jednoznačně hovoří i judikatura, která se na incidentní </w:t>
      </w:r>
      <w:proofErr w:type="spellStart"/>
      <w:r>
        <w:rPr>
          <w:rFonts w:cs="Times New Roman"/>
          <w:szCs w:val="24"/>
        </w:rPr>
        <w:t>retrospektivtu</w:t>
      </w:r>
      <w:proofErr w:type="spellEnd"/>
      <w:r>
        <w:rPr>
          <w:rFonts w:cs="Times New Roman"/>
          <w:szCs w:val="24"/>
        </w:rPr>
        <w:t xml:space="preserve"> výslovně odvolává: „</w:t>
      </w:r>
      <w:r w:rsidRPr="00AB13E2">
        <w:rPr>
          <w:rFonts w:cs="Times New Roman"/>
          <w:i/>
          <w:szCs w:val="24"/>
        </w:rPr>
        <w:t xml:space="preserve">Již ve svém nálezu ze dne 5. srpna 2010 </w:t>
      </w:r>
      <w:proofErr w:type="spellStart"/>
      <w:r w:rsidRPr="00AB13E2">
        <w:rPr>
          <w:rFonts w:cs="Times New Roman"/>
          <w:i/>
          <w:szCs w:val="24"/>
        </w:rPr>
        <w:t>sp</w:t>
      </w:r>
      <w:proofErr w:type="spellEnd"/>
      <w:r w:rsidRPr="00AB13E2">
        <w:rPr>
          <w:rFonts w:cs="Times New Roman"/>
          <w:i/>
          <w:szCs w:val="24"/>
        </w:rPr>
        <w:t xml:space="preserve">. zn. II. ÚS 3168/09 (N 158/58 </w:t>
      </w:r>
      <w:proofErr w:type="spellStart"/>
      <w:r w:rsidRPr="00AB13E2">
        <w:rPr>
          <w:rFonts w:cs="Times New Roman"/>
          <w:i/>
          <w:szCs w:val="24"/>
        </w:rPr>
        <w:t>SbNU</w:t>
      </w:r>
      <w:proofErr w:type="spellEnd"/>
      <w:r w:rsidRPr="00AB13E2">
        <w:rPr>
          <w:rFonts w:cs="Times New Roman"/>
          <w:i/>
          <w:szCs w:val="24"/>
        </w:rPr>
        <w:t xml:space="preserve"> 345) Ústavní soud v souladu se soudobými evropskými kontinentálními trendy zdůraznil, že v horizontálních právních vztazích zůstává zásadou incidentní retrospektivita nových právních názorů vytvořených </w:t>
      </w:r>
      <w:proofErr w:type="spellStart"/>
      <w:r w:rsidRPr="00AB13E2">
        <w:rPr>
          <w:rFonts w:cs="Times New Roman"/>
          <w:i/>
          <w:szCs w:val="24"/>
        </w:rPr>
        <w:t>judikatorními</w:t>
      </w:r>
      <w:proofErr w:type="spellEnd"/>
      <w:r w:rsidRPr="00AB13E2">
        <w:rPr>
          <w:rFonts w:cs="Times New Roman"/>
          <w:i/>
          <w:szCs w:val="24"/>
        </w:rPr>
        <w:t xml:space="preserve"> změnami. Nový právní názor bude tedy aplikován na všechna probíhající řízení. Tím Ústavní soud odlišil situaci retrospektivního působení změny judikatury (tj. opravy "chybného" právního názoru) od retroaktivního působení právních norem (k tomu srov. např. doktrinální názor </w:t>
      </w:r>
      <w:proofErr w:type="spellStart"/>
      <w:r w:rsidRPr="00AB13E2">
        <w:rPr>
          <w:rFonts w:cs="Times New Roman"/>
          <w:i/>
          <w:szCs w:val="24"/>
        </w:rPr>
        <w:t>Kühn</w:t>
      </w:r>
      <w:proofErr w:type="spellEnd"/>
      <w:r w:rsidRPr="00AB13E2">
        <w:rPr>
          <w:rFonts w:cs="Times New Roman"/>
          <w:i/>
          <w:szCs w:val="24"/>
        </w:rPr>
        <w:t xml:space="preserve">, Zdeněk: Prospektivní a retrospektivní působení </w:t>
      </w:r>
      <w:proofErr w:type="spellStart"/>
      <w:r w:rsidRPr="00AB13E2">
        <w:rPr>
          <w:rFonts w:cs="Times New Roman"/>
          <w:i/>
          <w:szCs w:val="24"/>
        </w:rPr>
        <w:t>judikatorních</w:t>
      </w:r>
      <w:proofErr w:type="spellEnd"/>
      <w:r w:rsidRPr="00AB13E2">
        <w:rPr>
          <w:rFonts w:cs="Times New Roman"/>
          <w:i/>
          <w:szCs w:val="24"/>
        </w:rPr>
        <w:t xml:space="preserve"> změn, in: Právní rozhledy č. 6/2011, str. 191-197).</w:t>
      </w:r>
      <w:r>
        <w:rPr>
          <w:rFonts w:cs="Times New Roman"/>
          <w:szCs w:val="24"/>
        </w:rPr>
        <w:t xml:space="preserve">“ (usnesení </w:t>
      </w:r>
      <w:r w:rsidRPr="00AB13E2">
        <w:rPr>
          <w:rFonts w:cs="Times New Roman"/>
          <w:szCs w:val="24"/>
        </w:rPr>
        <w:t>IV. ÚS 2863/14</w:t>
      </w:r>
      <w:r>
        <w:rPr>
          <w:rFonts w:cs="Times New Roman"/>
          <w:szCs w:val="24"/>
        </w:rPr>
        <w:t xml:space="preserve"> ze dne </w:t>
      </w:r>
      <w:proofErr w:type="gramStart"/>
      <w:r>
        <w:rPr>
          <w:rFonts w:cs="Times New Roman"/>
          <w:szCs w:val="24"/>
        </w:rPr>
        <w:t>13.1.2015</w:t>
      </w:r>
      <w:proofErr w:type="gramEnd"/>
      <w:r>
        <w:rPr>
          <w:rFonts w:cs="Times New Roman"/>
          <w:szCs w:val="24"/>
        </w:rPr>
        <w:t xml:space="preserve">). I v tomto případě se Ústavní soud přihlásil k výše citovanému odbornému článku a potvrdil aplikaci incidentní retrospektivity </w:t>
      </w:r>
      <w:r w:rsidRPr="00FA5AC8">
        <w:rPr>
          <w:rFonts w:cs="Times New Roman"/>
          <w:szCs w:val="24"/>
        </w:rPr>
        <w:t xml:space="preserve">právních názorů vytvořených </w:t>
      </w:r>
      <w:proofErr w:type="spellStart"/>
      <w:r w:rsidRPr="00FA5AC8">
        <w:rPr>
          <w:rFonts w:cs="Times New Roman"/>
          <w:szCs w:val="24"/>
        </w:rPr>
        <w:t>judikatorními</w:t>
      </w:r>
      <w:proofErr w:type="spellEnd"/>
      <w:r w:rsidRPr="00FA5AC8">
        <w:rPr>
          <w:rFonts w:cs="Times New Roman"/>
          <w:szCs w:val="24"/>
        </w:rPr>
        <w:t xml:space="preserve"> změnami</w:t>
      </w:r>
      <w:r>
        <w:rPr>
          <w:rFonts w:cs="Times New Roman"/>
          <w:szCs w:val="24"/>
        </w:rPr>
        <w:t xml:space="preserve">. </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16)</w:t>
      </w:r>
      <w:r>
        <w:rPr>
          <w:rFonts w:cs="Times New Roman"/>
          <w:szCs w:val="24"/>
        </w:rPr>
        <w:tab/>
        <w:t>Pro vertikální právní vztahy, které odpovídají vztahům v rámci trestního řízení, pak potvrdil incidentní retrospektivitu judikatury již v roce 2008 Nejvyšší správní soud: „</w:t>
      </w:r>
      <w:r w:rsidRPr="00D43E17">
        <w:rPr>
          <w:rFonts w:cs="Times New Roman"/>
          <w:i/>
          <w:szCs w:val="24"/>
        </w:rPr>
        <w:t xml:space="preserve">Soudy rozhodující ve správním soudnictví však mají povinnost od okamžiku vyhlášení rozhodnutí rozšířeného senátu podle tam zaujatého právního </w:t>
      </w:r>
      <w:r w:rsidRPr="00D43E17">
        <w:rPr>
          <w:rFonts w:cs="Times New Roman"/>
          <w:i/>
          <w:szCs w:val="24"/>
        </w:rPr>
        <w:lastRenderedPageBreak/>
        <w:t>názoru postupovat ve všech probíhajících a v budoucnu zahájených řízeních.</w:t>
      </w:r>
      <w:r>
        <w:rPr>
          <w:rFonts w:cs="Times New Roman"/>
          <w:szCs w:val="24"/>
        </w:rPr>
        <w:t xml:space="preserve">“ (usnesení </w:t>
      </w:r>
      <w:r w:rsidRPr="00D43E17">
        <w:rPr>
          <w:rFonts w:cs="Times New Roman"/>
          <w:szCs w:val="24"/>
        </w:rPr>
        <w:t>8 As 47/2005 - 86</w:t>
      </w:r>
      <w:r>
        <w:rPr>
          <w:rFonts w:cs="Times New Roman"/>
          <w:szCs w:val="24"/>
        </w:rPr>
        <w:t xml:space="preserve"> ze dne </w:t>
      </w:r>
      <w:proofErr w:type="gramStart"/>
      <w:r>
        <w:rPr>
          <w:rFonts w:cs="Times New Roman"/>
          <w:szCs w:val="24"/>
        </w:rPr>
        <w:t>21.10.2008</w:t>
      </w:r>
      <w:proofErr w:type="gramEnd"/>
      <w:r>
        <w:rPr>
          <w:rFonts w:cs="Times New Roman"/>
          <w:szCs w:val="24"/>
        </w:rPr>
        <w:t>).</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17)</w:t>
      </w:r>
      <w:r>
        <w:rPr>
          <w:rFonts w:cs="Times New Roman"/>
          <w:szCs w:val="24"/>
        </w:rPr>
        <w:tab/>
        <w:t xml:space="preserve">Z uvedeného je tedy zcela zjevné, že incidentní retrospektivita judikatury byla dovozena na všech úrovních jak pro horizontální, tak pro vertikální právní vztahy a to jak na úrovni ústavního soudnictví, tak v rámci obecné soudní soustavy. S ohledem na vyvrácenou možnost aplikace § 71 zákona o Ústavním soudu ve věci </w:t>
      </w:r>
      <w:r w:rsidR="00B9169E">
        <w:rPr>
          <w:rFonts w:cs="Times New Roman"/>
          <w:szCs w:val="24"/>
        </w:rPr>
        <w:t>obžalovaného</w:t>
      </w:r>
      <w:r>
        <w:rPr>
          <w:rFonts w:cs="Times New Roman"/>
          <w:szCs w:val="24"/>
        </w:rPr>
        <w:t xml:space="preserve"> (viz výše), tak neexistuje žádný logický argument, proč by </w:t>
      </w:r>
      <w:proofErr w:type="gramStart"/>
      <w:r>
        <w:rPr>
          <w:rFonts w:cs="Times New Roman"/>
          <w:szCs w:val="24"/>
        </w:rPr>
        <w:t>se</w:t>
      </w:r>
      <w:proofErr w:type="gramEnd"/>
      <w:r>
        <w:rPr>
          <w:rFonts w:cs="Times New Roman"/>
          <w:szCs w:val="24"/>
        </w:rPr>
        <w:t xml:space="preserve"> nález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neměl v souladu se zásadou incidentní retrospektivity vztahovat i na řízení již zahájená avšak doposud pravomocně neskončená - tedy i na předmětnou trestní věc </w:t>
      </w:r>
      <w:r w:rsidR="00B9169E">
        <w:rPr>
          <w:rFonts w:cs="Times New Roman"/>
          <w:szCs w:val="24"/>
        </w:rPr>
        <w:t>obžalovaného</w:t>
      </w:r>
      <w:r>
        <w:rPr>
          <w:rFonts w:cs="Times New Roman"/>
          <w:szCs w:val="24"/>
        </w:rPr>
        <w:t>.</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18)</w:t>
      </w:r>
      <w:r>
        <w:rPr>
          <w:rFonts w:cs="Times New Roman"/>
          <w:szCs w:val="24"/>
        </w:rPr>
        <w:tab/>
        <w:t xml:space="preserve">Mimo podrobně rozebranou relevantní judikaturu v ČR je třeba upozornit i na názory zahraničních soudů. </w:t>
      </w:r>
      <w:r w:rsidR="00B9169E">
        <w:rPr>
          <w:rFonts w:cs="Times New Roman"/>
          <w:szCs w:val="24"/>
        </w:rPr>
        <w:t xml:space="preserve">Obhajoba si je </w:t>
      </w:r>
      <w:r>
        <w:rPr>
          <w:rFonts w:cs="Times New Roman"/>
          <w:szCs w:val="24"/>
        </w:rPr>
        <w:t>samozřejmě plně vědom</w:t>
      </w:r>
      <w:r w:rsidR="00B9169E">
        <w:rPr>
          <w:rFonts w:cs="Times New Roman"/>
          <w:szCs w:val="24"/>
        </w:rPr>
        <w:t>a toho</w:t>
      </w:r>
      <w:r>
        <w:rPr>
          <w:rFonts w:cs="Times New Roman"/>
          <w:szCs w:val="24"/>
        </w:rPr>
        <w:t>, že procesní předpisy jednotlivých států mají podstatné rozdíly, avšak přesto považuje za názorné vyzdvihnout logickou argumentaci dvou cizozemských rozhodnutí, jelikož tato je založena zejména na obecném principu spravedlnosti</w:t>
      </w:r>
      <w:r w:rsidR="00B9169E">
        <w:rPr>
          <w:rFonts w:cs="Times New Roman"/>
          <w:szCs w:val="24"/>
        </w:rPr>
        <w:t>,</w:t>
      </w:r>
      <w:r>
        <w:rPr>
          <w:rFonts w:cs="Times New Roman"/>
          <w:szCs w:val="24"/>
        </w:rPr>
        <w:t xml:space="preserve"> a je tudíž univerzálně použitelná. Prvním takovým rozhodnutím je rozhodnutí </w:t>
      </w:r>
      <w:r w:rsidRPr="0041620E">
        <w:rPr>
          <w:rFonts w:cs="Times New Roman"/>
          <w:szCs w:val="24"/>
        </w:rPr>
        <w:t xml:space="preserve">U. S. </w:t>
      </w:r>
      <w:proofErr w:type="spellStart"/>
      <w:r w:rsidRPr="0041620E">
        <w:rPr>
          <w:rFonts w:cs="Times New Roman"/>
          <w:szCs w:val="24"/>
        </w:rPr>
        <w:t>Supreme</w:t>
      </w:r>
      <w:proofErr w:type="spellEnd"/>
      <w:r w:rsidRPr="0041620E">
        <w:rPr>
          <w:rFonts w:cs="Times New Roman"/>
          <w:szCs w:val="24"/>
        </w:rPr>
        <w:t xml:space="preserve"> </w:t>
      </w:r>
      <w:proofErr w:type="spellStart"/>
      <w:r w:rsidRPr="0041620E">
        <w:rPr>
          <w:rFonts w:cs="Times New Roman"/>
          <w:szCs w:val="24"/>
        </w:rPr>
        <w:t>Court</w:t>
      </w:r>
      <w:proofErr w:type="spellEnd"/>
      <w:r w:rsidRPr="0041620E">
        <w:rPr>
          <w:rFonts w:cs="Times New Roman"/>
          <w:szCs w:val="24"/>
        </w:rPr>
        <w:t xml:space="preserve"> </w:t>
      </w:r>
      <w:proofErr w:type="spellStart"/>
      <w:r w:rsidRPr="0041620E">
        <w:rPr>
          <w:rFonts w:cs="Times New Roman"/>
          <w:szCs w:val="24"/>
        </w:rPr>
        <w:t>Griffith</w:t>
      </w:r>
      <w:proofErr w:type="spellEnd"/>
      <w:r w:rsidRPr="0041620E">
        <w:rPr>
          <w:rFonts w:cs="Times New Roman"/>
          <w:szCs w:val="24"/>
        </w:rPr>
        <w:t xml:space="preserve"> v. Kentucky, 479 U. S. 314 (1987)</w:t>
      </w:r>
      <w:r>
        <w:rPr>
          <w:rFonts w:cs="Times New Roman"/>
          <w:szCs w:val="24"/>
        </w:rPr>
        <w:t>, kde se uvádí: „</w:t>
      </w:r>
      <w:r w:rsidRPr="0041620E">
        <w:rPr>
          <w:rFonts w:cs="Times New Roman"/>
          <w:i/>
          <w:szCs w:val="24"/>
        </w:rPr>
        <w:t xml:space="preserve">Neaplikování nového pravidla na případy, které ještě soudy projednávají, znamená skutečnou nespravedlnost, která vyplývá z toho, že soud se cítí oprávněn vybrat z mnoha v podobné situaci se nacházejících osob jen jednu, které poskytne příležitost </w:t>
      </w:r>
      <w:proofErr w:type="spellStart"/>
      <w:r w:rsidRPr="0041620E">
        <w:rPr>
          <w:rFonts w:cs="Times New Roman"/>
          <w:i/>
          <w:szCs w:val="24"/>
        </w:rPr>
        <w:t>benefitovat</w:t>
      </w:r>
      <w:proofErr w:type="spellEnd"/>
      <w:r w:rsidRPr="0041620E">
        <w:rPr>
          <w:rFonts w:cs="Times New Roman"/>
          <w:i/>
          <w:szCs w:val="24"/>
        </w:rPr>
        <w:t xml:space="preserve"> z toho, že soud se rozhodl modifikovat (tvořit) pravidlo</w:t>
      </w:r>
      <w:r>
        <w:rPr>
          <w:rFonts w:cs="Times New Roman"/>
          <w:szCs w:val="24"/>
        </w:rPr>
        <w:t xml:space="preserve">“, „(…) </w:t>
      </w:r>
      <w:r w:rsidRPr="0041620E">
        <w:rPr>
          <w:rFonts w:cs="Times New Roman"/>
          <w:i/>
          <w:szCs w:val="24"/>
        </w:rPr>
        <w:t>je těžko slučitelné s ideálem nestranného výkonu spravedlnosti, aby jedna šťastná osoba, jejíž případ byl vybrán, aby posloužil k formulaci nového principu, těžila z jeho retroaktivní aplikace, zatímco ostatní v podobné situaci byli při posouzení svých nároků odkázáni na aplikaci staré doktríny</w:t>
      </w:r>
      <w:r>
        <w:rPr>
          <w:rFonts w:cs="Times New Roman"/>
          <w:szCs w:val="24"/>
        </w:rPr>
        <w:t>“ (převzato z o</w:t>
      </w:r>
      <w:r w:rsidRPr="0041620E">
        <w:rPr>
          <w:rFonts w:cs="Times New Roman"/>
          <w:szCs w:val="24"/>
        </w:rPr>
        <w:t>dlišné</w:t>
      </w:r>
      <w:r>
        <w:rPr>
          <w:rFonts w:cs="Times New Roman"/>
          <w:szCs w:val="24"/>
        </w:rPr>
        <w:t>ho stanoviska</w:t>
      </w:r>
      <w:r w:rsidRPr="0041620E">
        <w:rPr>
          <w:rFonts w:cs="Times New Roman"/>
          <w:szCs w:val="24"/>
        </w:rPr>
        <w:t xml:space="preserve"> soudkyně Elišky Wagnerové ke stanovisku pléna Ústavního soudu </w:t>
      </w:r>
      <w:proofErr w:type="spellStart"/>
      <w:r w:rsidRPr="0041620E">
        <w:rPr>
          <w:rFonts w:cs="Times New Roman"/>
          <w:szCs w:val="24"/>
        </w:rPr>
        <w:t>Pl</w:t>
      </w:r>
      <w:proofErr w:type="spellEnd"/>
      <w:r w:rsidRPr="0041620E">
        <w:rPr>
          <w:rFonts w:cs="Times New Roman"/>
          <w:szCs w:val="24"/>
        </w:rPr>
        <w:t>. ÚS-st. 31/10 ze dne 14. 12. 2010.</w:t>
      </w:r>
      <w:r>
        <w:rPr>
          <w:rFonts w:cs="Times New Roman"/>
          <w:szCs w:val="24"/>
        </w:rPr>
        <w:t>) Soud uzavírá v tomto rozhodnutí, že „</w:t>
      </w:r>
      <w:r w:rsidRPr="001E3913">
        <w:rPr>
          <w:rFonts w:cs="Times New Roman"/>
          <w:i/>
          <w:szCs w:val="24"/>
        </w:rPr>
        <w:t>nové pravidlo trestního řízení musí být aplikováno retroaktivně na všechny případy, které dosud nebyly s konečnou platností rozhodnuty, a to bez výjimky</w:t>
      </w:r>
      <w:r>
        <w:rPr>
          <w:rFonts w:cs="Times New Roman"/>
          <w:szCs w:val="24"/>
        </w:rPr>
        <w:t>“, což je pouze logickým důsledkem výše uvedených úvah.</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19)</w:t>
      </w:r>
      <w:r>
        <w:rPr>
          <w:rFonts w:cs="Times New Roman"/>
          <w:szCs w:val="24"/>
        </w:rPr>
        <w:tab/>
        <w:t>Dále se k uvedené problematice vyjadřuje velmi přiléhavě i australský Nejvyšší soud: „</w:t>
      </w:r>
      <w:r w:rsidRPr="00381181">
        <w:rPr>
          <w:rFonts w:cs="Times New Roman"/>
          <w:i/>
          <w:szCs w:val="24"/>
        </w:rPr>
        <w:t xml:space="preserve">Tento soud nedisponuje pravomocí změnit svou judikaturu výlučně prospektivně. Soudcovský proces byl vždy založen na vytváření závazných rozhodnutí o právech a povinnostech majících svůj původ v událostech či jednáních </w:t>
      </w:r>
      <w:proofErr w:type="spellStart"/>
      <w:r w:rsidRPr="00381181">
        <w:rPr>
          <w:rFonts w:cs="Times New Roman"/>
          <w:i/>
          <w:szCs w:val="24"/>
        </w:rPr>
        <w:t>seběhlých</w:t>
      </w:r>
      <w:proofErr w:type="spellEnd"/>
      <w:r w:rsidRPr="00381181">
        <w:rPr>
          <w:rFonts w:cs="Times New Roman"/>
          <w:i/>
          <w:szCs w:val="24"/>
        </w:rPr>
        <w:t xml:space="preserve"> v minulosti. Rozhodování o existujících právech a povinnostech je odlišné od utváření práv a povinností; to odlišuje soudcovskou moc od moci nesoudní. Prospektivní změna judikatury je tak v rozporu s tímto pojetím soudní </w:t>
      </w:r>
      <w:proofErr w:type="gramStart"/>
      <w:r w:rsidRPr="00381181">
        <w:rPr>
          <w:rFonts w:cs="Times New Roman"/>
          <w:i/>
          <w:szCs w:val="24"/>
        </w:rPr>
        <w:t xml:space="preserve">moci </w:t>
      </w:r>
      <w:r w:rsidRPr="00381181">
        <w:rPr>
          <w:rFonts w:cs="Times New Roman"/>
          <w:szCs w:val="24"/>
        </w:rPr>
        <w:t>(...)</w:t>
      </w:r>
      <w:r w:rsidRPr="00381181">
        <w:rPr>
          <w:rFonts w:cs="Times New Roman"/>
          <w:i/>
          <w:szCs w:val="24"/>
        </w:rPr>
        <w:t xml:space="preserve"> Pokud</w:t>
      </w:r>
      <w:proofErr w:type="gramEnd"/>
      <w:r w:rsidRPr="00381181">
        <w:rPr>
          <w:rFonts w:cs="Times New Roman"/>
          <w:i/>
          <w:szCs w:val="24"/>
        </w:rPr>
        <w:t xml:space="preserve"> byl předchozí právní názor nesprávný a je nezbytné ho změnit, bylo by perverzí soudní moci, aby ponechala takovýto [starý] názor [pro některé kauzy] nadále aplikovatelným </w:t>
      </w:r>
      <w:r>
        <w:rPr>
          <w:rFonts w:cs="Times New Roman"/>
          <w:szCs w:val="24"/>
        </w:rPr>
        <w:t>(…)“ (</w:t>
      </w:r>
      <w:r w:rsidRPr="005E2920">
        <w:rPr>
          <w:rFonts w:cs="Times New Roman"/>
          <w:szCs w:val="24"/>
        </w:rPr>
        <w:t xml:space="preserve">Ha and </w:t>
      </w:r>
      <w:proofErr w:type="spellStart"/>
      <w:r w:rsidRPr="005E2920">
        <w:rPr>
          <w:rFonts w:cs="Times New Roman"/>
          <w:szCs w:val="24"/>
        </w:rPr>
        <w:t>another</w:t>
      </w:r>
      <w:proofErr w:type="spellEnd"/>
      <w:r w:rsidRPr="005E2920">
        <w:rPr>
          <w:rFonts w:cs="Times New Roman"/>
          <w:szCs w:val="24"/>
        </w:rPr>
        <w:t xml:space="preserve"> v. </w:t>
      </w:r>
      <w:proofErr w:type="spellStart"/>
      <w:r w:rsidRPr="005E2920">
        <w:rPr>
          <w:rFonts w:cs="Times New Roman"/>
          <w:szCs w:val="24"/>
        </w:rPr>
        <w:t>State</w:t>
      </w:r>
      <w:proofErr w:type="spellEnd"/>
      <w:r w:rsidRPr="005E2920">
        <w:rPr>
          <w:rFonts w:cs="Times New Roman"/>
          <w:szCs w:val="24"/>
        </w:rPr>
        <w:t xml:space="preserve"> </w:t>
      </w:r>
      <w:proofErr w:type="spellStart"/>
      <w:r w:rsidRPr="005E2920">
        <w:rPr>
          <w:rFonts w:cs="Times New Roman"/>
          <w:szCs w:val="24"/>
        </w:rPr>
        <w:t>of</w:t>
      </w:r>
      <w:proofErr w:type="spellEnd"/>
      <w:r w:rsidRPr="005E2920">
        <w:rPr>
          <w:rFonts w:cs="Times New Roman"/>
          <w:szCs w:val="24"/>
        </w:rPr>
        <w:t xml:space="preserve"> New </w:t>
      </w:r>
      <w:proofErr w:type="spellStart"/>
      <w:r w:rsidRPr="005E2920">
        <w:rPr>
          <w:rFonts w:cs="Times New Roman"/>
          <w:szCs w:val="24"/>
        </w:rPr>
        <w:t>South</w:t>
      </w:r>
      <w:proofErr w:type="spellEnd"/>
      <w:r w:rsidRPr="005E2920">
        <w:rPr>
          <w:rFonts w:cs="Times New Roman"/>
          <w:szCs w:val="24"/>
        </w:rPr>
        <w:t xml:space="preserve"> Wales (1997) 189 CLR 465, s. 503–504</w:t>
      </w:r>
      <w:r>
        <w:rPr>
          <w:rFonts w:cs="Times New Roman"/>
          <w:szCs w:val="24"/>
        </w:rPr>
        <w:t xml:space="preserve">; převzato z: </w:t>
      </w:r>
      <w:r w:rsidRPr="009147C5">
        <w:rPr>
          <w:rFonts w:cs="Times New Roman"/>
          <w:szCs w:val="24"/>
        </w:rPr>
        <w:t xml:space="preserve">Zdeněk </w:t>
      </w:r>
      <w:proofErr w:type="spellStart"/>
      <w:r w:rsidRPr="009147C5">
        <w:rPr>
          <w:rFonts w:cs="Times New Roman"/>
          <w:szCs w:val="24"/>
        </w:rPr>
        <w:t>Kühn</w:t>
      </w:r>
      <w:proofErr w:type="spellEnd"/>
      <w:r w:rsidRPr="009147C5">
        <w:rPr>
          <w:rFonts w:cs="Times New Roman"/>
          <w:szCs w:val="24"/>
        </w:rPr>
        <w:t xml:space="preserve">: Prospektivní a retrospektivní působení </w:t>
      </w:r>
      <w:proofErr w:type="spellStart"/>
      <w:r w:rsidRPr="009147C5">
        <w:rPr>
          <w:rFonts w:cs="Times New Roman"/>
          <w:szCs w:val="24"/>
        </w:rPr>
        <w:t>judikatorních</w:t>
      </w:r>
      <w:proofErr w:type="spellEnd"/>
      <w:r w:rsidRPr="009147C5">
        <w:rPr>
          <w:rFonts w:cs="Times New Roman"/>
          <w:szCs w:val="24"/>
        </w:rPr>
        <w:t xml:space="preserve"> změn, [Právní rozhledy 6/2011, s. 191]</w:t>
      </w:r>
      <w:r>
        <w:rPr>
          <w:rFonts w:cs="Times New Roman"/>
          <w:szCs w:val="24"/>
        </w:rPr>
        <w:t>).</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20)</w:t>
      </w:r>
      <w:r>
        <w:rPr>
          <w:rFonts w:cs="Times New Roman"/>
          <w:szCs w:val="24"/>
        </w:rPr>
        <w:tab/>
        <w:t xml:space="preserve">To, že by nález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měl působit na již zahájená řízení a tedy i na řízení v</w:t>
      </w:r>
      <w:r w:rsidR="00B9169E">
        <w:rPr>
          <w:rFonts w:cs="Times New Roman"/>
          <w:szCs w:val="24"/>
        </w:rPr>
        <w:t> dané projednávané věci klienta</w:t>
      </w:r>
      <w:r>
        <w:rPr>
          <w:rFonts w:cs="Times New Roman"/>
          <w:szCs w:val="24"/>
        </w:rPr>
        <w:t xml:space="preserve">, lze dokreslit i příkladem dovedení do absurdního závěru: V Listině je v čl. 6 odst. 3 výslovně označen jako nepřípustný </w:t>
      </w:r>
      <w:r>
        <w:rPr>
          <w:rFonts w:cs="Times New Roman"/>
          <w:szCs w:val="24"/>
        </w:rPr>
        <w:lastRenderedPageBreak/>
        <w:t xml:space="preserve">trest smrti. Na druhou stranu doposud neexistuje nález Ústavního soudu ani jiný judikát, který by výslovně konstatoval jeho nepřípustnost. Pokud bychom ovšem popřeli zásadu incidentní retrospektivity a pokud by byl následně vydán judikát zakazující trest smrti, dospějeme ke zcela absurdnímu závěru, že trest smrti byl přípustný do doby, než byla jeho nepřípustnost judikována. </w:t>
      </w:r>
      <w:r w:rsidR="00B9169E">
        <w:rPr>
          <w:rFonts w:cs="Times New Roman"/>
          <w:szCs w:val="24"/>
        </w:rPr>
        <w:t xml:space="preserve">Ačkoliv jde </w:t>
      </w:r>
      <w:r>
        <w:rPr>
          <w:rFonts w:cs="Times New Roman"/>
          <w:szCs w:val="24"/>
        </w:rPr>
        <w:t xml:space="preserve">na první pohled </w:t>
      </w:r>
      <w:r w:rsidR="00DB631C">
        <w:rPr>
          <w:rFonts w:cs="Times New Roman"/>
          <w:szCs w:val="24"/>
        </w:rPr>
        <w:t xml:space="preserve">o absurdní </w:t>
      </w:r>
      <w:r>
        <w:rPr>
          <w:rFonts w:cs="Times New Roman"/>
          <w:szCs w:val="24"/>
        </w:rPr>
        <w:t xml:space="preserve">případ, při bližším pohledu už je patrné, že znaky, jež jej spojují s problematikou určování místní příslušnosti, jsou stejné - pravidlo je již obsaženo v originárním pramenu práva (u příkladu „trest smrti“ to je čl. 6 odst. 3 Listiny, u příkladu „místní příslušnost“ je to čl. 38 odst. 1 Listiny a § 26 a 18 </w:t>
      </w:r>
      <w:proofErr w:type="spellStart"/>
      <w:r>
        <w:rPr>
          <w:rFonts w:cs="Times New Roman"/>
          <w:szCs w:val="24"/>
        </w:rPr>
        <w:t>tr</w:t>
      </w:r>
      <w:proofErr w:type="spellEnd"/>
      <w:r>
        <w:rPr>
          <w:rFonts w:cs="Times New Roman"/>
          <w:szCs w:val="24"/>
        </w:rPr>
        <w:t xml:space="preserve">. </w:t>
      </w:r>
      <w:proofErr w:type="gramStart"/>
      <w:r>
        <w:rPr>
          <w:rFonts w:cs="Times New Roman"/>
          <w:szCs w:val="24"/>
        </w:rPr>
        <w:t>řádu</w:t>
      </w:r>
      <w:proofErr w:type="gramEnd"/>
      <w:r>
        <w:rPr>
          <w:rFonts w:cs="Times New Roman"/>
          <w:szCs w:val="24"/>
        </w:rPr>
        <w:t xml:space="preserve">). Judikatura potom toto ustanovení interpretuje - působí v souvislosti s jiným pramenem práva a jde tedy pouze o nalézání práva, které již existovalo, nikoliv o jeho „vytváření“ (k tomu viz výše). Obviněný nepopírá, že je možné se od zásady incidentní retrospektivity odchýlit, ale tato odchylka by musela být výslovně konstatována a odůvodněna Ústavním soudem v jeho nálezu, což není. Jediným logickým závěrem s ohledem na výše uvedené tak opět zůstává nutnost aplikace incidentní retrospektivity i v případě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21)</w:t>
      </w:r>
      <w:r>
        <w:rPr>
          <w:rFonts w:cs="Times New Roman"/>
          <w:szCs w:val="24"/>
        </w:rPr>
        <w:tab/>
        <w:t>Je třeba odmítnout i jakékoliv pokusy o „vydělení“ zajišťovacích úkonů z trestního řízení jako celku v tom smyslu, že by bylo argumentováno, že např. příkaz k domovní prohlídce je individuálním aktem, který je realizován vykonáním domovní prohlídky. Zajišťovací opatření jsou v trestním řádu upraveny jakou součást trestního řízení, nikoliv jako samostatné instituty stojící mimo řízení. To vyplývá i ze systematického a teleologického výkladu hlavy čtvrté trestního řádu. To, že na zajišťovací instituty je třeba nahlížet jako na součást trestního řízení jako celku, vyplývá i z toho, že jejich zákonnost je přezkoumatelná v rámci rozhodnutí ve věci samé - a to jak ve vztahu k zajišťovacím institutům z hlavy čtvrté trestního řádu, proti kterým je přípustná stížnost, tak ve vztahu k těm, proti nimž stížnost přípustná není. Pokud by se měla uplatnit logika „vydělení“, kdy by tyto instituty stály samostatně, nebyly by takto přezkoumatelné. Jinak by šlo o logický rozpor, neboť v rámci rozhodnutí, jež bylo vydáno v určitém řízení, by měl být přezkoumáván institut, který stojí mimo toto řízení. Např. příkaz k domovní prohlídce i domovní prohlídka samotná by tak s ohledem na absenci možnosti podat stížnost, byly s touto logikou zcela nepřezkoumatelné. To je absurdní závěr, který je třeba odmítnout, stejně jako pokusy o „vydělení“ zajišťovacích institutů z trestního řízení jako celku.</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22)</w:t>
      </w:r>
      <w:r>
        <w:rPr>
          <w:rFonts w:cs="Times New Roman"/>
          <w:szCs w:val="24"/>
        </w:rPr>
        <w:tab/>
        <w:t>Dalším argumentem pro odmítnutí výše uvedeného „vydělení“ je to, že zajišťovací instituty slouží k získání důkazů, které jsou hodnoceny a využívány teprve v následném trestním řízení. Zákonnost a použitelnost důkazu je potom minimálně z části odvislá od zákonnosti samotného zajišťovacího institutu. I zde je tedy zcela jasná spojnice mezi zajišťovacími instituty a samotným trestním řízením, což je další argument svědčící proti vydělení. Konečně je třeba zdůraznit, že uvedené „vydělení“ nelze opřít o žádnou relevantní judikaturu. Trestní řád nic takového nestanoví a ani vyšší soudy nedovodily jakoukoliv možnost osamostatnění zajišťovacích institutů vůči trestnímu řízení.</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23)</w:t>
      </w:r>
      <w:r>
        <w:rPr>
          <w:rFonts w:cs="Times New Roman"/>
          <w:szCs w:val="24"/>
        </w:rPr>
        <w:tab/>
      </w:r>
      <w:r w:rsidR="00DB631C">
        <w:rPr>
          <w:rFonts w:cs="Times New Roman"/>
          <w:szCs w:val="24"/>
        </w:rPr>
        <w:t>Obhajoba</w:t>
      </w:r>
      <w:r>
        <w:rPr>
          <w:rFonts w:cs="Times New Roman"/>
          <w:szCs w:val="24"/>
        </w:rPr>
        <w:t xml:space="preserve"> má tedy za to, že na základě uvedeného je zřejmé, že jediným logicky zdůvodnitelným a spravedlivým závěrem je, že na </w:t>
      </w:r>
      <w:r w:rsidR="00DB631C">
        <w:rPr>
          <w:rFonts w:cs="Times New Roman"/>
          <w:szCs w:val="24"/>
        </w:rPr>
        <w:t>danou projednávanou věc</w:t>
      </w:r>
      <w:r>
        <w:rPr>
          <w:rFonts w:cs="Times New Roman"/>
          <w:szCs w:val="24"/>
        </w:rPr>
        <w:t xml:space="preserve"> se budou vztahovat závěry uvedené v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ohledně pravidel určování místní příslušnosti a to na trestní řízení jako celek, nikoliv selektivně na </w:t>
      </w:r>
      <w:r>
        <w:rPr>
          <w:rFonts w:cs="Times New Roman"/>
          <w:szCs w:val="24"/>
        </w:rPr>
        <w:lastRenderedPageBreak/>
        <w:t xml:space="preserve">některé procesní úkony. Uvedený nález provedl pouhou interpretaci právní normy - šlo o nalézání práva, které již existovalo, nikoliv o jeho vytváření. Navíc se zdaleka nejednalo o překvapivý a náhlý závěr, ale o pouhé završení postupných změn, které byly vynuceny neudržitelnou praxí státních zastupitelství. </w:t>
      </w:r>
      <w:proofErr w:type="gramStart"/>
      <w:r>
        <w:rPr>
          <w:rFonts w:cs="Times New Roman"/>
          <w:szCs w:val="24"/>
        </w:rPr>
        <w:t>Nadto</w:t>
      </w:r>
      <w:proofErr w:type="gramEnd"/>
      <w:r>
        <w:rPr>
          <w:rFonts w:cs="Times New Roman"/>
          <w:szCs w:val="24"/>
        </w:rPr>
        <w:t xml:space="preserve"> byly argumenty, které následně nález </w:t>
      </w:r>
      <w:proofErr w:type="spellStart"/>
      <w:proofErr w:type="gramStart"/>
      <w:r w:rsidRPr="00386F7A">
        <w:rPr>
          <w:rFonts w:cs="Times New Roman"/>
          <w:szCs w:val="24"/>
        </w:rPr>
        <w:t>Pl</w:t>
      </w:r>
      <w:proofErr w:type="spellEnd"/>
      <w:r w:rsidRPr="00386F7A">
        <w:rPr>
          <w:rFonts w:cs="Times New Roman"/>
          <w:szCs w:val="24"/>
        </w:rPr>
        <w:t>.</w:t>
      </w:r>
      <w:proofErr w:type="gramEnd"/>
      <w:r w:rsidRPr="00386F7A">
        <w:rPr>
          <w:rFonts w:cs="Times New Roman"/>
          <w:szCs w:val="24"/>
        </w:rPr>
        <w:t xml:space="preserve"> ÚS 4/14</w:t>
      </w:r>
      <w:r>
        <w:rPr>
          <w:rFonts w:cs="Times New Roman"/>
          <w:szCs w:val="24"/>
        </w:rPr>
        <w:t xml:space="preserve"> obsáhl, opakovaně a dlouhodobě předkládány jak ze strany obhájců, tak odborné veřejnosti. Navíc i Ústavní soud a obecné soudy dostatečnou dobu indikovaly problematičnost dosavadní praxe státních zastupitelství. </w:t>
      </w:r>
    </w:p>
    <w:p w:rsidR="000B6711" w:rsidRDefault="000B6711" w:rsidP="000B6711">
      <w:pPr>
        <w:spacing w:after="0"/>
        <w:rPr>
          <w:rFonts w:cs="Times New Roman"/>
          <w:szCs w:val="24"/>
        </w:rPr>
      </w:pPr>
    </w:p>
    <w:p w:rsidR="000B6711" w:rsidRDefault="000B6711" w:rsidP="000B6711">
      <w:pPr>
        <w:spacing w:after="0"/>
        <w:rPr>
          <w:rFonts w:cs="Times New Roman"/>
          <w:szCs w:val="24"/>
        </w:rPr>
      </w:pPr>
      <w:r>
        <w:rPr>
          <w:rFonts w:cs="Times New Roman"/>
          <w:szCs w:val="24"/>
        </w:rPr>
        <w:t xml:space="preserve">24) Vztažení závěrů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na celé trestní řízení v</w:t>
      </w:r>
      <w:r w:rsidR="00DB631C">
        <w:rPr>
          <w:rFonts w:cs="Times New Roman"/>
          <w:szCs w:val="24"/>
        </w:rPr>
        <w:t xml:space="preserve"> dané projednávané </w:t>
      </w:r>
      <w:r>
        <w:rPr>
          <w:rFonts w:cs="Times New Roman"/>
          <w:szCs w:val="24"/>
        </w:rPr>
        <w:t xml:space="preserve">věci </w:t>
      </w:r>
      <w:r w:rsidR="00DB631C">
        <w:rPr>
          <w:rFonts w:cs="Times New Roman"/>
          <w:szCs w:val="24"/>
        </w:rPr>
        <w:t>obžalovaného</w:t>
      </w:r>
      <w:r>
        <w:rPr>
          <w:rFonts w:cs="Times New Roman"/>
          <w:szCs w:val="24"/>
        </w:rPr>
        <w:t xml:space="preserve"> podporuje jak soudy převzatá teorie incidentní retrospektivity, tak dosavadní výše citovaná judikatura Ústavního soudu i obecných soudů. Tento závěr však beze zbytku vyplývá i z obecné maximy spravedlnosti. Zde lze odkázat i na zásadu užívanou v rozhodovací činnosti Nejvyšším soudem: „</w:t>
      </w:r>
      <w:r w:rsidRPr="001D1019">
        <w:rPr>
          <w:rFonts w:cs="Times New Roman"/>
          <w:i/>
          <w:szCs w:val="24"/>
        </w:rPr>
        <w:t>z bezpráví nemůže povstat právo</w:t>
      </w:r>
      <w:r>
        <w:rPr>
          <w:rFonts w:cs="Times New Roman"/>
          <w:szCs w:val="24"/>
        </w:rPr>
        <w:t xml:space="preserve">“ (ex </w:t>
      </w:r>
      <w:proofErr w:type="spellStart"/>
      <w:r>
        <w:rPr>
          <w:rFonts w:cs="Times New Roman"/>
          <w:szCs w:val="24"/>
        </w:rPr>
        <w:t>iniuria</w:t>
      </w:r>
      <w:proofErr w:type="spellEnd"/>
      <w:r>
        <w:rPr>
          <w:rFonts w:cs="Times New Roman"/>
          <w:szCs w:val="24"/>
        </w:rPr>
        <w:t xml:space="preserve"> ius non </w:t>
      </w:r>
      <w:proofErr w:type="spellStart"/>
      <w:r>
        <w:rPr>
          <w:rFonts w:cs="Times New Roman"/>
          <w:szCs w:val="24"/>
        </w:rPr>
        <w:t>oritur</w:t>
      </w:r>
      <w:proofErr w:type="spellEnd"/>
      <w:r>
        <w:rPr>
          <w:rFonts w:cs="Times New Roman"/>
          <w:szCs w:val="24"/>
        </w:rPr>
        <w:t>), či na obecnější konstatování v judikátu III. ÚS 623/2000: „</w:t>
      </w:r>
      <w:r w:rsidRPr="005026C9">
        <w:rPr>
          <w:rFonts w:cs="Times New Roman"/>
          <w:i/>
          <w:szCs w:val="24"/>
        </w:rPr>
        <w:t>Případné nezákonnosti nelze omluvit účelovým konstatováním, že celková spravedlivost procesu byla přece zachována a tím snad byl garantován i spravedlivý trest.</w:t>
      </w:r>
      <w:r>
        <w:rPr>
          <w:rFonts w:cs="Times New Roman"/>
          <w:szCs w:val="24"/>
        </w:rPr>
        <w:t xml:space="preserve">“ (nález </w:t>
      </w:r>
      <w:r w:rsidRPr="00130DFD">
        <w:rPr>
          <w:rFonts w:cs="Times New Roman"/>
          <w:szCs w:val="24"/>
        </w:rPr>
        <w:t>III. ÚS 623/2000</w:t>
      </w:r>
      <w:r>
        <w:rPr>
          <w:rFonts w:cs="Times New Roman"/>
          <w:szCs w:val="24"/>
        </w:rPr>
        <w:t xml:space="preserve"> ze dne </w:t>
      </w:r>
      <w:proofErr w:type="gramStart"/>
      <w:r>
        <w:rPr>
          <w:rFonts w:cs="Times New Roman"/>
          <w:szCs w:val="24"/>
        </w:rPr>
        <w:t>27.5.2003</w:t>
      </w:r>
      <w:proofErr w:type="gramEnd"/>
      <w:r>
        <w:rPr>
          <w:rFonts w:cs="Times New Roman"/>
          <w:szCs w:val="24"/>
        </w:rPr>
        <w:t xml:space="preserve">). Obdobě pak lze odkázat na výše citovaná rozhodnutí zahraničních soudů, které podobným způsobem argumentují obecným principem spravedlnosti. </w:t>
      </w:r>
    </w:p>
    <w:p w:rsidR="000B6711" w:rsidRDefault="000B6711" w:rsidP="000B6711">
      <w:pPr>
        <w:spacing w:after="0"/>
        <w:rPr>
          <w:rFonts w:cs="Times New Roman"/>
          <w:szCs w:val="24"/>
        </w:rPr>
      </w:pPr>
    </w:p>
    <w:p w:rsidR="00217CBE" w:rsidRDefault="000B6711" w:rsidP="000B6711">
      <w:r>
        <w:rPr>
          <w:rFonts w:cs="Times New Roman"/>
          <w:szCs w:val="24"/>
        </w:rPr>
        <w:t>25)</w:t>
      </w:r>
      <w:r>
        <w:rPr>
          <w:rFonts w:cs="Times New Roman"/>
          <w:szCs w:val="24"/>
        </w:rPr>
        <w:tab/>
        <w:t xml:space="preserve">Na závěr lze tedy uzavřít, že účinky nálezu </w:t>
      </w:r>
      <w:proofErr w:type="spellStart"/>
      <w:r w:rsidRPr="00386F7A">
        <w:rPr>
          <w:rFonts w:cs="Times New Roman"/>
          <w:szCs w:val="24"/>
        </w:rPr>
        <w:t>Pl</w:t>
      </w:r>
      <w:proofErr w:type="spellEnd"/>
      <w:r w:rsidRPr="00386F7A">
        <w:rPr>
          <w:rFonts w:cs="Times New Roman"/>
          <w:szCs w:val="24"/>
        </w:rPr>
        <w:t>. ÚS 4/14</w:t>
      </w:r>
      <w:r>
        <w:rPr>
          <w:rFonts w:cs="Times New Roman"/>
          <w:szCs w:val="24"/>
        </w:rPr>
        <w:t xml:space="preserve"> se musejí vztahovat na celé trestní řízení v</w:t>
      </w:r>
      <w:r w:rsidR="00DB631C">
        <w:rPr>
          <w:rFonts w:cs="Times New Roman"/>
          <w:szCs w:val="24"/>
        </w:rPr>
        <w:t> dané projednávané věci obžalovaného</w:t>
      </w:r>
      <w:r>
        <w:rPr>
          <w:rFonts w:cs="Times New Roman"/>
          <w:szCs w:val="24"/>
        </w:rPr>
        <w:t xml:space="preserve">, a že tedy orgány činné v trestním řízení byly povinny určovat místní příslušnost i v rámci zajišťovacích institutů s ohledem na ustanovení § 18 </w:t>
      </w:r>
      <w:proofErr w:type="spellStart"/>
      <w:r>
        <w:rPr>
          <w:rFonts w:cs="Times New Roman"/>
          <w:szCs w:val="24"/>
        </w:rPr>
        <w:t>tr</w:t>
      </w:r>
      <w:proofErr w:type="spellEnd"/>
      <w:r>
        <w:rPr>
          <w:rFonts w:cs="Times New Roman"/>
          <w:szCs w:val="24"/>
        </w:rPr>
        <w:t xml:space="preserve">. </w:t>
      </w:r>
      <w:proofErr w:type="gramStart"/>
      <w:r>
        <w:rPr>
          <w:rFonts w:cs="Times New Roman"/>
          <w:szCs w:val="24"/>
        </w:rPr>
        <w:t>řádu</w:t>
      </w:r>
      <w:proofErr w:type="gramEnd"/>
      <w:r>
        <w:rPr>
          <w:rFonts w:cs="Times New Roman"/>
          <w:szCs w:val="24"/>
        </w:rPr>
        <w:t>. Tento závěr je činěn nejenom na základě judikatury soudů a odborné literatury, ale též na základě prosté logiky a principu spravedlnosti, neb pro opačný postup žádný přesvědčivý argument neexistuje.</w:t>
      </w:r>
    </w:p>
    <w:p w:rsidR="00217CBE" w:rsidRDefault="00217CBE" w:rsidP="00217CBE"/>
    <w:p w:rsidR="00217CBE" w:rsidRDefault="00217CBE" w:rsidP="00217CBE"/>
    <w:p w:rsidR="00217CBE" w:rsidRDefault="00217CBE" w:rsidP="00217CBE">
      <w:r>
        <w:tab/>
      </w:r>
      <w:r>
        <w:tab/>
        <w:t xml:space="preserve"> </w:t>
      </w:r>
      <w:r>
        <w:tab/>
      </w:r>
      <w:r>
        <w:tab/>
      </w:r>
      <w:r>
        <w:tab/>
      </w:r>
      <w:r w:rsidR="008C7D61">
        <w:tab/>
      </w:r>
      <w:r w:rsidR="00D77FAD">
        <w:t xml:space="preserve">   </w:t>
      </w:r>
      <w:r>
        <w:t>JUDr.</w:t>
      </w:r>
      <w:r w:rsidR="008C7D61">
        <w:t xml:space="preserve"> </w:t>
      </w:r>
      <w:r>
        <w:t>Tomáš Sokol</w:t>
      </w:r>
    </w:p>
    <w:p w:rsidR="00217CBE" w:rsidRDefault="00D77FAD" w:rsidP="008C7D61">
      <w:pPr>
        <w:ind w:left="2691" w:firstLine="141"/>
      </w:pPr>
      <w:r>
        <w:t>o</w:t>
      </w:r>
      <w:r w:rsidR="00217CBE">
        <w:t xml:space="preserve">bhájce </w:t>
      </w:r>
      <w:r w:rsidR="00217CBE" w:rsidRPr="00217CBE">
        <w:t>Generálporučík</w:t>
      </w:r>
      <w:r w:rsidR="00217CBE">
        <w:t>a</w:t>
      </w:r>
      <w:r w:rsidR="00217CBE" w:rsidRPr="00217CBE">
        <w:t xml:space="preserve"> Ing. Ondrej</w:t>
      </w:r>
      <w:r w:rsidR="00217CBE">
        <w:t>e</w:t>
      </w:r>
      <w:r w:rsidR="00217CBE" w:rsidRPr="00217CBE">
        <w:t xml:space="preserve"> Páleník</w:t>
      </w:r>
      <w:r w:rsidR="00217CBE">
        <w:t>a</w:t>
      </w:r>
      <w:r w:rsidR="00217CBE" w:rsidRPr="00217CBE">
        <w:t>, MBA</w:t>
      </w:r>
    </w:p>
    <w:sectPr w:rsidR="00217C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AF1" w:rsidRDefault="00537AF1" w:rsidP="00537AF1">
      <w:pPr>
        <w:spacing w:after="0"/>
      </w:pPr>
      <w:r>
        <w:separator/>
      </w:r>
    </w:p>
  </w:endnote>
  <w:endnote w:type="continuationSeparator" w:id="0">
    <w:p w:rsidR="00537AF1" w:rsidRDefault="00537AF1" w:rsidP="00537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699752"/>
      <w:docPartObj>
        <w:docPartGallery w:val="Page Numbers (Bottom of Page)"/>
        <w:docPartUnique/>
      </w:docPartObj>
    </w:sdtPr>
    <w:sdtEndPr/>
    <w:sdtContent>
      <w:p w:rsidR="00537AF1" w:rsidRDefault="00537AF1">
        <w:pPr>
          <w:pStyle w:val="Zpat"/>
          <w:jc w:val="right"/>
        </w:pPr>
        <w:r>
          <w:fldChar w:fldCharType="begin"/>
        </w:r>
        <w:r>
          <w:instrText>PAGE   \* MERGEFORMAT</w:instrText>
        </w:r>
        <w:r>
          <w:fldChar w:fldCharType="separate"/>
        </w:r>
        <w:r w:rsidR="003C17D8">
          <w:rPr>
            <w:noProof/>
          </w:rPr>
          <w:t>1</w:t>
        </w:r>
        <w:r>
          <w:fldChar w:fldCharType="end"/>
        </w:r>
      </w:p>
    </w:sdtContent>
  </w:sdt>
  <w:p w:rsidR="00537AF1" w:rsidRDefault="00537A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AF1" w:rsidRDefault="00537AF1" w:rsidP="00537AF1">
      <w:pPr>
        <w:spacing w:after="0"/>
      </w:pPr>
      <w:r>
        <w:separator/>
      </w:r>
    </w:p>
  </w:footnote>
  <w:footnote w:type="continuationSeparator" w:id="0">
    <w:p w:rsidR="00537AF1" w:rsidRDefault="00537AF1" w:rsidP="00537AF1">
      <w:pPr>
        <w:spacing w:after="0"/>
      </w:pPr>
      <w:r>
        <w:continuationSeparator/>
      </w:r>
    </w:p>
  </w:footnote>
  <w:footnote w:id="1">
    <w:p w:rsidR="000B6711" w:rsidRDefault="000B6711" w:rsidP="000B6711">
      <w:pPr>
        <w:pStyle w:val="Textpoznpodarou"/>
      </w:pPr>
      <w:r>
        <w:rPr>
          <w:rStyle w:val="Znakapoznpodarou"/>
        </w:rPr>
        <w:footnoteRef/>
      </w:r>
      <w:r>
        <w:t xml:space="preserve"> </w:t>
      </w:r>
      <w:r w:rsidRPr="00C31377">
        <w:rPr>
          <w:rFonts w:cs="Times New Roman"/>
        </w:rPr>
        <w:t xml:space="preserve">K tomu viz Zdeněk </w:t>
      </w:r>
      <w:proofErr w:type="spellStart"/>
      <w:r w:rsidRPr="00C31377">
        <w:rPr>
          <w:rFonts w:cs="Times New Roman"/>
        </w:rPr>
        <w:t>Kühn</w:t>
      </w:r>
      <w:proofErr w:type="spellEnd"/>
      <w:r w:rsidRPr="00C31377">
        <w:rPr>
          <w:rFonts w:cs="Times New Roman"/>
        </w:rPr>
        <w:t xml:space="preserve">: Prospektivní a retrospektivní působení </w:t>
      </w:r>
      <w:proofErr w:type="spellStart"/>
      <w:r w:rsidRPr="00C31377">
        <w:rPr>
          <w:rFonts w:cs="Times New Roman"/>
        </w:rPr>
        <w:t>judikatorních</w:t>
      </w:r>
      <w:proofErr w:type="spellEnd"/>
      <w:r w:rsidRPr="00C31377">
        <w:rPr>
          <w:rFonts w:cs="Times New Roman"/>
        </w:rPr>
        <w:t xml:space="preserve"> změn, [Právní rozhledy 6/2011, s. 191]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F1"/>
    <w:rsid w:val="00036702"/>
    <w:rsid w:val="000409E9"/>
    <w:rsid w:val="00074DBB"/>
    <w:rsid w:val="00075B11"/>
    <w:rsid w:val="000B6711"/>
    <w:rsid w:val="00154456"/>
    <w:rsid w:val="00167327"/>
    <w:rsid w:val="001A6D63"/>
    <w:rsid w:val="001B6A23"/>
    <w:rsid w:val="00217CBE"/>
    <w:rsid w:val="002518CB"/>
    <w:rsid w:val="00265E2D"/>
    <w:rsid w:val="003739FD"/>
    <w:rsid w:val="003C17D8"/>
    <w:rsid w:val="00444287"/>
    <w:rsid w:val="00482941"/>
    <w:rsid w:val="004864B6"/>
    <w:rsid w:val="00532D83"/>
    <w:rsid w:val="00537AF1"/>
    <w:rsid w:val="00586C56"/>
    <w:rsid w:val="005D061C"/>
    <w:rsid w:val="006470BC"/>
    <w:rsid w:val="006C5988"/>
    <w:rsid w:val="007252AC"/>
    <w:rsid w:val="007252F6"/>
    <w:rsid w:val="008509D1"/>
    <w:rsid w:val="00864989"/>
    <w:rsid w:val="008C7D61"/>
    <w:rsid w:val="00A134EC"/>
    <w:rsid w:val="00B16BC3"/>
    <w:rsid w:val="00B402F3"/>
    <w:rsid w:val="00B9169E"/>
    <w:rsid w:val="00CC2338"/>
    <w:rsid w:val="00D31FB6"/>
    <w:rsid w:val="00D32D02"/>
    <w:rsid w:val="00D45DC0"/>
    <w:rsid w:val="00D73666"/>
    <w:rsid w:val="00D77FAD"/>
    <w:rsid w:val="00D90055"/>
    <w:rsid w:val="00DB631C"/>
    <w:rsid w:val="00E50E0C"/>
    <w:rsid w:val="00E605A8"/>
    <w:rsid w:val="00E9307B"/>
    <w:rsid w:val="00F15D29"/>
    <w:rsid w:val="00FC56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7AF1"/>
    <w:pPr>
      <w:spacing w:line="240" w:lineRule="auto"/>
      <w:ind w:left="567" w:right="567"/>
      <w:contextualSpacing/>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37AF1"/>
    <w:pPr>
      <w:tabs>
        <w:tab w:val="center" w:pos="4536"/>
        <w:tab w:val="right" w:pos="9072"/>
      </w:tabs>
      <w:spacing w:after="0"/>
    </w:pPr>
  </w:style>
  <w:style w:type="character" w:customStyle="1" w:styleId="ZhlavChar">
    <w:name w:val="Záhlaví Char"/>
    <w:basedOn w:val="Standardnpsmoodstavce"/>
    <w:link w:val="Zhlav"/>
    <w:uiPriority w:val="99"/>
    <w:rsid w:val="00537AF1"/>
    <w:rPr>
      <w:rFonts w:ascii="Times New Roman" w:hAnsi="Times New Roman"/>
      <w:sz w:val="24"/>
    </w:rPr>
  </w:style>
  <w:style w:type="paragraph" w:styleId="Zpat">
    <w:name w:val="footer"/>
    <w:basedOn w:val="Normln"/>
    <w:link w:val="ZpatChar"/>
    <w:uiPriority w:val="99"/>
    <w:unhideWhenUsed/>
    <w:rsid w:val="00537AF1"/>
    <w:pPr>
      <w:tabs>
        <w:tab w:val="center" w:pos="4536"/>
        <w:tab w:val="right" w:pos="9072"/>
      </w:tabs>
      <w:spacing w:after="0"/>
    </w:pPr>
  </w:style>
  <w:style w:type="character" w:customStyle="1" w:styleId="ZpatChar">
    <w:name w:val="Zápatí Char"/>
    <w:basedOn w:val="Standardnpsmoodstavce"/>
    <w:link w:val="Zpat"/>
    <w:uiPriority w:val="99"/>
    <w:rsid w:val="00537AF1"/>
    <w:rPr>
      <w:rFonts w:ascii="Times New Roman" w:hAnsi="Times New Roman"/>
      <w:sz w:val="24"/>
    </w:rPr>
  </w:style>
  <w:style w:type="paragraph" w:styleId="Textpoznpodarou">
    <w:name w:val="footnote text"/>
    <w:basedOn w:val="Normln"/>
    <w:link w:val="TextpoznpodarouChar"/>
    <w:uiPriority w:val="99"/>
    <w:semiHidden/>
    <w:unhideWhenUsed/>
    <w:rsid w:val="00D32D02"/>
    <w:pPr>
      <w:spacing w:after="0"/>
    </w:pPr>
    <w:rPr>
      <w:sz w:val="20"/>
      <w:szCs w:val="20"/>
    </w:rPr>
  </w:style>
  <w:style w:type="character" w:customStyle="1" w:styleId="TextpoznpodarouChar">
    <w:name w:val="Text pozn. pod čarou Char"/>
    <w:basedOn w:val="Standardnpsmoodstavce"/>
    <w:link w:val="Textpoznpodarou"/>
    <w:uiPriority w:val="99"/>
    <w:semiHidden/>
    <w:rsid w:val="00D32D02"/>
    <w:rPr>
      <w:rFonts w:ascii="Times New Roman" w:hAnsi="Times New Roman"/>
      <w:sz w:val="20"/>
      <w:szCs w:val="20"/>
    </w:rPr>
  </w:style>
  <w:style w:type="character" w:styleId="Znakapoznpodarou">
    <w:name w:val="footnote reference"/>
    <w:basedOn w:val="Standardnpsmoodstavce"/>
    <w:uiPriority w:val="99"/>
    <w:semiHidden/>
    <w:unhideWhenUsed/>
    <w:rsid w:val="00D32D02"/>
    <w:rPr>
      <w:vertAlign w:val="superscript"/>
    </w:rPr>
  </w:style>
  <w:style w:type="paragraph" w:styleId="Odstavecseseznamem">
    <w:name w:val="List Paragraph"/>
    <w:basedOn w:val="Normln"/>
    <w:uiPriority w:val="34"/>
    <w:qFormat/>
    <w:rsid w:val="000B671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7AF1"/>
    <w:pPr>
      <w:spacing w:line="240" w:lineRule="auto"/>
      <w:ind w:left="567" w:right="567"/>
      <w:contextualSpacing/>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37AF1"/>
    <w:pPr>
      <w:tabs>
        <w:tab w:val="center" w:pos="4536"/>
        <w:tab w:val="right" w:pos="9072"/>
      </w:tabs>
      <w:spacing w:after="0"/>
    </w:pPr>
  </w:style>
  <w:style w:type="character" w:customStyle="1" w:styleId="ZhlavChar">
    <w:name w:val="Záhlaví Char"/>
    <w:basedOn w:val="Standardnpsmoodstavce"/>
    <w:link w:val="Zhlav"/>
    <w:uiPriority w:val="99"/>
    <w:rsid w:val="00537AF1"/>
    <w:rPr>
      <w:rFonts w:ascii="Times New Roman" w:hAnsi="Times New Roman"/>
      <w:sz w:val="24"/>
    </w:rPr>
  </w:style>
  <w:style w:type="paragraph" w:styleId="Zpat">
    <w:name w:val="footer"/>
    <w:basedOn w:val="Normln"/>
    <w:link w:val="ZpatChar"/>
    <w:uiPriority w:val="99"/>
    <w:unhideWhenUsed/>
    <w:rsid w:val="00537AF1"/>
    <w:pPr>
      <w:tabs>
        <w:tab w:val="center" w:pos="4536"/>
        <w:tab w:val="right" w:pos="9072"/>
      </w:tabs>
      <w:spacing w:after="0"/>
    </w:pPr>
  </w:style>
  <w:style w:type="character" w:customStyle="1" w:styleId="ZpatChar">
    <w:name w:val="Zápatí Char"/>
    <w:basedOn w:val="Standardnpsmoodstavce"/>
    <w:link w:val="Zpat"/>
    <w:uiPriority w:val="99"/>
    <w:rsid w:val="00537AF1"/>
    <w:rPr>
      <w:rFonts w:ascii="Times New Roman" w:hAnsi="Times New Roman"/>
      <w:sz w:val="24"/>
    </w:rPr>
  </w:style>
  <w:style w:type="paragraph" w:styleId="Textpoznpodarou">
    <w:name w:val="footnote text"/>
    <w:basedOn w:val="Normln"/>
    <w:link w:val="TextpoznpodarouChar"/>
    <w:uiPriority w:val="99"/>
    <w:semiHidden/>
    <w:unhideWhenUsed/>
    <w:rsid w:val="00D32D02"/>
    <w:pPr>
      <w:spacing w:after="0"/>
    </w:pPr>
    <w:rPr>
      <w:sz w:val="20"/>
      <w:szCs w:val="20"/>
    </w:rPr>
  </w:style>
  <w:style w:type="character" w:customStyle="1" w:styleId="TextpoznpodarouChar">
    <w:name w:val="Text pozn. pod čarou Char"/>
    <w:basedOn w:val="Standardnpsmoodstavce"/>
    <w:link w:val="Textpoznpodarou"/>
    <w:uiPriority w:val="99"/>
    <w:semiHidden/>
    <w:rsid w:val="00D32D02"/>
    <w:rPr>
      <w:rFonts w:ascii="Times New Roman" w:hAnsi="Times New Roman"/>
      <w:sz w:val="20"/>
      <w:szCs w:val="20"/>
    </w:rPr>
  </w:style>
  <w:style w:type="character" w:styleId="Znakapoznpodarou">
    <w:name w:val="footnote reference"/>
    <w:basedOn w:val="Standardnpsmoodstavce"/>
    <w:uiPriority w:val="99"/>
    <w:semiHidden/>
    <w:unhideWhenUsed/>
    <w:rsid w:val="00D32D02"/>
    <w:rPr>
      <w:vertAlign w:val="superscript"/>
    </w:rPr>
  </w:style>
  <w:style w:type="paragraph" w:styleId="Odstavecseseznamem">
    <w:name w:val="List Paragraph"/>
    <w:basedOn w:val="Normln"/>
    <w:uiPriority w:val="34"/>
    <w:qFormat/>
    <w:rsid w:val="000B67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0A07C-623C-4248-A918-90D604F0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3298</Words>
  <Characters>19461</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Sokol Tomáš</dc:creator>
  <cp:lastModifiedBy>JUDr. Sokol Tomáš</cp:lastModifiedBy>
  <cp:revision>9</cp:revision>
  <dcterms:created xsi:type="dcterms:W3CDTF">2016-06-06T12:37:00Z</dcterms:created>
  <dcterms:modified xsi:type="dcterms:W3CDTF">2016-06-07T11:36:00Z</dcterms:modified>
</cp:coreProperties>
</file>