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B9" w:rsidRDefault="003A0096">
      <w:pPr>
        <w:pStyle w:val="Vchozstyl"/>
        <w:jc w:val="center"/>
      </w:pPr>
      <w:r>
        <w:rPr>
          <w:b/>
          <w:u w:val="single"/>
          <w:lang w:val="cs-CZ"/>
        </w:rPr>
        <w:t>Základní texty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ab/>
      </w:r>
      <w:r>
        <w:rPr>
          <w:u w:val="single"/>
          <w:lang w:val="cs-CZ"/>
        </w:rPr>
        <w:t>Zde je několik příkladů základních textů na ochranu svobody slova pro všechny občany: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b/>
          <w:lang w:val="cs-CZ"/>
        </w:rPr>
        <w:t>Článek 19 Všeobecné deklarace lidských práv OSN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Každý má právo na svobodu přesvědčení a projevu; toto právo nepřipouští, aby někdo trpěl újmu pro své přesvědčení, a zahrnuje právo vyhledávat, přijímat a rozšiřovat informace a myšlenky jakýmikoli prostředky a bez ohledu na hranice. 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Celý text naleznete </w:t>
      </w:r>
      <w:r>
        <w:rPr>
          <w:lang w:val="cs-CZ"/>
        </w:rPr>
        <w:t xml:space="preserve">zde: </w:t>
      </w:r>
      <w:hyperlink r:id="rId5">
        <w:r>
          <w:rPr>
            <w:rStyle w:val="Internetovodkaz"/>
            <w:lang w:val="cs-CZ"/>
          </w:rPr>
          <w:t>http://www.osn.cz/wp-content/uploads/2015/03/vseobecna-deklarace-lidskych-prav.pdf</w:t>
        </w:r>
      </w:hyperlink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b/>
          <w:lang w:val="cs-CZ"/>
        </w:rPr>
        <w:t>Článek 10 Evropské úmluvy o ochraně lidských práv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1. Každý má právo na svobodu projevu.</w:t>
      </w:r>
      <w:r>
        <w:rPr>
          <w:lang w:val="cs-CZ"/>
        </w:rPr>
        <w:t xml:space="preserve"> Toto právo zahrnuje svobodu zastávat názory a přijímat a rozšiřovat informace nebo myšlenky bez zasahování státních orgánů a bez ohledu na hranice. Tento článek nebrání státům, aby vyžadovaly udělování povolení rozhlasovým, televizním nebo filmovým společ</w:t>
      </w:r>
      <w:r>
        <w:rPr>
          <w:lang w:val="cs-CZ"/>
        </w:rPr>
        <w:t>nostem.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2. Výkon těchto svobod, protože zahrnuje i povinnosti a odpovědnost, může podléhat takovým formalitám, podmínkám, omezením nebo sankcím, které stanoví zákon a které jsou nezbytné </w:t>
      </w:r>
      <w:r>
        <w:rPr>
          <w:lang w:val="cs-CZ"/>
        </w:rPr>
        <w:br/>
        <w:t>v demokratické společnosti v zájmu národní bezpečnosti, územní celi</w:t>
      </w:r>
      <w:r>
        <w:rPr>
          <w:lang w:val="cs-CZ"/>
        </w:rPr>
        <w:t xml:space="preserve">stvosti nebo veřejné bezpečnosti, ochrany pořádku a předcházení </w:t>
      </w:r>
      <w:r>
        <w:rPr>
          <w:lang w:val="cs-CZ"/>
        </w:rPr>
        <w:br/>
        <w:t>zločinnosti, ochrany zdraví nebo morálky, ochrany pověsti nebo práv jiných, zabránění úniku důvěrných informací nebo zachování autority a nestrannosti soudní moci.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Celý text naleznete zde:</w:t>
      </w:r>
    </w:p>
    <w:p w:rsidR="007763B9" w:rsidRDefault="003A0096">
      <w:pPr>
        <w:pStyle w:val="Vchozstyl"/>
      </w:pPr>
      <w:hyperlink r:id="rId6">
        <w:r>
          <w:rPr>
            <w:rStyle w:val="Internetovodkaz"/>
            <w:lang w:val="cs-CZ"/>
          </w:rPr>
          <w:t>http://www.echr.coe.int/Documents/Convention_CES.pdf</w:t>
        </w:r>
      </w:hyperlink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b/>
          <w:lang w:val="cs-CZ"/>
        </w:rPr>
        <w:t>Článek 22 Základních zásad role advokátů vydaných OSN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Státy musí uznat a respektovat, že veškerá komunikace a konzultace mezi advo</w:t>
      </w:r>
      <w:r>
        <w:rPr>
          <w:lang w:val="cs-CZ"/>
        </w:rPr>
        <w:t>káty a jejich klienty v rámci jejich profesního vztahu jsou důvěrné.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Celý text (anglicky) naleznete zde: </w:t>
      </w:r>
      <w:hyperlink r:id="rId7">
        <w:r>
          <w:rPr>
            <w:rStyle w:val="Internetovodkaz"/>
            <w:lang w:val="cs-CZ"/>
          </w:rPr>
          <w:t>http://www.ohchr.org/EN/ProfessionalInterest/Pages/RoleOfLawy</w:t>
        </w:r>
        <w:r>
          <w:rPr>
            <w:rStyle w:val="Internetovodkaz"/>
            <w:lang w:val="cs-CZ"/>
          </w:rPr>
          <w:t>ers.aspx</w:t>
        </w:r>
      </w:hyperlink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b/>
          <w:lang w:val="cs-CZ"/>
        </w:rPr>
        <w:t xml:space="preserve">Zásada </w:t>
      </w:r>
      <w:proofErr w:type="gramStart"/>
      <w:r>
        <w:rPr>
          <w:b/>
          <w:lang w:val="cs-CZ"/>
        </w:rPr>
        <w:t>III.2, Doporučení</w:t>
      </w:r>
      <w:proofErr w:type="gramEnd"/>
      <w:r>
        <w:rPr>
          <w:b/>
          <w:lang w:val="cs-CZ"/>
        </w:rPr>
        <w:t xml:space="preserve"> Dop.(2000)21 Výboru ministrů členským státům ke svobodě výkonu profese advokáta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Advokáti by měli respektovat zachování profesionální mlčenlivosti v souladu s interními zákony, směrnicemi a profesními normami. Jakékoliv p</w:t>
      </w:r>
      <w:r>
        <w:rPr>
          <w:lang w:val="cs-CZ"/>
        </w:rPr>
        <w:t>orušení mlčenlivosti bez vědomí klienta by mělo být předmětem odpovídajících sankcí.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Celý text naleznete zde:</w:t>
      </w:r>
    </w:p>
    <w:p w:rsidR="007763B9" w:rsidRDefault="003A0096">
      <w:pPr>
        <w:pStyle w:val="Vchozstyl"/>
      </w:pPr>
      <w:hyperlink r:id="rId8">
        <w:r>
          <w:rPr>
            <w:rStyle w:val="Internetovodkaz"/>
            <w:lang w:val="cs-CZ"/>
          </w:rPr>
          <w:t>www.cak.cz/assets/files/436/e04_PPA_2005_CZ_44.pdf</w:t>
        </w:r>
      </w:hyperlink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b/>
          <w:lang w:val="cs-CZ"/>
        </w:rPr>
        <w:t xml:space="preserve">Rozhodnutí ESD v </w:t>
      </w:r>
      <w:r>
        <w:rPr>
          <w:b/>
          <w:lang w:val="cs-CZ"/>
        </w:rPr>
        <w:t>případu AM &amp; S (155/79)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Zde je výtah rozsudku Evropského soudního dvora v případu AM &amp; S týkajícího se práva Společenství a ochrany důvěrnosti. To poukazuje na uznání důležitosti profesního tajemství na úrovni EU. 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proofErr w:type="gramStart"/>
      <w:r>
        <w:rPr>
          <w:lang w:val="cs-CZ"/>
        </w:rPr>
        <w:t>b.18</w:t>
      </w:r>
      <w:proofErr w:type="gramEnd"/>
      <w:r>
        <w:rPr>
          <w:lang w:val="cs-CZ"/>
        </w:rPr>
        <w:t xml:space="preserve"> Právo Společenství, jež je odvozen</w:t>
      </w:r>
      <w:r>
        <w:rPr>
          <w:lang w:val="cs-CZ"/>
        </w:rPr>
        <w:t>o ne pouze z ekonomického, ale i právního prolínání členských států, musí brát v úvahu principy a koncepty společné právu těchto států v oblasti dodržování mlčenlivosti, zejména pokud jde o určitou komunikaci mezi advokátem a klientem. Tato mlčenlivost slo</w:t>
      </w:r>
      <w:r>
        <w:rPr>
          <w:lang w:val="cs-CZ"/>
        </w:rPr>
        <w:t>uží požadavkům – jejich význam je uznáván ve všech členských státech –, že každý musí mít možnost se bez omezení radit s advokátem, jehož povolání zahrnuje poskytování nezávislého právního poradenství pro všechny, kteří je potřebují.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Celý text (anglicky) </w:t>
      </w:r>
      <w:r>
        <w:rPr>
          <w:lang w:val="cs-CZ"/>
        </w:rPr>
        <w:t>naleznete zde:</w:t>
      </w:r>
    </w:p>
    <w:p w:rsidR="007763B9" w:rsidRDefault="003A0096">
      <w:pPr>
        <w:pStyle w:val="Vchozstyl"/>
      </w:pPr>
      <w:hyperlink r:id="rId9">
        <w:r>
          <w:rPr>
            <w:rStyle w:val="Internetovodkaz"/>
            <w:lang w:val="cs-CZ"/>
          </w:rPr>
          <w:t>http://eur-lex.europa.eu/legal-content/EN/TXT/PDF/?uri=CELEX:61979CJ0155&amp;from=EN</w:t>
        </w:r>
      </w:hyperlink>
      <w:r>
        <w:rPr>
          <w:lang w:val="cs-CZ"/>
        </w:rPr>
        <w:t xml:space="preserve"> 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b/>
          <w:lang w:val="cs-CZ"/>
        </w:rPr>
        <w:t>Etický kodex advokátů Evropské unie CCBE a Charta základní</w:t>
      </w:r>
      <w:r>
        <w:rPr>
          <w:b/>
          <w:lang w:val="cs-CZ"/>
        </w:rPr>
        <w:t xml:space="preserve">ch principů evropské advokacie CCBE 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Princip b), právo a povinnost advokáta zachovat klientovy záležitosti v tajnosti a respektovat profesní mlčenlivost.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2.3. Povinnost mlčenlivosti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2.3.1. Z podstaty funkce advokáta vyplývá, že klient advokátovi sděluje</w:t>
      </w:r>
      <w:r>
        <w:rPr>
          <w:lang w:val="cs-CZ"/>
        </w:rPr>
        <w:t xml:space="preserve"> věci, které by jinému nesdělil, a že advokátovi jsou informace předávány na základě důvěry.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Důvěra nemůže existovat bez jistoty zachování mlčenlivosti. Povinnost mlčenlivosti je tudíž primárním a základním právem i povinností advokáta.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Advokátova povinn</w:t>
      </w:r>
      <w:r>
        <w:rPr>
          <w:lang w:val="cs-CZ"/>
        </w:rPr>
        <w:t>ost mlčenlivosti slouží zájmu výkonu spravedlnosti stejně jako zájmu klienta. Zaslouží si tudíž zvláštní ochranu ze strany státu.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2.3.2. Advokát je povinen zachovávat mlčenlivost o veškerých informacích, o kterých se </w:t>
      </w:r>
      <w:r>
        <w:rPr>
          <w:lang w:val="cs-CZ"/>
        </w:rPr>
        <w:br/>
        <w:t>dozví při výkonu advokacie.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2.3.3. P</w:t>
      </w:r>
      <w:r>
        <w:rPr>
          <w:lang w:val="cs-CZ"/>
        </w:rPr>
        <w:t>ovinnost mlčenlivosti není časově omezena.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2.3.4. Advokát je povinen od svých společníků, zaměstnanců a jiných osob, které najal při </w:t>
      </w:r>
      <w:r>
        <w:rPr>
          <w:lang w:val="cs-CZ"/>
        </w:rPr>
        <w:br/>
        <w:t xml:space="preserve">poskytování právních služeb vyžadovat, aby dodržovali stejnou povinnost zachovávat </w:t>
      </w:r>
      <w:r>
        <w:rPr>
          <w:lang w:val="cs-CZ"/>
        </w:rPr>
        <w:br/>
        <w:t>mlčenlivost.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Celý text naleznete </w:t>
      </w:r>
      <w:r>
        <w:rPr>
          <w:lang w:val="cs-CZ"/>
        </w:rPr>
        <w:t>zde:</w:t>
      </w:r>
    </w:p>
    <w:p w:rsidR="007763B9" w:rsidRDefault="003A0096">
      <w:pPr>
        <w:pStyle w:val="Vchozstyl"/>
      </w:pPr>
      <w:hyperlink r:id="rId10">
        <w:r>
          <w:rPr>
            <w:rStyle w:val="Internetovodkaz"/>
            <w:lang w:val="cs-CZ"/>
          </w:rPr>
          <w:t>http://www.ccbe.eu/fileadmin/user_upload/NTCdocument/CoC_Charter_Czech_la10_1253625489.pdf</w:t>
        </w:r>
      </w:hyperlink>
    </w:p>
    <w:p w:rsidR="007763B9" w:rsidRDefault="007763B9">
      <w:pPr>
        <w:pStyle w:val="Vchozstyl"/>
        <w:spacing w:after="200" w:line="276" w:lineRule="auto"/>
      </w:pPr>
    </w:p>
    <w:p w:rsidR="007763B9" w:rsidRDefault="003A0096">
      <w:pPr>
        <w:pStyle w:val="Vchozstyl"/>
        <w:pageBreakBefore/>
      </w:pPr>
      <w:r>
        <w:rPr>
          <w:lang w:val="cs-CZ"/>
        </w:rPr>
        <w:tab/>
      </w:r>
      <w:r>
        <w:rPr>
          <w:u w:val="single"/>
          <w:lang w:val="cs-CZ"/>
        </w:rPr>
        <w:t xml:space="preserve">Zde je několik příkladů základních textů na ochranu </w:t>
      </w:r>
      <w:r>
        <w:rPr>
          <w:u w:val="single"/>
          <w:lang w:val="cs-CZ"/>
        </w:rPr>
        <w:t>svobody slova pro advokáty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b/>
          <w:lang w:val="cs-CZ"/>
        </w:rPr>
        <w:t>Článek 23 Základních zásad role advokátů vydaných OSN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23. Stejně jako ostatní občané mají advokáti právo na svobodu projevu, vyznání, sdružování a shromažďování. Zejména mají právo se účastnit veřejných diskusí o záležitostech </w:t>
      </w:r>
      <w:r>
        <w:rPr>
          <w:lang w:val="cs-CZ"/>
        </w:rPr>
        <w:t>týkajících se práva, výkonu spravedlnosti a podporu a ochranu lidských práv a právo se připojovat k místním, národním či mezinárodním organizacím či je zakládat a účastnit se jejich zasedání, aniž by byli profesně omezování kvůli svým legálním činnostem či</w:t>
      </w:r>
      <w:r>
        <w:rPr>
          <w:lang w:val="cs-CZ"/>
        </w:rPr>
        <w:t xml:space="preserve"> členství v legální organizaci. Při výkonu těchto práv musí advokáti vždy jednat v souladu se zákonem a uznávanými standardy a etikou advokacie.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proofErr w:type="gramStart"/>
      <w:r>
        <w:rPr>
          <w:b/>
          <w:lang w:val="cs-CZ"/>
        </w:rPr>
        <w:t>Zásada I.3, Doporučení</w:t>
      </w:r>
      <w:proofErr w:type="gramEnd"/>
      <w:r>
        <w:rPr>
          <w:b/>
          <w:lang w:val="cs-CZ"/>
        </w:rPr>
        <w:t xml:space="preserve"> Dop.(2000)21 Výboru ministrů členským státům ke svobodě výkonu profese advokáta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Advoká</w:t>
      </w:r>
      <w:r>
        <w:rPr>
          <w:lang w:val="cs-CZ"/>
        </w:rPr>
        <w:t>ti by měli mít svobodu vyznání, slova, pohybu, sdružování a shromažďování a obzvláště by měli mít právo účastnit se veřejných diskusí o záležitostech, které se týkají práva a výkonu spravedlnosti, a navrhovat legislativní reformy.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b/>
          <w:lang w:val="cs-CZ"/>
        </w:rPr>
        <w:t>Evropský soud pro lidská</w:t>
      </w:r>
      <w:r>
        <w:rPr>
          <w:b/>
          <w:lang w:val="cs-CZ"/>
        </w:rPr>
        <w:t xml:space="preserve"> práva, případ </w:t>
      </w:r>
      <w:r>
        <w:rPr>
          <w:b/>
          <w:i/>
          <w:iCs/>
          <w:lang w:val="cs-CZ"/>
        </w:rPr>
        <w:t>Morice v. Francie</w:t>
      </w:r>
      <w:r>
        <w:rPr>
          <w:b/>
          <w:lang w:val="cs-CZ"/>
        </w:rPr>
        <w:t xml:space="preserve"> (žaloba č. 29369/10)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c) Stav a svoboda projevu advokátů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132. Specifické postavení advokátů jim dává ústřední postavení ve výkonu spravedlnosti jakožto zprostředkovatelů mezi veřejností a soudy. Hrají tedy klíčovou roli v </w:t>
      </w:r>
      <w:r>
        <w:rPr>
          <w:lang w:val="cs-CZ"/>
        </w:rPr>
        <w:t xml:space="preserve">zajištění toho, aby soudy, jejichž role je v právním státě zásadní, měly důvěru veřejnosti (viz </w:t>
      </w:r>
      <w:proofErr w:type="spellStart"/>
      <w:r>
        <w:rPr>
          <w:i/>
          <w:iCs/>
          <w:lang w:val="cs-CZ"/>
        </w:rPr>
        <w:t>Schöpfer</w:t>
      </w:r>
      <w:proofErr w:type="spellEnd"/>
      <w:r>
        <w:rPr>
          <w:i/>
          <w:iCs/>
          <w:lang w:val="cs-CZ"/>
        </w:rPr>
        <w:t xml:space="preserve"> v. Švýcarsko</w:t>
      </w:r>
      <w:r>
        <w:rPr>
          <w:lang w:val="cs-CZ"/>
        </w:rPr>
        <w:t xml:space="preserve">, 20. května 1998, § 29–30, </w:t>
      </w:r>
      <w:proofErr w:type="spellStart"/>
      <w:r>
        <w:rPr>
          <w:lang w:val="cs-CZ"/>
        </w:rPr>
        <w:t>Reports</w:t>
      </w:r>
      <w:proofErr w:type="spellEnd"/>
      <w:r>
        <w:rPr>
          <w:lang w:val="cs-CZ"/>
        </w:rPr>
        <w:t xml:space="preserve"> 1998-III; </w:t>
      </w:r>
      <w:proofErr w:type="spellStart"/>
      <w:r>
        <w:rPr>
          <w:i/>
          <w:iCs/>
          <w:lang w:val="cs-CZ"/>
        </w:rPr>
        <w:t>Nikula</w:t>
      </w:r>
      <w:proofErr w:type="spellEnd"/>
      <w:r>
        <w:rPr>
          <w:i/>
          <w:iCs/>
          <w:lang w:val="cs-CZ"/>
        </w:rPr>
        <w:t xml:space="preserve"> v. Finsko</w:t>
      </w:r>
      <w:r>
        <w:rPr>
          <w:lang w:val="cs-CZ"/>
        </w:rPr>
        <w:t xml:space="preserve">, č 31611/96, § 45, ESLP 2002-II; </w:t>
      </w:r>
      <w:proofErr w:type="spellStart"/>
      <w:r>
        <w:rPr>
          <w:i/>
          <w:iCs/>
          <w:lang w:val="cs-CZ"/>
        </w:rPr>
        <w:t>Amihalachioaie</w:t>
      </w:r>
      <w:proofErr w:type="spellEnd"/>
      <w:r>
        <w:rPr>
          <w:i/>
          <w:iCs/>
          <w:lang w:val="cs-CZ"/>
        </w:rPr>
        <w:t xml:space="preserve"> v. Moldavsko</w:t>
      </w:r>
      <w:r>
        <w:rPr>
          <w:lang w:val="cs-CZ"/>
        </w:rPr>
        <w:t>, č. 60115/00, §</w:t>
      </w:r>
      <w:r>
        <w:rPr>
          <w:lang w:val="cs-CZ"/>
        </w:rPr>
        <w:t xml:space="preserve"> 27, ESLP 2004-III; </w:t>
      </w:r>
      <w:proofErr w:type="spellStart"/>
      <w:r>
        <w:rPr>
          <w:i/>
          <w:iCs/>
          <w:lang w:val="cs-CZ"/>
        </w:rPr>
        <w:t>Kyprianou</w:t>
      </w:r>
      <w:proofErr w:type="spellEnd"/>
      <w:r>
        <w:rPr>
          <w:lang w:val="cs-CZ"/>
        </w:rPr>
        <w:t xml:space="preserve">, viz výše, § 173; </w:t>
      </w:r>
      <w:r>
        <w:rPr>
          <w:i/>
          <w:iCs/>
          <w:lang w:val="cs-CZ"/>
        </w:rPr>
        <w:t>André a další v. Francie</w:t>
      </w:r>
      <w:r>
        <w:rPr>
          <w:lang w:val="cs-CZ"/>
        </w:rPr>
        <w:t xml:space="preserve">, č. 18603/03, § 42, 24. července 2008; a </w:t>
      </w:r>
      <w:r>
        <w:rPr>
          <w:i/>
          <w:iCs/>
          <w:lang w:val="cs-CZ"/>
        </w:rPr>
        <w:t>Mor</w:t>
      </w:r>
      <w:r>
        <w:rPr>
          <w:lang w:val="cs-CZ"/>
        </w:rPr>
        <w:t>, viz výše, § 42). Aby ale měla veřejnost důvěru ve výkon spravedlnosti, musí mít důvěru ve schopnost advokacie poskytnout účinné zastoupen</w:t>
      </w:r>
      <w:r>
        <w:rPr>
          <w:lang w:val="cs-CZ"/>
        </w:rPr>
        <w:t xml:space="preserve">í (viz </w:t>
      </w:r>
      <w:proofErr w:type="spellStart"/>
      <w:r>
        <w:rPr>
          <w:i/>
          <w:iCs/>
          <w:lang w:val="cs-CZ"/>
        </w:rPr>
        <w:t>Kyprianou</w:t>
      </w:r>
      <w:proofErr w:type="spellEnd"/>
      <w:r>
        <w:rPr>
          <w:lang w:val="cs-CZ"/>
        </w:rPr>
        <w:t>, viz výše, § 175).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133. Tato zvláštní role advokátů jakožto nezávislých profesionálů ve výkonu spravedlnosti s sebou nese řadu povinností, zejména s ohledem na jejich jednání (viz </w:t>
      </w:r>
      <w:r>
        <w:rPr>
          <w:i/>
          <w:iCs/>
          <w:lang w:val="cs-CZ"/>
        </w:rPr>
        <w:t xml:space="preserve">Van der </w:t>
      </w:r>
      <w:proofErr w:type="spellStart"/>
      <w:r>
        <w:rPr>
          <w:i/>
          <w:iCs/>
          <w:lang w:val="cs-CZ"/>
        </w:rPr>
        <w:t>Mussele</w:t>
      </w:r>
      <w:proofErr w:type="spellEnd"/>
      <w:r>
        <w:rPr>
          <w:i/>
          <w:iCs/>
          <w:lang w:val="cs-CZ"/>
        </w:rPr>
        <w:t xml:space="preserve"> v. Belgie</w:t>
      </w:r>
      <w:r>
        <w:rPr>
          <w:lang w:val="cs-CZ"/>
        </w:rPr>
        <w:t xml:space="preserve">, 23. listopadu 1983, série A č. </w:t>
      </w:r>
      <w:r>
        <w:rPr>
          <w:lang w:val="cs-CZ"/>
        </w:rPr>
        <w:t xml:space="preserve">70; </w:t>
      </w:r>
      <w:proofErr w:type="spellStart"/>
      <w:r>
        <w:rPr>
          <w:i/>
          <w:iCs/>
          <w:lang w:val="cs-CZ"/>
        </w:rPr>
        <w:t>Casado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Coca</w:t>
      </w:r>
      <w:proofErr w:type="spellEnd"/>
      <w:r>
        <w:rPr>
          <w:i/>
          <w:iCs/>
          <w:lang w:val="cs-CZ"/>
        </w:rPr>
        <w:t xml:space="preserve"> v. Španělsko</w:t>
      </w:r>
      <w:r>
        <w:rPr>
          <w:lang w:val="cs-CZ"/>
        </w:rPr>
        <w:t xml:space="preserve">, 24. února 1994, § 46, série A č. 285-A; </w:t>
      </w:r>
      <w:proofErr w:type="spellStart"/>
      <w:r>
        <w:rPr>
          <w:i/>
          <w:iCs/>
          <w:lang w:val="cs-CZ"/>
        </w:rPr>
        <w:t>Steur</w:t>
      </w:r>
      <w:proofErr w:type="spellEnd"/>
      <w:r>
        <w:rPr>
          <w:i/>
          <w:iCs/>
          <w:lang w:val="cs-CZ"/>
        </w:rPr>
        <w:t xml:space="preserve"> v. Nizozemsko</w:t>
      </w:r>
      <w:r>
        <w:rPr>
          <w:lang w:val="cs-CZ"/>
        </w:rPr>
        <w:t xml:space="preserve">, č. 39657/98, § 38, ESLP 2003-XI; </w:t>
      </w:r>
      <w:proofErr w:type="spellStart"/>
      <w:r>
        <w:rPr>
          <w:i/>
          <w:iCs/>
          <w:lang w:val="cs-CZ"/>
        </w:rPr>
        <w:t>Veraart</w:t>
      </w:r>
      <w:proofErr w:type="spellEnd"/>
      <w:r>
        <w:rPr>
          <w:i/>
          <w:iCs/>
          <w:lang w:val="cs-CZ"/>
        </w:rPr>
        <w:t xml:space="preserve"> v. Nizozemsko</w:t>
      </w:r>
      <w:r>
        <w:rPr>
          <w:lang w:val="cs-CZ"/>
        </w:rPr>
        <w:t xml:space="preserve">, č. 10807/04, § 51, 30. listopadu 2006; a </w:t>
      </w:r>
      <w:proofErr w:type="spellStart"/>
      <w:r>
        <w:rPr>
          <w:i/>
          <w:iCs/>
          <w:lang w:val="cs-CZ"/>
        </w:rPr>
        <w:t>Coutant</w:t>
      </w:r>
      <w:proofErr w:type="spellEnd"/>
      <w:r>
        <w:rPr>
          <w:i/>
          <w:iCs/>
          <w:lang w:val="cs-CZ"/>
        </w:rPr>
        <w:t xml:space="preserve"> v. Francie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rozh</w:t>
      </w:r>
      <w:proofErr w:type="spellEnd"/>
      <w:r>
        <w:rPr>
          <w:lang w:val="cs-CZ"/>
        </w:rPr>
        <w:t>.), č. 17155/03, 24. ledna 2008). I když jso</w:t>
      </w:r>
      <w:r>
        <w:rPr>
          <w:lang w:val="cs-CZ"/>
        </w:rPr>
        <w:t xml:space="preserve">u omezeni ve výkonu své profesní činnosti, který musí být diskrétní, čestný a důstojný, mají rovněž výhradní práva a výsady, které se mohou v jednotlivých jurisdikcích lišit. Mezi ně patří obvykle určitá volnost ohledně argumentů použitých u soudu (viz </w:t>
      </w:r>
      <w:proofErr w:type="spellStart"/>
      <w:r>
        <w:rPr>
          <w:i/>
          <w:iCs/>
          <w:lang w:val="cs-CZ"/>
        </w:rPr>
        <w:t>Ste</w:t>
      </w:r>
      <w:r>
        <w:rPr>
          <w:i/>
          <w:iCs/>
          <w:lang w:val="cs-CZ"/>
        </w:rPr>
        <w:t>ur</w:t>
      </w:r>
      <w:proofErr w:type="spellEnd"/>
      <w:r>
        <w:rPr>
          <w:lang w:val="cs-CZ"/>
        </w:rPr>
        <w:t>, viz výše).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134. V důsledku svoboda projevu platí i pro advokáty. Zahrnuje nejen podstatu vyjádřených myšlenek a informací, ale i formu, jakou jsou vyjadřovány (viz </w:t>
      </w:r>
      <w:proofErr w:type="spellStart"/>
      <w:r>
        <w:rPr>
          <w:i/>
          <w:iCs/>
          <w:lang w:val="cs-CZ"/>
        </w:rPr>
        <w:t>Foglia</w:t>
      </w:r>
      <w:proofErr w:type="spellEnd"/>
      <w:r>
        <w:rPr>
          <w:i/>
          <w:iCs/>
          <w:lang w:val="cs-CZ"/>
        </w:rPr>
        <w:t xml:space="preserve"> v. </w:t>
      </w:r>
      <w:proofErr w:type="spellStart"/>
      <w:r>
        <w:rPr>
          <w:i/>
          <w:iCs/>
          <w:lang w:val="cs-CZ"/>
        </w:rPr>
        <w:t>Switzerland</w:t>
      </w:r>
      <w:proofErr w:type="spellEnd"/>
      <w:r>
        <w:rPr>
          <w:lang w:val="cs-CZ"/>
        </w:rPr>
        <w:t>, č. 35865/04, § 85, 13. prosince 2007). Advokáti jsou tudíž zejmé</w:t>
      </w:r>
      <w:r>
        <w:rPr>
          <w:lang w:val="cs-CZ"/>
        </w:rPr>
        <w:t xml:space="preserve">na oprávněni veřejně komentovat výkon spravedlnosti, jestliže jejich kritika nepřekročí jisté hranice (viz </w:t>
      </w:r>
      <w:proofErr w:type="spellStart"/>
      <w:r>
        <w:rPr>
          <w:i/>
          <w:iCs/>
          <w:lang w:val="cs-CZ"/>
        </w:rPr>
        <w:t>Amihalachioaie</w:t>
      </w:r>
      <w:proofErr w:type="spellEnd"/>
      <w:r>
        <w:rPr>
          <w:lang w:val="cs-CZ"/>
        </w:rPr>
        <w:t xml:space="preserve">, viz výše, § 27–28; </w:t>
      </w:r>
      <w:proofErr w:type="spellStart"/>
      <w:r>
        <w:rPr>
          <w:i/>
          <w:iCs/>
          <w:lang w:val="cs-CZ"/>
        </w:rPr>
        <w:t>Foglia</w:t>
      </w:r>
      <w:proofErr w:type="spellEnd"/>
      <w:r>
        <w:rPr>
          <w:lang w:val="cs-CZ"/>
        </w:rPr>
        <w:t xml:space="preserve">, viz výše, § 86; a </w:t>
      </w:r>
      <w:r>
        <w:rPr>
          <w:i/>
          <w:iCs/>
          <w:lang w:val="cs-CZ"/>
        </w:rPr>
        <w:t>Mor</w:t>
      </w:r>
      <w:r>
        <w:rPr>
          <w:lang w:val="cs-CZ"/>
        </w:rPr>
        <w:t>, viz výše, § 43). Tyto hranice leží v místě obvyklých omezení jednání příslušníků ad</w:t>
      </w:r>
      <w:r>
        <w:rPr>
          <w:lang w:val="cs-CZ"/>
        </w:rPr>
        <w:t xml:space="preserve">vokacie (viz </w:t>
      </w:r>
      <w:proofErr w:type="spellStart"/>
      <w:r>
        <w:rPr>
          <w:i/>
          <w:iCs/>
          <w:lang w:val="cs-CZ"/>
        </w:rPr>
        <w:t>Kyprianou</w:t>
      </w:r>
      <w:proofErr w:type="spellEnd"/>
      <w:r>
        <w:rPr>
          <w:lang w:val="cs-CZ"/>
        </w:rPr>
        <w:t xml:space="preserve">, viz výše, § 173), jež se odráží v deseti základních principech ve výčtu CCBE pro evropské advokáty, a to se zvláštním důrazem na „důstojnost“, „čestnost“ a „integritu“ a „respekt </w:t>
      </w:r>
      <w:proofErr w:type="gramStart"/>
      <w:r>
        <w:rPr>
          <w:lang w:val="cs-CZ"/>
        </w:rPr>
        <w:t>ke [...] spravedlivému</w:t>
      </w:r>
      <w:proofErr w:type="gramEnd"/>
      <w:r>
        <w:rPr>
          <w:lang w:val="cs-CZ"/>
        </w:rPr>
        <w:t xml:space="preserve"> výkonu spravedlnosti“ (viz § 5</w:t>
      </w:r>
      <w:r>
        <w:rPr>
          <w:lang w:val="cs-CZ"/>
        </w:rPr>
        <w:t>8 výše). Tato pravidla přispívají k ochraně soudnictví před bezdůvodnými a neopodstatněnými útoky, které mohou být motivovány pouze přáním či strategií, aby soudní debata probíhala v médiích, nebo vyřizováním účtů se soudcem rozhodujícím konkrétní případ.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 xml:space="preserve">135. Otázka svobody projevu souvisí s nezávislostí advokacie, která je zásadní pro účinné fungování spravedlivého výkonu spravedlnosti (viz </w:t>
      </w:r>
      <w:proofErr w:type="spellStart"/>
      <w:r>
        <w:rPr>
          <w:i/>
          <w:iCs/>
          <w:lang w:val="cs-CZ"/>
        </w:rPr>
        <w:t>Sialkowska</w:t>
      </w:r>
      <w:proofErr w:type="spellEnd"/>
      <w:r>
        <w:rPr>
          <w:i/>
          <w:iCs/>
          <w:lang w:val="cs-CZ"/>
        </w:rPr>
        <w:t xml:space="preserve"> v. Polsko</w:t>
      </w:r>
      <w:r>
        <w:rPr>
          <w:lang w:val="cs-CZ"/>
        </w:rPr>
        <w:t>, č. 8932/05, § 111, 22. března 2007). Omezení – i v podobě mírného trestněprávního postihu – s</w:t>
      </w:r>
      <w:r>
        <w:rPr>
          <w:lang w:val="cs-CZ"/>
        </w:rPr>
        <w:t xml:space="preserve">vobody projevu obhájce může být přijata jako nezbytná v demokratické společnosti pouze ve výjimečných případech (viz </w:t>
      </w:r>
      <w:proofErr w:type="spellStart"/>
      <w:r>
        <w:rPr>
          <w:i/>
          <w:iCs/>
          <w:lang w:val="cs-CZ"/>
        </w:rPr>
        <w:t>Nikula</w:t>
      </w:r>
      <w:proofErr w:type="spellEnd"/>
      <w:r>
        <w:rPr>
          <w:lang w:val="cs-CZ"/>
        </w:rPr>
        <w:t xml:space="preserve">, viz výše, § 55; </w:t>
      </w:r>
      <w:proofErr w:type="spellStart"/>
      <w:r>
        <w:rPr>
          <w:i/>
          <w:iCs/>
          <w:lang w:val="cs-CZ"/>
        </w:rPr>
        <w:t>Kyprianou</w:t>
      </w:r>
      <w:proofErr w:type="spellEnd"/>
      <w:r>
        <w:rPr>
          <w:lang w:val="cs-CZ"/>
        </w:rPr>
        <w:t xml:space="preserve">, viz výše, § 174; a </w:t>
      </w:r>
      <w:r>
        <w:rPr>
          <w:i/>
          <w:iCs/>
          <w:lang w:val="cs-CZ"/>
        </w:rPr>
        <w:t>Mor</w:t>
      </w:r>
      <w:r>
        <w:rPr>
          <w:lang w:val="cs-CZ"/>
        </w:rPr>
        <w:t>, viz výše, § 44).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136. Mělo by se však rozlišovat mezi tím, zda se advokát vyjad</w:t>
      </w:r>
      <w:r>
        <w:rPr>
          <w:lang w:val="cs-CZ"/>
        </w:rPr>
        <w:t>řuje v soudní síni, nebo jinde.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137. Co se týče „jednání v soudní síni“, jelikož svoboda projevu advokáta může vyvolat otázku ohledně práva jeho klienta na spravedlivý proces, princip spravedlnosti tedy vyznívá i ve prospěch svobodné, a dokonce i důrazné výměny argumentů mezi stranami (v</w:t>
      </w:r>
      <w:r>
        <w:rPr>
          <w:lang w:val="cs-CZ"/>
        </w:rPr>
        <w:t xml:space="preserve">iz </w:t>
      </w:r>
      <w:proofErr w:type="spellStart"/>
      <w:r>
        <w:rPr>
          <w:i/>
          <w:iCs/>
          <w:lang w:val="cs-CZ"/>
        </w:rPr>
        <w:t>Nikula</w:t>
      </w:r>
      <w:proofErr w:type="spellEnd"/>
      <w:r>
        <w:rPr>
          <w:lang w:val="cs-CZ"/>
        </w:rPr>
        <w:t xml:space="preserve">, viz výše, § 49, a </w:t>
      </w:r>
      <w:proofErr w:type="spellStart"/>
      <w:r>
        <w:rPr>
          <w:i/>
          <w:iCs/>
          <w:lang w:val="cs-CZ"/>
        </w:rPr>
        <w:t>Steur</w:t>
      </w:r>
      <w:proofErr w:type="spellEnd"/>
      <w:r>
        <w:rPr>
          <w:lang w:val="cs-CZ"/>
        </w:rPr>
        <w:t xml:space="preserve">, viz výše, § 37). Advokáti mají povinnost „horlivě hájit zájmy svých klientů“ (viz </w:t>
      </w:r>
      <w:proofErr w:type="spellStart"/>
      <w:r>
        <w:rPr>
          <w:i/>
          <w:iCs/>
          <w:lang w:val="cs-CZ"/>
        </w:rPr>
        <w:t>Nikula</w:t>
      </w:r>
      <w:proofErr w:type="spellEnd"/>
      <w:r>
        <w:rPr>
          <w:lang w:val="cs-CZ"/>
        </w:rPr>
        <w:t xml:space="preserve">, viz výše, § 54), což znamená, že se někdy musejí rozhodnout, zda by měli namítat nebo si stěžovat ohledně jednání soudu (viz </w:t>
      </w:r>
      <w:proofErr w:type="spellStart"/>
      <w:r>
        <w:rPr>
          <w:i/>
          <w:iCs/>
          <w:lang w:val="cs-CZ"/>
        </w:rPr>
        <w:t>Kypri</w:t>
      </w:r>
      <w:r>
        <w:rPr>
          <w:i/>
          <w:iCs/>
          <w:lang w:val="cs-CZ"/>
        </w:rPr>
        <w:t>anou</w:t>
      </w:r>
      <w:proofErr w:type="spellEnd"/>
      <w:r>
        <w:rPr>
          <w:lang w:val="cs-CZ"/>
        </w:rPr>
        <w:t>, viz výše, § 175). Kromě toho soud bere v úvahu skutečnost, že se vytýkané výroky neopakují mimo soudní síň, a rozlišují v závislosti na dotčené osobě; státní zástupce, který je „účastníkem“ řízení, musí „tolerovat značnou kritiku obhájce“, i když něk</w:t>
      </w:r>
      <w:r>
        <w:rPr>
          <w:lang w:val="cs-CZ"/>
        </w:rPr>
        <w:t xml:space="preserve">teré výrazy jsou nevhodné – pokud se však netýkají jeho obecných profesních či jiných kvalit (viz </w:t>
      </w:r>
      <w:proofErr w:type="spellStart"/>
      <w:r>
        <w:rPr>
          <w:i/>
          <w:iCs/>
          <w:lang w:val="cs-CZ"/>
        </w:rPr>
        <w:t>Nikula</w:t>
      </w:r>
      <w:proofErr w:type="spellEnd"/>
      <w:r>
        <w:rPr>
          <w:lang w:val="cs-CZ"/>
        </w:rPr>
        <w:t xml:space="preserve">, viz výše, § 51–52; </w:t>
      </w:r>
      <w:proofErr w:type="spellStart"/>
      <w:r>
        <w:rPr>
          <w:i/>
          <w:iCs/>
          <w:lang w:val="cs-CZ"/>
        </w:rPr>
        <w:t>Foglia</w:t>
      </w:r>
      <w:proofErr w:type="spellEnd"/>
      <w:r>
        <w:rPr>
          <w:lang w:val="cs-CZ"/>
        </w:rPr>
        <w:t xml:space="preserve">, viz výše, § 95; a </w:t>
      </w:r>
      <w:r>
        <w:rPr>
          <w:i/>
          <w:iCs/>
          <w:lang w:val="cs-CZ"/>
        </w:rPr>
        <w:t>Roland Dumas</w:t>
      </w:r>
      <w:r>
        <w:rPr>
          <w:lang w:val="cs-CZ"/>
        </w:rPr>
        <w:t>, viz výše, § 48).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138. Pokud jde o výroky mimo soudní síň, soud opakuje, že obhajoba klient</w:t>
      </w:r>
      <w:r>
        <w:rPr>
          <w:lang w:val="cs-CZ"/>
        </w:rPr>
        <w:t xml:space="preserve">a může být uskutečňována prostřednictvím výstupu v televizním zpravodajství nebo prohlášením v tisku. Těmito kanály může advokát informovat veřejnost o nedostatcích, které mohou zmařit přípravné řízení (viz </w:t>
      </w:r>
      <w:r>
        <w:rPr>
          <w:i/>
          <w:iCs/>
          <w:lang w:val="cs-CZ"/>
        </w:rPr>
        <w:t>Mor</w:t>
      </w:r>
      <w:r>
        <w:rPr>
          <w:lang w:val="cs-CZ"/>
        </w:rPr>
        <w:t xml:space="preserve">, viz výše, § 59). Soud je v této souvislosti </w:t>
      </w:r>
      <w:r>
        <w:rPr>
          <w:lang w:val="cs-CZ"/>
        </w:rPr>
        <w:t xml:space="preserve">názoru, že advokát nemůže nést odpovědnost za vše, co je publikováno jako „rozhovor“, zejména v případech, kdy tisk prohlášení upravil a kdy advokát popírá, že by určité výroky pronesl (viz </w:t>
      </w:r>
      <w:proofErr w:type="spellStart"/>
      <w:r>
        <w:rPr>
          <w:i/>
          <w:iCs/>
          <w:lang w:val="cs-CZ"/>
        </w:rPr>
        <w:t>Amihalachioaie</w:t>
      </w:r>
      <w:proofErr w:type="spellEnd"/>
      <w:r>
        <w:rPr>
          <w:lang w:val="cs-CZ"/>
        </w:rPr>
        <w:t xml:space="preserve">, viz výše, § 37). Ve výše uvedeném případu </w:t>
      </w:r>
      <w:proofErr w:type="spellStart"/>
      <w:r>
        <w:rPr>
          <w:i/>
          <w:iCs/>
          <w:lang w:val="cs-CZ"/>
        </w:rPr>
        <w:t>Foglia</w:t>
      </w:r>
      <w:proofErr w:type="spellEnd"/>
      <w:r>
        <w:rPr>
          <w:lang w:val="cs-CZ"/>
        </w:rPr>
        <w:t xml:space="preserve"> je rovněž zjištěno, že advokáti nemohou oprávněně nést odpovědnost za činy tisku (viz </w:t>
      </w:r>
      <w:proofErr w:type="spellStart"/>
      <w:r>
        <w:rPr>
          <w:i/>
          <w:iCs/>
          <w:lang w:val="cs-CZ"/>
        </w:rPr>
        <w:t>Foglia</w:t>
      </w:r>
      <w:proofErr w:type="spellEnd"/>
      <w:r>
        <w:rPr>
          <w:lang w:val="cs-CZ"/>
        </w:rPr>
        <w:t>, viz výše, § 97). Podobně pokud jde o případ široce zpracovávaný v médiích z důvodu závažnosti skutečností a jedinců, jichž se případ pravděpodobně dotkne, advoká</w:t>
      </w:r>
      <w:r>
        <w:rPr>
          <w:lang w:val="cs-CZ"/>
        </w:rPr>
        <w:t>ta nelze trestat za porušení mlčenlivosti ohledně soudního vyšetřování, pokud měl pouze osobní poznámky k informacím, které již byly novinářům známy a které zamýšlejí zveřejnit, ať už s těmito komentáři nebo bez nich. Při činění veřejných výroků by ale adv</w:t>
      </w:r>
      <w:r>
        <w:rPr>
          <w:lang w:val="cs-CZ"/>
        </w:rPr>
        <w:t xml:space="preserve">okát neměl být osvobozen z povinnosti opatrnosti ve vztahu k mlčenlivosti ohledně neukončeného soudního vyšetřování (viz </w:t>
      </w:r>
      <w:r>
        <w:rPr>
          <w:i/>
          <w:iCs/>
          <w:lang w:val="cs-CZ"/>
        </w:rPr>
        <w:t>Morice</w:t>
      </w:r>
      <w:r>
        <w:rPr>
          <w:lang w:val="cs-CZ"/>
        </w:rPr>
        <w:t>, viz výše, § 55 a 56).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139. Kromě toho nemohou advokáti činit poznámky, které jsou tak závažné, že překračují hranici přípustné</w:t>
      </w:r>
      <w:r>
        <w:rPr>
          <w:lang w:val="cs-CZ"/>
        </w:rPr>
        <w:t xml:space="preserve">ho vyjádření komentářů bez solidního věcného základu (viz </w:t>
      </w:r>
      <w:proofErr w:type="spellStart"/>
      <w:r>
        <w:rPr>
          <w:i/>
          <w:iCs/>
          <w:lang w:val="cs-CZ"/>
        </w:rPr>
        <w:t>Karpetas</w:t>
      </w:r>
      <w:proofErr w:type="spellEnd"/>
      <w:r>
        <w:rPr>
          <w:lang w:val="cs-CZ"/>
        </w:rPr>
        <w:t xml:space="preserve">, viz výše, § 78; viz také </w:t>
      </w:r>
      <w:r>
        <w:rPr>
          <w:i/>
          <w:iCs/>
          <w:lang w:val="cs-CZ"/>
        </w:rPr>
        <w:t>A v. Finsko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rozh</w:t>
      </w:r>
      <w:proofErr w:type="spellEnd"/>
      <w:r>
        <w:rPr>
          <w:lang w:val="cs-CZ"/>
        </w:rPr>
        <w:t xml:space="preserve">.), č. 44998/98, 8. ledna 2004), a nemohou pronášet urážky (viz </w:t>
      </w:r>
      <w:proofErr w:type="spellStart"/>
      <w:r>
        <w:rPr>
          <w:i/>
          <w:iCs/>
          <w:lang w:val="cs-CZ"/>
        </w:rPr>
        <w:t>Coutant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rozh</w:t>
      </w:r>
      <w:proofErr w:type="spellEnd"/>
      <w:r>
        <w:rPr>
          <w:lang w:val="cs-CZ"/>
        </w:rPr>
        <w:t xml:space="preserve">.), viz výše). V případě </w:t>
      </w:r>
      <w:proofErr w:type="spellStart"/>
      <w:r>
        <w:rPr>
          <w:i/>
          <w:iCs/>
          <w:lang w:val="cs-CZ"/>
        </w:rPr>
        <w:t>Gouveia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Gomes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Fernandes</w:t>
      </w:r>
      <w:proofErr w:type="spellEnd"/>
      <w:r>
        <w:rPr>
          <w:i/>
          <w:iCs/>
          <w:lang w:val="cs-CZ"/>
        </w:rPr>
        <w:t xml:space="preserve"> a </w:t>
      </w:r>
      <w:proofErr w:type="spellStart"/>
      <w:r>
        <w:rPr>
          <w:i/>
          <w:iCs/>
          <w:lang w:val="cs-CZ"/>
        </w:rPr>
        <w:t>Freitas</w:t>
      </w:r>
      <w:proofErr w:type="spellEnd"/>
      <w:r>
        <w:rPr>
          <w:i/>
          <w:iCs/>
          <w:lang w:val="cs-CZ"/>
        </w:rPr>
        <w:t xml:space="preserve"> e </w:t>
      </w:r>
      <w:proofErr w:type="spellStart"/>
      <w:r>
        <w:rPr>
          <w:i/>
          <w:iCs/>
          <w:lang w:val="cs-CZ"/>
        </w:rPr>
        <w:t>Costa</w:t>
      </w:r>
      <w:proofErr w:type="spellEnd"/>
      <w:r>
        <w:rPr>
          <w:lang w:val="cs-CZ"/>
        </w:rPr>
        <w:t xml:space="preserve"> by</w:t>
      </w:r>
      <w:r>
        <w:rPr>
          <w:lang w:val="cs-CZ"/>
        </w:rPr>
        <w:t xml:space="preserve">l tón použitý v poznámkách ohledně soudců, který nebyl urážlivý, ale kousavý, či dokonce sarkastický, shledán slučitelným s článkem 10 (viz </w:t>
      </w:r>
      <w:proofErr w:type="spellStart"/>
      <w:r>
        <w:rPr>
          <w:i/>
          <w:iCs/>
          <w:lang w:val="cs-CZ"/>
        </w:rPr>
        <w:t>Gouveia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Gomes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Fernandes</w:t>
      </w:r>
      <w:proofErr w:type="spellEnd"/>
      <w:r>
        <w:rPr>
          <w:i/>
          <w:iCs/>
          <w:lang w:val="cs-CZ"/>
        </w:rPr>
        <w:t xml:space="preserve"> a </w:t>
      </w:r>
      <w:proofErr w:type="spellStart"/>
      <w:r>
        <w:rPr>
          <w:i/>
          <w:iCs/>
          <w:lang w:val="cs-CZ"/>
        </w:rPr>
        <w:t>Freitas</w:t>
      </w:r>
      <w:proofErr w:type="spellEnd"/>
      <w:r>
        <w:rPr>
          <w:i/>
          <w:iCs/>
          <w:lang w:val="cs-CZ"/>
        </w:rPr>
        <w:t xml:space="preserve"> e </w:t>
      </w:r>
      <w:proofErr w:type="spellStart"/>
      <w:r>
        <w:rPr>
          <w:i/>
          <w:iCs/>
          <w:lang w:val="cs-CZ"/>
        </w:rPr>
        <w:t>Costa</w:t>
      </w:r>
      <w:proofErr w:type="spellEnd"/>
      <w:r>
        <w:rPr>
          <w:lang w:val="cs-CZ"/>
        </w:rPr>
        <w:t>, viz výše, § 48). Soud hodnotí poznámky v jejich obecných souvislostech, z</w:t>
      </w:r>
      <w:r>
        <w:rPr>
          <w:lang w:val="cs-CZ"/>
        </w:rPr>
        <w:t xml:space="preserve">ejména aby zjistil, zda mohou být považovány za zavádějící nebo jako bezdůvodný osobní útok (viz </w:t>
      </w:r>
      <w:proofErr w:type="spellStart"/>
      <w:r>
        <w:rPr>
          <w:i/>
          <w:iCs/>
          <w:lang w:val="cs-CZ"/>
        </w:rPr>
        <w:t>Ormanni</w:t>
      </w:r>
      <w:proofErr w:type="spellEnd"/>
      <w:r>
        <w:rPr>
          <w:i/>
          <w:iCs/>
          <w:lang w:val="cs-CZ"/>
        </w:rPr>
        <w:t xml:space="preserve"> v. Itálie</w:t>
      </w:r>
      <w:r>
        <w:rPr>
          <w:lang w:val="cs-CZ"/>
        </w:rPr>
        <w:t xml:space="preserve">, č. 30278/04, § 73, 17. července 2007, a </w:t>
      </w:r>
      <w:proofErr w:type="spellStart"/>
      <w:r>
        <w:rPr>
          <w:i/>
          <w:iCs/>
          <w:lang w:val="cs-CZ"/>
        </w:rPr>
        <w:t>Gouveia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Gomes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Fernandes</w:t>
      </w:r>
      <w:proofErr w:type="spellEnd"/>
      <w:r>
        <w:rPr>
          <w:i/>
          <w:iCs/>
          <w:lang w:val="cs-CZ"/>
        </w:rPr>
        <w:t xml:space="preserve"> a </w:t>
      </w:r>
      <w:proofErr w:type="spellStart"/>
      <w:r>
        <w:rPr>
          <w:i/>
          <w:iCs/>
          <w:lang w:val="cs-CZ"/>
        </w:rPr>
        <w:t>Freitas</w:t>
      </w:r>
      <w:proofErr w:type="spellEnd"/>
      <w:r>
        <w:rPr>
          <w:i/>
          <w:iCs/>
          <w:lang w:val="cs-CZ"/>
        </w:rPr>
        <w:t xml:space="preserve"> e </w:t>
      </w:r>
      <w:proofErr w:type="spellStart"/>
      <w:r>
        <w:rPr>
          <w:i/>
          <w:iCs/>
          <w:lang w:val="cs-CZ"/>
        </w:rPr>
        <w:t>Costa</w:t>
      </w:r>
      <w:proofErr w:type="spellEnd"/>
      <w:r>
        <w:rPr>
          <w:lang w:val="cs-CZ"/>
        </w:rPr>
        <w:t>, viz výše, § 51), a aby zajistil, že použité výrazy měly d</w:t>
      </w:r>
      <w:r>
        <w:rPr>
          <w:lang w:val="cs-CZ"/>
        </w:rPr>
        <w:t xml:space="preserve">ostatečně úzkou spojitost se skutkovým stavem (viz </w:t>
      </w:r>
      <w:proofErr w:type="spellStart"/>
      <w:r>
        <w:rPr>
          <w:i/>
          <w:iCs/>
          <w:lang w:val="cs-CZ"/>
        </w:rPr>
        <w:t>Feldek</w:t>
      </w:r>
      <w:proofErr w:type="spellEnd"/>
      <w:r>
        <w:rPr>
          <w:i/>
          <w:iCs/>
          <w:lang w:val="cs-CZ"/>
        </w:rPr>
        <w:t xml:space="preserve"> v. Slovensko</w:t>
      </w:r>
      <w:r>
        <w:rPr>
          <w:lang w:val="cs-CZ"/>
        </w:rPr>
        <w:t>, č. 29032/95, § 86, ESLP 2001</w:t>
      </w:r>
      <w:r>
        <w:rPr>
          <w:rFonts w:ascii="MS Mincho" w:eastAsia="MS Gothic" w:hAnsi="MS Mincho" w:cs="MS Gothic"/>
          <w:lang w:val="cs-CZ"/>
        </w:rPr>
        <w:noBreakHyphen/>
      </w:r>
      <w:r>
        <w:rPr>
          <w:lang w:val="cs-CZ"/>
        </w:rPr>
        <w:t xml:space="preserve">VIII, a </w:t>
      </w:r>
      <w:proofErr w:type="spellStart"/>
      <w:r>
        <w:rPr>
          <w:i/>
          <w:iCs/>
          <w:lang w:val="cs-CZ"/>
        </w:rPr>
        <w:t>Gouveia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Gomes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Fernandes</w:t>
      </w:r>
      <w:proofErr w:type="spellEnd"/>
      <w:r>
        <w:rPr>
          <w:i/>
          <w:iCs/>
          <w:lang w:val="cs-CZ"/>
        </w:rPr>
        <w:t xml:space="preserve"> a </w:t>
      </w:r>
      <w:proofErr w:type="spellStart"/>
      <w:r>
        <w:rPr>
          <w:i/>
          <w:iCs/>
          <w:lang w:val="cs-CZ"/>
        </w:rPr>
        <w:t>Freitas</w:t>
      </w:r>
      <w:proofErr w:type="spellEnd"/>
      <w:r>
        <w:rPr>
          <w:i/>
          <w:iCs/>
          <w:lang w:val="cs-CZ"/>
        </w:rPr>
        <w:t xml:space="preserve"> e </w:t>
      </w:r>
      <w:proofErr w:type="spellStart"/>
      <w:r>
        <w:rPr>
          <w:i/>
          <w:iCs/>
          <w:lang w:val="cs-CZ"/>
        </w:rPr>
        <w:t>Costa</w:t>
      </w:r>
      <w:proofErr w:type="spellEnd"/>
      <w:r>
        <w:rPr>
          <w:lang w:val="cs-CZ"/>
        </w:rPr>
        <w:t>, viz výše).</w:t>
      </w:r>
    </w:p>
    <w:p w:rsidR="007763B9" w:rsidRDefault="007763B9">
      <w:pPr>
        <w:pStyle w:val="Vchozstyl"/>
      </w:pPr>
    </w:p>
    <w:p w:rsidR="007763B9" w:rsidRDefault="003A0096">
      <w:pPr>
        <w:pStyle w:val="Vchozstyl"/>
      </w:pPr>
      <w:r>
        <w:rPr>
          <w:lang w:val="cs-CZ"/>
        </w:rPr>
        <w:t>Celý text (anglicky) naleznete zde:</w:t>
      </w:r>
    </w:p>
    <w:p w:rsidR="007763B9" w:rsidRDefault="003A0096">
      <w:pPr>
        <w:pStyle w:val="Vchozstyl"/>
      </w:pPr>
      <w:hyperlink r:id="rId11" w:anchor="{" w:history="1">
        <w:r>
          <w:rPr>
            <w:rStyle w:val="Internetovodkaz"/>
            <w:lang w:val="cs-CZ"/>
          </w:rPr>
          <w:t>http://hudoc.echr.coe.int/eng?i=001-154265#{"itemid":["001-154265"]}</w:t>
        </w:r>
      </w:hyperlink>
    </w:p>
    <w:sectPr w:rsidR="007763B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63B9"/>
    <w:rsid w:val="001254EB"/>
    <w:rsid w:val="003A0096"/>
    <w:rsid w:val="007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pPr>
      <w:suppressAutoHyphens/>
      <w:spacing w:after="0" w:line="100" w:lineRule="atLeast"/>
    </w:pPr>
    <w:rPr>
      <w:rFonts w:ascii="Calibri" w:eastAsia="Calibri" w:hAnsi="Calibri" w:cs="Calibri"/>
      <w:lang w:val="en-GB" w:eastAsia="en-US"/>
    </w:rPr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paragraph" w:customStyle="1" w:styleId="Nadpis">
    <w:name w:val="Nadpis"/>
    <w:basedOn w:val="Vchozstyl"/>
    <w:next w:val="Tlotextu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lotextu">
    <w:name w:val="Tělo textu"/>
    <w:basedOn w:val="Vchozstyl"/>
    <w:pPr>
      <w:spacing w:after="120"/>
    </w:p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Vchozsty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styl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d.coe.int/ViewDoc.jsp?id=378645&amp;Site=CO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hchr.org/EN/ProfessionalInterest/Pages/RoleOfLawyers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hr.coe.int/Documents/Convention_ENG.pdf" TargetMode="External"/><Relationship Id="rId11" Type="http://schemas.openxmlformats.org/officeDocument/2006/relationships/hyperlink" Target="http://hudoc.echr.coe.int/eng?i=001-154265" TargetMode="External"/><Relationship Id="rId5" Type="http://schemas.openxmlformats.org/officeDocument/2006/relationships/hyperlink" Target="http://www.ohchr.org/EN/UDHR/Pages/Language.aspx?LangID=eng" TargetMode="External"/><Relationship Id="rId10" Type="http://schemas.openxmlformats.org/officeDocument/2006/relationships/hyperlink" Target="http://www.ccbe.eu/fileadmin/user_upload/NTCdocument/EN_CCBE_CoCpdf1_13829730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PDF/?uri=CELEX:61979CJ0155&amp;from=E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1804</Words>
  <Characters>10501</Characters>
  <Application>Microsoft Office Word</Application>
  <DocSecurity>0</DocSecurity>
  <Lines>159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Lindner</dc:creator>
  <cp:lastModifiedBy>Kateřina Lindner</cp:lastModifiedBy>
  <cp:revision>2</cp:revision>
  <dcterms:created xsi:type="dcterms:W3CDTF">2015-11-13T09:39:00Z</dcterms:created>
  <dcterms:modified xsi:type="dcterms:W3CDTF">2015-11-13T09:39:00Z</dcterms:modified>
</cp:coreProperties>
</file>