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43" w:rsidRPr="005641CF" w:rsidRDefault="00A71243" w:rsidP="005641CF">
      <w:pPr>
        <w:keepNext/>
        <w:keepLines/>
        <w:spacing w:before="240"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5641CF">
        <w:rPr>
          <w:rFonts w:ascii="Arial" w:hAnsi="Arial" w:cs="Arial"/>
          <w:b/>
          <w:bCs/>
          <w:sz w:val="24"/>
          <w:szCs w:val="24"/>
        </w:rPr>
        <w:t>ZÁKON</w:t>
      </w:r>
    </w:p>
    <w:p w:rsidR="00A71243" w:rsidRPr="005641CF" w:rsidRDefault="00A71243" w:rsidP="005641CF">
      <w:pPr>
        <w:keepNext/>
        <w:keepLines/>
        <w:spacing w:before="240" w:after="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5641CF">
        <w:rPr>
          <w:rFonts w:ascii="Arial" w:hAnsi="Arial" w:cs="Arial"/>
          <w:bCs/>
          <w:sz w:val="24"/>
          <w:szCs w:val="24"/>
        </w:rPr>
        <w:t>ze dne … 2015</w:t>
      </w:r>
    </w:p>
    <w:p w:rsidR="00A71243" w:rsidRDefault="00A71243" w:rsidP="005641CF">
      <w:pPr>
        <w:keepNext/>
        <w:keepLines/>
        <w:spacing w:before="240"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5A3492">
        <w:rPr>
          <w:rFonts w:ascii="Arial" w:hAnsi="Arial" w:cs="Arial"/>
          <w:b/>
          <w:bCs/>
          <w:sz w:val="24"/>
          <w:szCs w:val="24"/>
        </w:rPr>
        <w:t>o ochraně</w:t>
      </w:r>
      <w:r>
        <w:rPr>
          <w:rFonts w:ascii="Arial" w:hAnsi="Arial" w:cs="Arial"/>
          <w:b/>
          <w:bCs/>
          <w:sz w:val="24"/>
          <w:szCs w:val="24"/>
        </w:rPr>
        <w:t xml:space="preserve"> práv osob při nakládání s genetickými vzorky a profily  </w:t>
      </w:r>
    </w:p>
    <w:p w:rsidR="00A71243" w:rsidRPr="005641CF" w:rsidRDefault="00A71243" w:rsidP="005641CF">
      <w:pPr>
        <w:keepNext/>
        <w:keepLines/>
        <w:spacing w:before="240"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(zákon o DNA)</w:t>
      </w:r>
    </w:p>
    <w:p w:rsidR="00A71243" w:rsidRPr="005641CF" w:rsidRDefault="00A71243" w:rsidP="005641CF"/>
    <w:p w:rsidR="00A71243" w:rsidRPr="005641CF" w:rsidRDefault="00A71243" w:rsidP="005641CF">
      <w:pPr>
        <w:rPr>
          <w:rFonts w:ascii="Arial" w:hAnsi="Arial" w:cs="Arial"/>
          <w:sz w:val="24"/>
          <w:szCs w:val="24"/>
        </w:rPr>
      </w:pPr>
      <w:r w:rsidRPr="005641CF">
        <w:rPr>
          <w:rFonts w:ascii="Arial" w:hAnsi="Arial" w:cs="Arial"/>
          <w:sz w:val="24"/>
          <w:szCs w:val="24"/>
        </w:rPr>
        <w:t>Parlament se usnesl na tomto zákoně České republiky:</w:t>
      </w:r>
    </w:p>
    <w:p w:rsidR="00A71243" w:rsidRPr="005641CF" w:rsidRDefault="00A71243" w:rsidP="005641CF">
      <w:pPr>
        <w:rPr>
          <w:rFonts w:ascii="Arial" w:hAnsi="Arial" w:cs="Arial"/>
          <w:sz w:val="24"/>
          <w:szCs w:val="24"/>
        </w:rPr>
      </w:pPr>
    </w:p>
    <w:p w:rsidR="00A71243" w:rsidRPr="005641CF" w:rsidRDefault="00A71243" w:rsidP="005641CF">
      <w:pPr>
        <w:keepNext/>
        <w:keepLines/>
        <w:spacing w:before="240" w:after="0"/>
        <w:jc w:val="center"/>
        <w:outlineLvl w:val="1"/>
        <w:rPr>
          <w:rFonts w:ascii="Arial" w:hAnsi="Arial"/>
          <w:bCs/>
          <w:sz w:val="24"/>
          <w:szCs w:val="26"/>
        </w:rPr>
      </w:pPr>
      <w:r>
        <w:rPr>
          <w:rFonts w:ascii="Arial" w:hAnsi="Arial"/>
          <w:bCs/>
          <w:sz w:val="24"/>
          <w:szCs w:val="26"/>
        </w:rPr>
        <w:t>§ 1</w:t>
      </w:r>
    </w:p>
    <w:p w:rsidR="00A71243" w:rsidRPr="005641CF" w:rsidRDefault="00A71243" w:rsidP="005641CF">
      <w:pPr>
        <w:keepNext/>
        <w:keepLines/>
        <w:spacing w:before="240"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5641CF">
        <w:rPr>
          <w:rFonts w:ascii="Arial" w:hAnsi="Arial" w:cs="Arial"/>
          <w:b/>
          <w:bCs/>
          <w:sz w:val="24"/>
          <w:szCs w:val="24"/>
        </w:rPr>
        <w:t xml:space="preserve">Předmět úpravy </w:t>
      </w:r>
    </w:p>
    <w:p w:rsidR="00A71243" w:rsidRDefault="00A71243" w:rsidP="00334F4D">
      <w:pPr>
        <w:spacing w:before="24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zákon upravuje pravidla fungování Databáze profilů DNA, jakož i pravidla zpracování genetických vzorků a profilů pro účely identifikační genetiky v rámci trestních řízení a plnění dalších úkolů Policie ČR.</w:t>
      </w:r>
    </w:p>
    <w:p w:rsidR="00A71243" w:rsidRDefault="00A71243" w:rsidP="005641CF">
      <w:pPr>
        <w:spacing w:before="24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A71243" w:rsidRDefault="00A71243" w:rsidP="005641CF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5641CF">
        <w:rPr>
          <w:rFonts w:ascii="Arial" w:hAnsi="Arial" w:cs="Arial"/>
          <w:b/>
          <w:sz w:val="24"/>
          <w:szCs w:val="24"/>
        </w:rPr>
        <w:t>Vymezení některých pojmů</w:t>
      </w:r>
    </w:p>
    <w:p w:rsidR="00A71243" w:rsidRPr="00610496" w:rsidRDefault="00A71243" w:rsidP="005641CF">
      <w:pPr>
        <w:spacing w:before="240" w:after="0"/>
        <w:rPr>
          <w:rFonts w:ascii="Arial" w:hAnsi="Arial" w:cs="Arial"/>
          <w:sz w:val="24"/>
          <w:szCs w:val="24"/>
        </w:rPr>
      </w:pPr>
      <w:commentRangeStart w:id="0"/>
      <w:r w:rsidRPr="00610496">
        <w:rPr>
          <w:rFonts w:ascii="Arial" w:hAnsi="Arial" w:cs="Arial"/>
          <w:sz w:val="24"/>
          <w:szCs w:val="24"/>
        </w:rPr>
        <w:t>Pro účely tohoto zákona se rozumí</w:t>
      </w:r>
      <w:commentRangeEnd w:id="0"/>
      <w:r w:rsidR="004D3B50">
        <w:rPr>
          <w:rStyle w:val="Odkaznakoment"/>
          <w:szCs w:val="20"/>
        </w:rPr>
        <w:commentReference w:id="0"/>
      </w:r>
    </w:p>
    <w:p w:rsidR="00A71243" w:rsidRDefault="00A71243" w:rsidP="004A1325">
      <w:pPr>
        <w:pStyle w:val="Odstavecseseznamem"/>
        <w:numPr>
          <w:ilvl w:val="1"/>
          <w:numId w:val="14"/>
        </w:numPr>
        <w:spacing w:before="240" w:after="240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4A1325">
        <w:rPr>
          <w:rFonts w:ascii="Arial" w:hAnsi="Arial" w:cs="Arial"/>
          <w:sz w:val="24"/>
          <w:szCs w:val="24"/>
        </w:rPr>
        <w:t>vzorkem biologický materiál pocházející z lidského těla, který je nositelem informace o DNA člověka</w:t>
      </w:r>
      <w:r>
        <w:rPr>
          <w:rFonts w:ascii="Arial" w:hAnsi="Arial" w:cs="Arial"/>
          <w:sz w:val="24"/>
          <w:szCs w:val="24"/>
        </w:rPr>
        <w:t>,</w:t>
      </w:r>
    </w:p>
    <w:p w:rsidR="00A71243" w:rsidRDefault="00A71243" w:rsidP="004A1325">
      <w:pPr>
        <w:pStyle w:val="Odstavecseseznamem"/>
        <w:numPr>
          <w:ilvl w:val="1"/>
          <w:numId w:val="14"/>
        </w:numPr>
        <w:spacing w:before="240" w:after="240"/>
        <w:ind w:left="1077" w:hanging="357"/>
        <w:contextualSpacing w:val="0"/>
        <w:rPr>
          <w:rFonts w:ascii="Arial" w:hAnsi="Arial" w:cs="Arial"/>
          <w:sz w:val="24"/>
          <w:szCs w:val="24"/>
        </w:rPr>
      </w:pPr>
      <w:commentRangeStart w:id="1"/>
      <w:r w:rsidRPr="004A1325">
        <w:rPr>
          <w:rFonts w:ascii="Arial" w:hAnsi="Arial" w:cs="Arial"/>
          <w:sz w:val="24"/>
          <w:szCs w:val="24"/>
        </w:rPr>
        <w:t xml:space="preserve">profilem výsledek analýzy </w:t>
      </w:r>
      <w:proofErr w:type="spellStart"/>
      <w:r w:rsidRPr="004A1325">
        <w:rPr>
          <w:rFonts w:ascii="Arial" w:hAnsi="Arial" w:cs="Arial"/>
          <w:sz w:val="24"/>
          <w:szCs w:val="24"/>
        </w:rPr>
        <w:t>deoxyribonukleonové</w:t>
      </w:r>
      <w:proofErr w:type="spellEnd"/>
      <w:r w:rsidRPr="004A1325">
        <w:rPr>
          <w:rFonts w:ascii="Arial" w:hAnsi="Arial" w:cs="Arial"/>
          <w:sz w:val="24"/>
          <w:szCs w:val="24"/>
        </w:rPr>
        <w:t xml:space="preserve"> kyseliny v podobě alfanumerického kódu z nekódující části analyzovaného vzorku DNA</w:t>
      </w:r>
      <w:r>
        <w:rPr>
          <w:rFonts w:ascii="Arial" w:hAnsi="Arial" w:cs="Arial"/>
          <w:sz w:val="24"/>
          <w:szCs w:val="24"/>
        </w:rPr>
        <w:t>,</w:t>
      </w:r>
      <w:commentRangeEnd w:id="1"/>
      <w:r w:rsidR="004D3B50">
        <w:rPr>
          <w:rStyle w:val="Odkaznakoment"/>
          <w:szCs w:val="20"/>
        </w:rPr>
        <w:commentReference w:id="1"/>
      </w:r>
    </w:p>
    <w:p w:rsidR="00A71243" w:rsidRPr="004A1325" w:rsidRDefault="00A71243" w:rsidP="004A1325">
      <w:pPr>
        <w:pStyle w:val="Odstavecseseznamem"/>
        <w:numPr>
          <w:ilvl w:val="1"/>
          <w:numId w:val="14"/>
        </w:numPr>
        <w:spacing w:before="240" w:after="240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4A1325">
        <w:rPr>
          <w:rFonts w:ascii="Arial" w:hAnsi="Arial" w:cs="Arial"/>
          <w:sz w:val="24"/>
          <w:szCs w:val="24"/>
        </w:rPr>
        <w:t>nositelem je člověk, z jehož těla pochází vzorek.</w:t>
      </w:r>
    </w:p>
    <w:p w:rsidR="00A71243" w:rsidRPr="00041F57" w:rsidRDefault="00A71243" w:rsidP="00B9517C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041F57">
        <w:rPr>
          <w:rFonts w:ascii="Arial" w:hAnsi="Arial" w:cs="Arial"/>
          <w:b/>
          <w:sz w:val="24"/>
          <w:szCs w:val="24"/>
        </w:rPr>
        <w:t>Analýza biologického vzorku</w:t>
      </w:r>
    </w:p>
    <w:p w:rsidR="00A71243" w:rsidRDefault="00A71243" w:rsidP="00B9517C">
      <w:pPr>
        <w:spacing w:before="24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A71243" w:rsidRPr="00877A95" w:rsidRDefault="00A71243" w:rsidP="004A1325">
      <w:pPr>
        <w:numPr>
          <w:ilvl w:val="0"/>
          <w:numId w:val="1"/>
        </w:numPr>
        <w:tabs>
          <w:tab w:val="clear" w:pos="720"/>
          <w:tab w:val="num" w:pos="284"/>
        </w:tabs>
        <w:spacing w:before="240" w:after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Analýzou se pro účely tohoto zákona rozumí proces analýzy vzorku metodami molekulární biologie a genetiky prováděný z nekódujících úseků molekuly </w:t>
      </w:r>
      <w:proofErr w:type="spellStart"/>
      <w:r>
        <w:rPr>
          <w:rFonts w:ascii="Arial" w:hAnsi="Arial" w:cs="Arial"/>
          <w:sz w:val="24"/>
          <w:szCs w:val="24"/>
        </w:rPr>
        <w:t>deoxyribonukleonové</w:t>
      </w:r>
      <w:proofErr w:type="spellEnd"/>
      <w:r>
        <w:rPr>
          <w:rFonts w:ascii="Arial" w:hAnsi="Arial" w:cs="Arial"/>
          <w:sz w:val="24"/>
          <w:szCs w:val="24"/>
        </w:rPr>
        <w:t xml:space="preserve"> kyseliny neobsahujících informace o specifických dědičných vlastnostech</w:t>
      </w:r>
      <w:r w:rsidRPr="00CC037A">
        <w:rPr>
          <w:rFonts w:ascii="Arial" w:hAnsi="Arial" w:cs="Arial"/>
          <w:sz w:val="24"/>
          <w:szCs w:val="24"/>
        </w:rPr>
        <w:t xml:space="preserve"> s </w:t>
      </w:r>
      <w:r>
        <w:rPr>
          <w:rFonts w:ascii="Arial" w:hAnsi="Arial" w:cs="Arial"/>
          <w:sz w:val="24"/>
          <w:szCs w:val="24"/>
        </w:rPr>
        <w:t>výjimkou pohlaví.</w:t>
      </w:r>
    </w:p>
    <w:p w:rsidR="00A71243" w:rsidRPr="00877A95" w:rsidRDefault="00A71243" w:rsidP="004A1325">
      <w:pPr>
        <w:numPr>
          <w:ilvl w:val="0"/>
          <w:numId w:val="1"/>
        </w:numPr>
        <w:tabs>
          <w:tab w:val="clear" w:pos="720"/>
          <w:tab w:val="num" w:pos="284"/>
        </w:tabs>
        <w:spacing w:before="240" w:after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Cílem analýzy je </w:t>
      </w:r>
      <w:r w:rsidRPr="00877A95">
        <w:rPr>
          <w:rFonts w:ascii="Arial" w:hAnsi="Arial" w:cs="Arial"/>
          <w:sz w:val="24"/>
          <w:szCs w:val="24"/>
        </w:rPr>
        <w:t>sestavení profilu pro účely budoucího srovnání s jinými profily uloženými v</w:t>
      </w:r>
      <w:r>
        <w:rPr>
          <w:rFonts w:ascii="Arial" w:hAnsi="Arial" w:cs="Arial"/>
          <w:sz w:val="24"/>
          <w:szCs w:val="24"/>
        </w:rPr>
        <w:t> Databázi profilů DNA nebo získanými v souvislosti s vyšetřováním konkrétního trestného činu</w:t>
      </w:r>
      <w:r w:rsidRPr="00877A95">
        <w:rPr>
          <w:rFonts w:ascii="Arial" w:hAnsi="Arial" w:cs="Arial"/>
          <w:sz w:val="24"/>
          <w:szCs w:val="24"/>
        </w:rPr>
        <w:t>.</w:t>
      </w:r>
    </w:p>
    <w:p w:rsidR="00A71243" w:rsidRDefault="00A71243" w:rsidP="004A1325">
      <w:pPr>
        <w:numPr>
          <w:ilvl w:val="0"/>
          <w:numId w:val="1"/>
        </w:numPr>
        <w:tabs>
          <w:tab w:val="clear" w:pos="720"/>
          <w:tab w:val="num" w:pos="284"/>
        </w:tabs>
        <w:spacing w:before="240" w:after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Analýza je prováděna ze vzorku, který byl odebrán nebo zajištěn v souladu s příslušnými ustanoveními </w:t>
      </w:r>
      <w:r w:rsidRPr="000C73EE">
        <w:rPr>
          <w:rFonts w:ascii="Arial" w:hAnsi="Arial" w:cs="Arial"/>
          <w:sz w:val="24"/>
          <w:szCs w:val="24"/>
        </w:rPr>
        <w:t>zvláštního právního předpisu</w:t>
      </w:r>
      <w:r>
        <w:rPr>
          <w:rFonts w:ascii="Arial" w:hAnsi="Arial" w:cs="Arial"/>
          <w:sz w:val="24"/>
          <w:szCs w:val="24"/>
        </w:rPr>
        <w:t>.</w:t>
      </w:r>
    </w:p>
    <w:p w:rsidR="00A71243" w:rsidRDefault="00A71243" w:rsidP="004A1325">
      <w:pPr>
        <w:numPr>
          <w:ilvl w:val="0"/>
          <w:numId w:val="1"/>
        </w:numPr>
        <w:tabs>
          <w:tab w:val="clear" w:pos="720"/>
          <w:tab w:val="num" w:pos="284"/>
        </w:tabs>
        <w:spacing w:before="240" w:after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Analýzu provádí </w:t>
      </w:r>
    </w:p>
    <w:p w:rsidR="00A71243" w:rsidRDefault="00A71243" w:rsidP="004A1325">
      <w:pPr>
        <w:numPr>
          <w:ilvl w:val="1"/>
          <w:numId w:val="13"/>
        </w:num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znalecký ústav zapsaný v seznamu ústavů kvalifikovaných pro znaleckou činnost pro obor kriminalistika se specializací genetika nebo obor zdravotnictví odvětví genetika,</w:t>
      </w:r>
    </w:p>
    <w:p w:rsidR="00A71243" w:rsidRDefault="00A71243" w:rsidP="004A1325">
      <w:pPr>
        <w:numPr>
          <w:ilvl w:val="1"/>
          <w:numId w:val="13"/>
        </w:num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znalec zapsaný v seznamu znalců a tlumočníků pro obor kriminalistika se specializací genetika nebo obor zdravotnictví odvětví genetika, nebo </w:t>
      </w:r>
    </w:p>
    <w:p w:rsidR="00A71243" w:rsidRDefault="00A71243" w:rsidP="004A1325">
      <w:pPr>
        <w:numPr>
          <w:ilvl w:val="1"/>
          <w:numId w:val="13"/>
        </w:num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osoba nezapsaná v seznamu znalců a tlumočníků ustanovená znalcem orgánem veřejné moci dle zvláštního zákona. </w:t>
      </w:r>
    </w:p>
    <w:p w:rsidR="00A71243" w:rsidRPr="00D11E5A" w:rsidRDefault="00A71243" w:rsidP="00D11E5A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D11E5A">
        <w:rPr>
          <w:rFonts w:ascii="Arial" w:hAnsi="Arial" w:cs="Arial"/>
          <w:b/>
          <w:sz w:val="24"/>
          <w:szCs w:val="24"/>
        </w:rPr>
        <w:t>§ 4</w:t>
      </w:r>
    </w:p>
    <w:p w:rsidR="00A71243" w:rsidRPr="00D11E5A" w:rsidRDefault="00A71243" w:rsidP="00D11E5A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Nakládání se vzorkem</w:t>
      </w:r>
    </w:p>
    <w:p w:rsidR="00A71243" w:rsidRPr="006E7525" w:rsidRDefault="00A71243" w:rsidP="004A1325">
      <w:pPr>
        <w:numPr>
          <w:ilvl w:val="0"/>
          <w:numId w:val="3"/>
        </w:numPr>
        <w:spacing w:before="240" w:after="0"/>
        <w:ind w:left="284" w:hanging="284"/>
        <w:rPr>
          <w:rFonts w:ascii="Arial" w:hAnsi="Arial" w:cs="Arial"/>
          <w:sz w:val="24"/>
          <w:szCs w:val="24"/>
        </w:rPr>
      </w:pPr>
      <w:commentRangeStart w:id="2"/>
      <w:r w:rsidRPr="006E7525">
        <w:rPr>
          <w:rFonts w:ascii="Arial" w:hAnsi="Arial" w:cs="Arial"/>
          <w:sz w:val="24"/>
          <w:szCs w:val="24"/>
        </w:rPr>
        <w:t>Vzorek</w:t>
      </w:r>
      <w:r>
        <w:rPr>
          <w:rFonts w:ascii="Arial" w:hAnsi="Arial" w:cs="Arial"/>
          <w:sz w:val="24"/>
          <w:szCs w:val="24"/>
        </w:rPr>
        <w:t xml:space="preserve"> </w:t>
      </w:r>
      <w:commentRangeEnd w:id="2"/>
      <w:r w:rsidR="004D3B50">
        <w:rPr>
          <w:rStyle w:val="Odkaznakoment"/>
          <w:szCs w:val="20"/>
        </w:rPr>
        <w:commentReference w:id="2"/>
      </w:r>
      <w:r>
        <w:rPr>
          <w:rFonts w:ascii="Arial" w:hAnsi="Arial" w:cs="Arial"/>
          <w:sz w:val="24"/>
          <w:szCs w:val="24"/>
        </w:rPr>
        <w:t xml:space="preserve">včetně všech meziproduktů analýzy DNA se zlikviduje bez zbytečného odkladu poté, co je </w:t>
      </w:r>
      <w:commentRangeStart w:id="3"/>
      <w:r>
        <w:rPr>
          <w:rFonts w:ascii="Arial" w:hAnsi="Arial" w:cs="Arial"/>
          <w:sz w:val="24"/>
          <w:szCs w:val="24"/>
        </w:rPr>
        <w:t>analýzou ze vzorku stanoven profil</w:t>
      </w:r>
      <w:commentRangeEnd w:id="3"/>
      <w:r w:rsidR="004D3B50">
        <w:rPr>
          <w:rStyle w:val="Odkaznakoment"/>
          <w:szCs w:val="20"/>
        </w:rPr>
        <w:commentReference w:id="3"/>
      </w:r>
      <w:r>
        <w:rPr>
          <w:rFonts w:ascii="Arial" w:hAnsi="Arial" w:cs="Arial"/>
          <w:sz w:val="24"/>
          <w:szCs w:val="24"/>
        </w:rPr>
        <w:t>. Tím není dotčena povinnost uchovávat kontrolní vzorek dle tohoto zákona.</w:t>
      </w:r>
    </w:p>
    <w:p w:rsidR="00A71243" w:rsidRPr="00970AAF" w:rsidRDefault="00A71243" w:rsidP="004A1325">
      <w:pPr>
        <w:numPr>
          <w:ilvl w:val="0"/>
          <w:numId w:val="3"/>
        </w:numPr>
        <w:spacing w:before="240" w:after="0"/>
        <w:ind w:left="284" w:hanging="284"/>
        <w:rPr>
          <w:rFonts w:ascii="Arial" w:hAnsi="Arial" w:cs="Arial"/>
          <w:sz w:val="24"/>
          <w:szCs w:val="24"/>
        </w:rPr>
      </w:pPr>
      <w:commentRangeStart w:id="4"/>
      <w:r w:rsidRPr="00970AAF">
        <w:rPr>
          <w:rFonts w:ascii="Arial" w:hAnsi="Arial" w:cs="Arial"/>
          <w:sz w:val="24"/>
          <w:szCs w:val="24"/>
        </w:rPr>
        <w:t xml:space="preserve">Vzorek získaný ze stopy z místa </w:t>
      </w:r>
      <w:commentRangeEnd w:id="4"/>
      <w:r w:rsidR="004D3B50">
        <w:rPr>
          <w:rStyle w:val="Odkaznakoment"/>
          <w:szCs w:val="20"/>
        </w:rPr>
        <w:commentReference w:id="4"/>
      </w:r>
      <w:r w:rsidRPr="00970AAF">
        <w:rPr>
          <w:rFonts w:ascii="Arial" w:hAnsi="Arial" w:cs="Arial"/>
          <w:sz w:val="24"/>
          <w:szCs w:val="24"/>
        </w:rPr>
        <w:t>dosud neobjasněného trestné</w:t>
      </w:r>
      <w:r>
        <w:rPr>
          <w:rFonts w:ascii="Arial" w:hAnsi="Arial" w:cs="Arial"/>
          <w:sz w:val="24"/>
          <w:szCs w:val="24"/>
        </w:rPr>
        <w:t xml:space="preserve">ho činu </w:t>
      </w:r>
      <w:r w:rsidRPr="00970AAF">
        <w:rPr>
          <w:rFonts w:ascii="Arial" w:hAnsi="Arial" w:cs="Arial"/>
          <w:sz w:val="24"/>
          <w:szCs w:val="24"/>
        </w:rPr>
        <w:t>se rozdělí na dvě části, pokud to jeho množství dovoluje. Jedna část vzorku</w:t>
      </w:r>
      <w:r>
        <w:rPr>
          <w:rFonts w:ascii="Arial" w:hAnsi="Arial" w:cs="Arial"/>
          <w:sz w:val="24"/>
          <w:szCs w:val="24"/>
        </w:rPr>
        <w:t xml:space="preserve"> se analyzuje. Část vzorku, kterou není nezbytné použít pro analýzu</w:t>
      </w:r>
      <w:r w:rsidRPr="00970AAF">
        <w:rPr>
          <w:rFonts w:ascii="Arial" w:hAnsi="Arial" w:cs="Arial"/>
          <w:sz w:val="24"/>
          <w:szCs w:val="24"/>
        </w:rPr>
        <w:t xml:space="preserve"> (dále jen „kon</w:t>
      </w:r>
      <w:r>
        <w:rPr>
          <w:rFonts w:ascii="Arial" w:hAnsi="Arial" w:cs="Arial"/>
          <w:sz w:val="24"/>
          <w:szCs w:val="24"/>
        </w:rPr>
        <w:t>trolní vzorek“) je uchována Policií ČR</w:t>
      </w:r>
      <w:r w:rsidRPr="00970AAF">
        <w:rPr>
          <w:rFonts w:ascii="Arial" w:hAnsi="Arial" w:cs="Arial"/>
          <w:sz w:val="24"/>
          <w:szCs w:val="24"/>
        </w:rPr>
        <w:t xml:space="preserve"> pro účely </w:t>
      </w:r>
      <w:r>
        <w:rPr>
          <w:rFonts w:ascii="Arial" w:hAnsi="Arial" w:cs="Arial"/>
          <w:sz w:val="24"/>
          <w:szCs w:val="24"/>
        </w:rPr>
        <w:t xml:space="preserve">budoucího </w:t>
      </w:r>
      <w:r w:rsidRPr="00970AAF">
        <w:rPr>
          <w:rFonts w:ascii="Arial" w:hAnsi="Arial" w:cs="Arial"/>
          <w:sz w:val="24"/>
          <w:szCs w:val="24"/>
        </w:rPr>
        <w:t xml:space="preserve">přezkoumání správnosti analýzy. </w:t>
      </w:r>
    </w:p>
    <w:p w:rsidR="00A71243" w:rsidRDefault="00A71243" w:rsidP="004A1325">
      <w:pPr>
        <w:numPr>
          <w:ilvl w:val="0"/>
          <w:numId w:val="3"/>
        </w:numPr>
        <w:spacing w:before="240" w:after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Kontrolní vzorek je uchováván po dobu 80 let od provedení analýzy. </w:t>
      </w:r>
    </w:p>
    <w:p w:rsidR="00A71243" w:rsidRDefault="00A71243" w:rsidP="004A1325">
      <w:pPr>
        <w:numPr>
          <w:ilvl w:val="0"/>
          <w:numId w:val="3"/>
        </w:numPr>
        <w:spacing w:before="240" w:after="0"/>
        <w:ind w:left="284" w:hanging="284"/>
        <w:rPr>
          <w:rFonts w:ascii="Arial" w:hAnsi="Arial" w:cs="Arial"/>
          <w:sz w:val="24"/>
          <w:szCs w:val="24"/>
        </w:rPr>
      </w:pPr>
      <w:commentRangeStart w:id="5"/>
      <w:r>
        <w:rPr>
          <w:rFonts w:ascii="Arial" w:hAnsi="Arial" w:cs="Arial"/>
          <w:sz w:val="24"/>
          <w:szCs w:val="24"/>
        </w:rPr>
        <w:t>Policie ČR, která uchovává kontrolní vzorek</w:t>
      </w:r>
      <w:commentRangeEnd w:id="5"/>
      <w:r w:rsidR="004D3B50">
        <w:rPr>
          <w:rStyle w:val="Odkaznakoment"/>
          <w:szCs w:val="20"/>
        </w:rPr>
        <w:commentReference w:id="5"/>
      </w:r>
      <w:r>
        <w:rPr>
          <w:rFonts w:ascii="Arial" w:hAnsi="Arial" w:cs="Arial"/>
          <w:sz w:val="24"/>
          <w:szCs w:val="24"/>
        </w:rPr>
        <w:t xml:space="preserve"> je povinna vzorek chránit před odcizením, ztrátou, zneužitím neoprávněnou osobou, poškozením nebo zničením.</w:t>
      </w:r>
    </w:p>
    <w:p w:rsidR="00A71243" w:rsidRPr="00041F57" w:rsidRDefault="00A71243" w:rsidP="00041F57">
      <w:pPr>
        <w:numPr>
          <w:ilvl w:val="0"/>
          <w:numId w:val="3"/>
        </w:numPr>
        <w:spacing w:before="240" w:after="0"/>
        <w:ind w:left="284" w:hanging="284"/>
        <w:rPr>
          <w:rFonts w:ascii="Arial" w:hAnsi="Arial" w:cs="Arial"/>
          <w:sz w:val="24"/>
          <w:szCs w:val="24"/>
        </w:rPr>
      </w:pPr>
      <w:r w:rsidRPr="00AE6D64">
        <w:rPr>
          <w:rFonts w:ascii="Arial" w:hAnsi="Arial" w:cs="Arial"/>
          <w:sz w:val="24"/>
          <w:szCs w:val="24"/>
        </w:rPr>
        <w:t xml:space="preserve">O využití kontrolního vzorku nebo jeho části pro účely provedení kontrolní analýzy rozhoduje v trestním </w:t>
      </w:r>
      <w:commentRangeStart w:id="6"/>
      <w:r w:rsidRPr="00AE6D64">
        <w:rPr>
          <w:rFonts w:ascii="Arial" w:hAnsi="Arial" w:cs="Arial"/>
          <w:sz w:val="24"/>
          <w:szCs w:val="24"/>
        </w:rPr>
        <w:t xml:space="preserve">řízení soud.   </w:t>
      </w:r>
      <w:commentRangeEnd w:id="6"/>
      <w:r w:rsidR="004D3B50">
        <w:rPr>
          <w:rStyle w:val="Odkaznakoment"/>
          <w:szCs w:val="20"/>
        </w:rPr>
        <w:commentReference w:id="6"/>
      </w:r>
    </w:p>
    <w:p w:rsidR="00A71243" w:rsidRDefault="00A71243" w:rsidP="004A1325">
      <w:pPr>
        <w:spacing w:before="240" w:after="0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Databáze profilů DNA</w:t>
      </w:r>
    </w:p>
    <w:p w:rsidR="00A71243" w:rsidRDefault="00A71243" w:rsidP="004A1325">
      <w:pPr>
        <w:spacing w:before="240" w:after="0"/>
        <w:ind w:left="284" w:hanging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5</w:t>
      </w:r>
    </w:p>
    <w:p w:rsidR="00A71243" w:rsidRDefault="00A71243" w:rsidP="004A1325">
      <w:pPr>
        <w:numPr>
          <w:ilvl w:val="0"/>
          <w:numId w:val="2"/>
        </w:numPr>
        <w:spacing w:before="240"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Databáze profilů DNA </w:t>
      </w:r>
      <w:r w:rsidRPr="00D11E5A">
        <w:rPr>
          <w:rFonts w:ascii="Arial" w:hAnsi="Arial" w:cs="Arial"/>
          <w:sz w:val="24"/>
          <w:szCs w:val="24"/>
        </w:rPr>
        <w:t>slouží k uchovávání a porovnávání profilů</w:t>
      </w:r>
      <w:r w:rsidRPr="007615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získaných ze vzorků odebraných či zajištěných v souladu se zvláštním zákonem</w:t>
      </w:r>
      <w:r w:rsidRPr="00D11E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1243" w:rsidRDefault="00A71243" w:rsidP="004A1325">
      <w:pPr>
        <w:numPr>
          <w:ilvl w:val="0"/>
          <w:numId w:val="2"/>
        </w:numPr>
        <w:spacing w:before="240"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Správcem databáze je Policie ČR.</w:t>
      </w:r>
    </w:p>
    <w:p w:rsidR="00A71243" w:rsidRDefault="00A71243" w:rsidP="004A1325">
      <w:pPr>
        <w:numPr>
          <w:ilvl w:val="0"/>
          <w:numId w:val="2"/>
        </w:numPr>
        <w:spacing w:before="240"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92782">
        <w:rPr>
          <w:rFonts w:ascii="Arial" w:hAnsi="Arial" w:cs="Arial"/>
          <w:sz w:val="24"/>
          <w:szCs w:val="24"/>
        </w:rPr>
        <w:t xml:space="preserve">Databáze obsahuje údaje o profilech a jedinečných identifikačních číslech vzorků, z nichž byly profily stanoveny. </w:t>
      </w:r>
      <w:r>
        <w:rPr>
          <w:rFonts w:ascii="Arial" w:hAnsi="Arial" w:cs="Arial"/>
          <w:sz w:val="24"/>
          <w:szCs w:val="24"/>
        </w:rPr>
        <w:t xml:space="preserve">Identifikační údaje nositele vzorku, jsou </w:t>
      </w:r>
      <w:r>
        <w:rPr>
          <w:rFonts w:ascii="Arial" w:hAnsi="Arial" w:cs="Arial"/>
          <w:sz w:val="24"/>
          <w:szCs w:val="24"/>
        </w:rPr>
        <w:lastRenderedPageBreak/>
        <w:t>zpracovávány Policií ČR v </w:t>
      </w:r>
      <w:commentRangeStart w:id="7"/>
      <w:r>
        <w:rPr>
          <w:rFonts w:ascii="Arial" w:hAnsi="Arial" w:cs="Arial"/>
          <w:sz w:val="24"/>
          <w:szCs w:val="24"/>
        </w:rPr>
        <w:t>oddělené databázi</w:t>
      </w:r>
      <w:commentRangeEnd w:id="7"/>
      <w:r w:rsidR="00B940E0">
        <w:rPr>
          <w:rStyle w:val="Odkaznakoment"/>
          <w:szCs w:val="20"/>
        </w:rPr>
        <w:commentReference w:id="7"/>
      </w:r>
      <w:r>
        <w:rPr>
          <w:rFonts w:ascii="Arial" w:hAnsi="Arial" w:cs="Arial"/>
          <w:sz w:val="24"/>
          <w:szCs w:val="24"/>
        </w:rPr>
        <w:t>, která je s Databází profilů DNA propojitelná prostřednictvím jedinečného identifikačního čísla vzorku.</w:t>
      </w:r>
    </w:p>
    <w:p w:rsidR="00A71243" w:rsidRPr="00B92782" w:rsidRDefault="00A71243" w:rsidP="004A1325">
      <w:pPr>
        <w:spacing w:before="240" w:after="0"/>
        <w:ind w:left="284" w:hanging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6</w:t>
      </w:r>
    </w:p>
    <w:p w:rsidR="00A71243" w:rsidRDefault="00A71243" w:rsidP="004A1325">
      <w:pPr>
        <w:numPr>
          <w:ilvl w:val="0"/>
          <w:numId w:val="10"/>
        </w:numPr>
        <w:spacing w:before="240"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Databázi profilů DNA jsou uchovávány:</w:t>
      </w:r>
    </w:p>
    <w:p w:rsidR="00A71243" w:rsidRDefault="00A71243" w:rsidP="004A1325">
      <w:pPr>
        <w:numPr>
          <w:ilvl w:val="1"/>
          <w:numId w:val="12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profily osob obviněných ze</w:t>
      </w:r>
      <w:r w:rsidRPr="004B36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spáchání </w:t>
      </w:r>
      <w:r w:rsidRPr="004B3696">
        <w:rPr>
          <w:rFonts w:ascii="Arial" w:hAnsi="Arial" w:cs="Arial"/>
          <w:sz w:val="24"/>
          <w:szCs w:val="24"/>
        </w:rPr>
        <w:t>zločinu proti životu a zdraví, proti lidské svobodě a právům na ochranu osobnosti, soukromí a listovního tajemství, proti lidské</w:t>
      </w:r>
      <w:r>
        <w:rPr>
          <w:rFonts w:ascii="Arial" w:hAnsi="Arial" w:cs="Arial"/>
          <w:sz w:val="24"/>
          <w:szCs w:val="24"/>
        </w:rPr>
        <w:t xml:space="preserve"> důstojnosti v sexuální oblasti nebo</w:t>
      </w:r>
      <w:r w:rsidRPr="004B36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zločinu obecně ohrožujícího (dále jen „osoby obviněné“),</w:t>
      </w:r>
    </w:p>
    <w:p w:rsidR="00A71243" w:rsidRDefault="00A71243" w:rsidP="004A1325">
      <w:pPr>
        <w:numPr>
          <w:ilvl w:val="1"/>
          <w:numId w:val="12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C472F4">
        <w:rPr>
          <w:rFonts w:ascii="Arial" w:hAnsi="Arial" w:cs="Arial"/>
          <w:sz w:val="24"/>
          <w:szCs w:val="24"/>
        </w:rPr>
        <w:t xml:space="preserve">profily osob odsouzených </w:t>
      </w:r>
      <w:r>
        <w:rPr>
          <w:rFonts w:ascii="Arial" w:hAnsi="Arial" w:cs="Arial"/>
          <w:sz w:val="24"/>
          <w:szCs w:val="24"/>
        </w:rPr>
        <w:t xml:space="preserve">k trestu odnětí svobody za </w:t>
      </w:r>
      <w:r w:rsidRPr="00C472F4">
        <w:rPr>
          <w:rFonts w:ascii="Arial" w:hAnsi="Arial" w:cs="Arial"/>
          <w:sz w:val="24"/>
          <w:szCs w:val="24"/>
        </w:rPr>
        <w:t>zločin proti životu a zdraví, proti lidské svobodě a právům na ochranu osobnosti, soukromí a listovního tajemství, proti lidské</w:t>
      </w:r>
      <w:r>
        <w:rPr>
          <w:rFonts w:ascii="Arial" w:hAnsi="Arial" w:cs="Arial"/>
          <w:sz w:val="24"/>
          <w:szCs w:val="24"/>
        </w:rPr>
        <w:t xml:space="preserve"> důstojnosti v sexuální oblasti nebo</w:t>
      </w:r>
      <w:r w:rsidRPr="00C472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zločin </w:t>
      </w:r>
      <w:r w:rsidRPr="00C472F4">
        <w:rPr>
          <w:rFonts w:ascii="Arial" w:hAnsi="Arial" w:cs="Arial"/>
          <w:sz w:val="24"/>
          <w:szCs w:val="24"/>
        </w:rPr>
        <w:t>obecně ohrožujícího</w:t>
      </w:r>
      <w:r>
        <w:rPr>
          <w:rFonts w:ascii="Arial" w:hAnsi="Arial" w:cs="Arial"/>
          <w:sz w:val="24"/>
          <w:szCs w:val="24"/>
        </w:rPr>
        <w:t xml:space="preserve"> (dále jen „osoby odsouzené“)</w:t>
      </w:r>
      <w:r w:rsidRPr="00C472F4">
        <w:rPr>
          <w:rFonts w:ascii="Arial" w:hAnsi="Arial" w:cs="Arial"/>
          <w:sz w:val="24"/>
          <w:szCs w:val="24"/>
        </w:rPr>
        <w:t xml:space="preserve">,  </w:t>
      </w:r>
    </w:p>
    <w:p w:rsidR="00A71243" w:rsidRDefault="00A71243" w:rsidP="004A1325">
      <w:pPr>
        <w:numPr>
          <w:ilvl w:val="1"/>
          <w:numId w:val="12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C472F4">
        <w:rPr>
          <w:rFonts w:ascii="Arial" w:hAnsi="Arial" w:cs="Arial"/>
          <w:sz w:val="24"/>
          <w:szCs w:val="24"/>
        </w:rPr>
        <w:t xml:space="preserve">profily osob, kterým bylo uloženo ochranné léčení nebo zabezpečovací detence za spáchání </w:t>
      </w:r>
      <w:r>
        <w:rPr>
          <w:rFonts w:ascii="Arial" w:hAnsi="Arial" w:cs="Arial"/>
          <w:sz w:val="24"/>
          <w:szCs w:val="24"/>
        </w:rPr>
        <w:t xml:space="preserve">trestného činu </w:t>
      </w:r>
      <w:r w:rsidRPr="007B2112">
        <w:rPr>
          <w:rFonts w:ascii="Arial" w:hAnsi="Arial" w:cs="Arial"/>
          <w:sz w:val="24"/>
          <w:szCs w:val="24"/>
        </w:rPr>
        <w:t xml:space="preserve">proti životu a zdraví, proti lidské svobodě a právům na ochranu osobnosti, soukromí a listovního tajemství, proti lidské důstojnosti v sexuální oblasti nebo úmyslného </w:t>
      </w:r>
      <w:r>
        <w:rPr>
          <w:rFonts w:ascii="Arial" w:hAnsi="Arial" w:cs="Arial"/>
          <w:sz w:val="24"/>
          <w:szCs w:val="24"/>
        </w:rPr>
        <w:t xml:space="preserve">zločinu </w:t>
      </w:r>
      <w:r w:rsidRPr="007B2112">
        <w:rPr>
          <w:rFonts w:ascii="Arial" w:hAnsi="Arial" w:cs="Arial"/>
          <w:sz w:val="24"/>
          <w:szCs w:val="24"/>
        </w:rPr>
        <w:t>obecně ohrožujícího</w:t>
      </w:r>
      <w:r>
        <w:rPr>
          <w:rFonts w:ascii="Arial" w:hAnsi="Arial" w:cs="Arial"/>
          <w:sz w:val="24"/>
          <w:szCs w:val="24"/>
        </w:rPr>
        <w:t xml:space="preserve"> (dále jen „osoby s uloženým ochranným léčením či zabezpečovací detencí“)</w:t>
      </w:r>
      <w:r w:rsidRPr="00C472F4">
        <w:rPr>
          <w:rFonts w:ascii="Arial" w:hAnsi="Arial" w:cs="Arial"/>
          <w:sz w:val="24"/>
          <w:szCs w:val="24"/>
        </w:rPr>
        <w:t>,</w:t>
      </w:r>
    </w:p>
    <w:p w:rsidR="00A71243" w:rsidRDefault="00A71243" w:rsidP="004A1325">
      <w:pPr>
        <w:numPr>
          <w:ilvl w:val="1"/>
          <w:numId w:val="12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1C694B">
        <w:rPr>
          <w:rFonts w:ascii="Arial" w:hAnsi="Arial" w:cs="Arial"/>
          <w:sz w:val="24"/>
          <w:szCs w:val="24"/>
        </w:rPr>
        <w:t>profily osob, které odmítly nebo nemohly prokázat svoji totožnost</w:t>
      </w:r>
      <w:r>
        <w:rPr>
          <w:rFonts w:ascii="Arial" w:hAnsi="Arial" w:cs="Arial"/>
          <w:sz w:val="24"/>
          <w:szCs w:val="24"/>
        </w:rPr>
        <w:t>,</w:t>
      </w:r>
      <w:r w:rsidRPr="001C694B">
        <w:rPr>
          <w:rFonts w:ascii="Arial" w:hAnsi="Arial" w:cs="Arial"/>
          <w:sz w:val="24"/>
          <w:szCs w:val="24"/>
        </w:rPr>
        <w:t xml:space="preserve"> </w:t>
      </w:r>
    </w:p>
    <w:p w:rsidR="00A71243" w:rsidRDefault="00A71243" w:rsidP="004A1325">
      <w:pPr>
        <w:numPr>
          <w:ilvl w:val="1"/>
          <w:numId w:val="12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1C694B">
        <w:rPr>
          <w:rFonts w:ascii="Arial" w:hAnsi="Arial" w:cs="Arial"/>
          <w:sz w:val="24"/>
          <w:szCs w:val="24"/>
        </w:rPr>
        <w:t>profily mrtvol, částí těl a lidských ostatků, které se nepodařilo identifikovat,</w:t>
      </w:r>
    </w:p>
    <w:p w:rsidR="00A71243" w:rsidRPr="004A1325" w:rsidRDefault="00A71243" w:rsidP="004A1325">
      <w:pPr>
        <w:numPr>
          <w:ilvl w:val="1"/>
          <w:numId w:val="12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1C694B">
        <w:rPr>
          <w:rFonts w:ascii="Arial" w:hAnsi="Arial" w:cs="Arial"/>
          <w:sz w:val="24"/>
          <w:szCs w:val="24"/>
        </w:rPr>
        <w:t>profily získané ze stop z míst dosud neobjasněných trestných činů nebo mimořádných událostí</w:t>
      </w:r>
      <w:r>
        <w:rPr>
          <w:rFonts w:ascii="Arial" w:hAnsi="Arial" w:cs="Arial"/>
          <w:sz w:val="24"/>
          <w:szCs w:val="24"/>
        </w:rPr>
        <w:t>.</w:t>
      </w:r>
    </w:p>
    <w:p w:rsidR="00A71243" w:rsidRDefault="00A71243" w:rsidP="004A1325">
      <w:pPr>
        <w:numPr>
          <w:ilvl w:val="0"/>
          <w:numId w:val="10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 Databázi profilů DNA jsou na základě písemného souhlasu nositele vzorku uchovávány:</w:t>
      </w:r>
    </w:p>
    <w:p w:rsidR="00A71243" w:rsidRDefault="00A71243" w:rsidP="004A1325">
      <w:pPr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profily osob biologicky příbuzných s hledanou nebo pohřešovanou osobou (dále jen „osoba biologicky příbuzná“),</w:t>
      </w:r>
    </w:p>
    <w:p w:rsidR="00A71243" w:rsidRDefault="00A71243" w:rsidP="004A1325">
      <w:pPr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profily osob, o nichž je policii známo, že jejich totožnost byla zneužita jinou osobou, pokud projevily zájem o umístění svého profilu do databáze (dále jen „osoba se zneužitou identitou“),</w:t>
      </w:r>
    </w:p>
    <w:p w:rsidR="00A71243" w:rsidRDefault="00A71243" w:rsidP="004A1325">
      <w:pPr>
        <w:pStyle w:val="Odstavecseseznamem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1C694B">
        <w:rPr>
          <w:rFonts w:ascii="Arial" w:hAnsi="Arial" w:cs="Arial"/>
          <w:sz w:val="24"/>
          <w:szCs w:val="24"/>
        </w:rPr>
        <w:t xml:space="preserve">profily osob nalezených, po nichž bylo vyhlášeno pátrání, a </w:t>
      </w:r>
      <w:r>
        <w:rPr>
          <w:rFonts w:ascii="Arial" w:hAnsi="Arial" w:cs="Arial"/>
          <w:sz w:val="24"/>
          <w:szCs w:val="24"/>
        </w:rPr>
        <w:t xml:space="preserve">jejichž svéprávnost je omezena </w:t>
      </w:r>
      <w:r w:rsidRPr="001C694B">
        <w:rPr>
          <w:rFonts w:ascii="Arial" w:hAnsi="Arial" w:cs="Arial"/>
          <w:sz w:val="24"/>
          <w:szCs w:val="24"/>
        </w:rPr>
        <w:t>(dále jen „osob</w:t>
      </w:r>
      <w:r>
        <w:rPr>
          <w:rFonts w:ascii="Arial" w:hAnsi="Arial" w:cs="Arial"/>
          <w:sz w:val="24"/>
          <w:szCs w:val="24"/>
        </w:rPr>
        <w:t>a</w:t>
      </w:r>
      <w:r w:rsidRPr="001C694B">
        <w:rPr>
          <w:rFonts w:ascii="Arial" w:hAnsi="Arial" w:cs="Arial"/>
          <w:sz w:val="24"/>
          <w:szCs w:val="24"/>
        </w:rPr>
        <w:t xml:space="preserve"> s omezenou svéprávností“),</w:t>
      </w:r>
    </w:p>
    <w:p w:rsidR="00A71243" w:rsidRDefault="00A71243" w:rsidP="004A1325">
      <w:pPr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profily osob, které plní úkoly, při nichž mohou kontaminovat biologický materiál určený ke stanovení profilu DNA (dále jen „zúčastněný pracovník“).</w:t>
      </w:r>
    </w:p>
    <w:p w:rsidR="00A71243" w:rsidRPr="001C694B" w:rsidRDefault="00A71243" w:rsidP="004A1325">
      <w:pPr>
        <w:pStyle w:val="Odstavecseseznamem"/>
        <w:numPr>
          <w:ilvl w:val="0"/>
          <w:numId w:val="10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Pokud je osoba s omezenou svéprávností omezena na svéprávnosti v rozsahu, který neumožňuje platně udělit souhlas s uchováváním profilu, může souhlas s uchováváním udělit opatrovník takové osoby.</w:t>
      </w:r>
    </w:p>
    <w:p w:rsidR="00A71243" w:rsidRDefault="00A71243" w:rsidP="004A1325">
      <w:pPr>
        <w:numPr>
          <w:ilvl w:val="0"/>
          <w:numId w:val="10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Písemný souhlas osoby </w:t>
      </w:r>
      <w:r w:rsidRPr="001E09AF">
        <w:rPr>
          <w:rFonts w:ascii="Arial" w:hAnsi="Arial" w:cs="Arial"/>
          <w:sz w:val="24"/>
          <w:szCs w:val="24"/>
        </w:rPr>
        <w:t xml:space="preserve">uvedené v odst. 2 uchovává </w:t>
      </w:r>
      <w:r>
        <w:rPr>
          <w:rFonts w:ascii="Arial" w:hAnsi="Arial" w:cs="Arial"/>
          <w:sz w:val="24"/>
          <w:szCs w:val="24"/>
        </w:rPr>
        <w:t>správce Databáze profilů DNA minimálně po dobu uchovávání profilu nebo vzorku osoby.</w:t>
      </w:r>
    </w:p>
    <w:p w:rsidR="00A71243" w:rsidRDefault="00A71243" w:rsidP="004A1325">
      <w:pPr>
        <w:ind w:left="284" w:hanging="284"/>
        <w:rPr>
          <w:rFonts w:ascii="Arial" w:hAnsi="Arial" w:cs="Arial"/>
          <w:sz w:val="24"/>
          <w:szCs w:val="24"/>
        </w:rPr>
      </w:pPr>
    </w:p>
    <w:p w:rsidR="00A71243" w:rsidRDefault="00A71243" w:rsidP="004A1325">
      <w:pPr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6825E4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7</w:t>
      </w:r>
    </w:p>
    <w:p w:rsidR="00A71243" w:rsidRDefault="00A71243" w:rsidP="004A1325">
      <w:pPr>
        <w:pStyle w:val="Odstavecseseznamem"/>
        <w:numPr>
          <w:ilvl w:val="0"/>
          <w:numId w:val="9"/>
        </w:numPr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83AA2">
        <w:rPr>
          <w:rFonts w:ascii="Arial" w:hAnsi="Arial" w:cs="Arial"/>
          <w:sz w:val="24"/>
          <w:szCs w:val="24"/>
        </w:rPr>
        <w:t>Policie ČR je povinna zajistit ochranu údajů uchovávaných v</w:t>
      </w:r>
      <w:r>
        <w:rPr>
          <w:rFonts w:ascii="Arial" w:hAnsi="Arial" w:cs="Arial"/>
          <w:sz w:val="24"/>
          <w:szCs w:val="24"/>
        </w:rPr>
        <w:t> Databázi profilů</w:t>
      </w:r>
      <w:r w:rsidRPr="00083AA2">
        <w:rPr>
          <w:rFonts w:ascii="Arial" w:hAnsi="Arial" w:cs="Arial"/>
          <w:sz w:val="24"/>
          <w:szCs w:val="24"/>
        </w:rPr>
        <w:t xml:space="preserve"> DNA před odcizením, ztrátou, zničením, neoprávněným přístupem, změnou nebo rozšiřováním.</w:t>
      </w:r>
    </w:p>
    <w:p w:rsidR="00A71243" w:rsidRPr="004A1325" w:rsidRDefault="00A71243" w:rsidP="004A1325">
      <w:pPr>
        <w:pStyle w:val="Odstavecseseznamem"/>
        <w:numPr>
          <w:ilvl w:val="0"/>
          <w:numId w:val="9"/>
        </w:numPr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4A1325">
        <w:rPr>
          <w:rFonts w:ascii="Arial" w:hAnsi="Arial" w:cs="Arial"/>
          <w:sz w:val="24"/>
          <w:szCs w:val="24"/>
        </w:rPr>
        <w:t>K údajům v</w:t>
      </w:r>
      <w:r>
        <w:rPr>
          <w:rFonts w:ascii="Arial" w:hAnsi="Arial" w:cs="Arial"/>
          <w:sz w:val="24"/>
          <w:szCs w:val="24"/>
        </w:rPr>
        <w:t> Databázi profilů</w:t>
      </w:r>
      <w:r w:rsidRPr="004A1325">
        <w:rPr>
          <w:rFonts w:ascii="Arial" w:hAnsi="Arial" w:cs="Arial"/>
          <w:sz w:val="24"/>
          <w:szCs w:val="24"/>
        </w:rPr>
        <w:t xml:space="preserve"> DNA mají za účelem porovnání profilů přístup osoby uvedené v</w:t>
      </w:r>
      <w:commentRangeStart w:id="8"/>
      <w:r w:rsidRPr="004A1325">
        <w:rPr>
          <w:rFonts w:ascii="Arial" w:hAnsi="Arial" w:cs="Arial"/>
          <w:sz w:val="24"/>
          <w:szCs w:val="24"/>
        </w:rPr>
        <w:t xml:space="preserve"> § 3 odst. 4 v souvisl</w:t>
      </w:r>
      <w:r>
        <w:rPr>
          <w:rFonts w:ascii="Arial" w:hAnsi="Arial" w:cs="Arial"/>
          <w:sz w:val="24"/>
          <w:szCs w:val="24"/>
        </w:rPr>
        <w:t>osti se zpracováním</w:t>
      </w:r>
      <w:commentRangeEnd w:id="8"/>
      <w:r w:rsidR="00B940E0">
        <w:rPr>
          <w:rStyle w:val="Odkaznakoment"/>
          <w:szCs w:val="20"/>
        </w:rPr>
        <w:commentReference w:id="8"/>
      </w:r>
      <w:r>
        <w:rPr>
          <w:rFonts w:ascii="Arial" w:hAnsi="Arial" w:cs="Arial"/>
          <w:sz w:val="24"/>
          <w:szCs w:val="24"/>
        </w:rPr>
        <w:t xml:space="preserve"> znaleckého posudku nebo odborného vyjádření</w:t>
      </w:r>
      <w:r w:rsidRPr="004A1325">
        <w:rPr>
          <w:rFonts w:ascii="Arial" w:hAnsi="Arial" w:cs="Arial"/>
          <w:sz w:val="24"/>
          <w:szCs w:val="24"/>
        </w:rPr>
        <w:t>.</w:t>
      </w:r>
    </w:p>
    <w:p w:rsidR="00A71243" w:rsidRPr="00EF33DF" w:rsidRDefault="00A71243" w:rsidP="004A1325">
      <w:pPr>
        <w:pStyle w:val="Odstavecseseznamem"/>
        <w:numPr>
          <w:ilvl w:val="0"/>
          <w:numId w:val="9"/>
        </w:numPr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EF33D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Databázi profilů</w:t>
      </w:r>
      <w:r w:rsidRPr="00EF33DF">
        <w:rPr>
          <w:rFonts w:ascii="Arial" w:hAnsi="Arial" w:cs="Arial"/>
          <w:sz w:val="24"/>
          <w:szCs w:val="24"/>
        </w:rPr>
        <w:t xml:space="preserve"> DNA jsou automatizovaně zaznamenány změny provedené v jednotlivých záznamec</w:t>
      </w:r>
      <w:bookmarkStart w:id="9" w:name="_GoBack"/>
      <w:bookmarkEnd w:id="9"/>
      <w:r w:rsidRPr="00EF33DF">
        <w:rPr>
          <w:rFonts w:ascii="Arial" w:hAnsi="Arial" w:cs="Arial"/>
          <w:sz w:val="24"/>
          <w:szCs w:val="24"/>
        </w:rPr>
        <w:t>h a požadavky na prohledávání databáze či likvidaci záznamu včetně přístupového konta příjemce, který operaci provedl.</w:t>
      </w:r>
    </w:p>
    <w:p w:rsidR="00A71243" w:rsidRDefault="00A71243" w:rsidP="004A1325">
      <w:pPr>
        <w:spacing w:before="240" w:after="0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8</w:t>
      </w:r>
    </w:p>
    <w:p w:rsidR="00A71243" w:rsidRDefault="00A71243" w:rsidP="004A1325">
      <w:pPr>
        <w:spacing w:before="240" w:after="0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Likvidace </w:t>
      </w:r>
    </w:p>
    <w:p w:rsidR="00A71243" w:rsidRPr="00743831" w:rsidRDefault="00A71243" w:rsidP="004A1325">
      <w:pPr>
        <w:numPr>
          <w:ilvl w:val="0"/>
          <w:numId w:val="4"/>
        </w:numPr>
        <w:spacing w:before="240"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Policie ČR zlikviduje profily </w:t>
      </w:r>
    </w:p>
    <w:p w:rsidR="00A71243" w:rsidRPr="006825E4" w:rsidRDefault="00A71243" w:rsidP="004A1325">
      <w:pPr>
        <w:numPr>
          <w:ilvl w:val="1"/>
          <w:numId w:val="5"/>
        </w:numPr>
        <w:spacing w:before="240" w:after="0"/>
        <w:rPr>
          <w:rFonts w:ascii="Arial" w:hAnsi="Arial" w:cs="Arial"/>
          <w:sz w:val="24"/>
          <w:szCs w:val="24"/>
        </w:rPr>
      </w:pPr>
      <w:r w:rsidRPr="006825E4">
        <w:rPr>
          <w:rFonts w:ascii="Arial" w:hAnsi="Arial" w:cs="Arial"/>
          <w:sz w:val="24"/>
          <w:szCs w:val="24"/>
        </w:rPr>
        <w:t>osob obviněných</w:t>
      </w:r>
      <w:r>
        <w:rPr>
          <w:rFonts w:ascii="Arial" w:hAnsi="Arial" w:cs="Arial"/>
          <w:sz w:val="24"/>
          <w:szCs w:val="24"/>
        </w:rPr>
        <w:t xml:space="preserve"> pokud nabylo právní moci rozhodnutí ve věci samé, kterým se trestní řízení končí, pokud není důvod pro další uchovávání profilu u osoby odsouzené, </w:t>
      </w:r>
    </w:p>
    <w:p w:rsidR="00A71243" w:rsidRDefault="00A71243" w:rsidP="004A1325">
      <w:pPr>
        <w:numPr>
          <w:ilvl w:val="1"/>
          <w:numId w:val="5"/>
        </w:numPr>
        <w:spacing w:before="240" w:after="0"/>
        <w:rPr>
          <w:rFonts w:ascii="Arial" w:hAnsi="Arial" w:cs="Arial"/>
          <w:sz w:val="24"/>
          <w:szCs w:val="24"/>
        </w:rPr>
      </w:pPr>
      <w:r w:rsidRPr="006825E4">
        <w:rPr>
          <w:rFonts w:ascii="Arial" w:hAnsi="Arial" w:cs="Arial"/>
          <w:sz w:val="24"/>
          <w:szCs w:val="24"/>
        </w:rPr>
        <w:t>osob odsouzených</w:t>
      </w:r>
      <w:r>
        <w:rPr>
          <w:rFonts w:ascii="Arial" w:hAnsi="Arial" w:cs="Arial"/>
          <w:sz w:val="24"/>
          <w:szCs w:val="24"/>
        </w:rPr>
        <w:t xml:space="preserve"> a</w:t>
      </w:r>
      <w:r w:rsidRPr="006825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osob</w:t>
      </w:r>
      <w:r w:rsidRPr="00925341">
        <w:rPr>
          <w:rFonts w:ascii="Arial" w:hAnsi="Arial" w:cs="Arial"/>
          <w:sz w:val="24"/>
          <w:szCs w:val="24"/>
        </w:rPr>
        <w:t xml:space="preserve"> s uloženým ochranným léčením </w:t>
      </w:r>
      <w:r>
        <w:rPr>
          <w:rFonts w:ascii="Arial" w:hAnsi="Arial" w:cs="Arial"/>
          <w:sz w:val="24"/>
          <w:szCs w:val="24"/>
        </w:rPr>
        <w:t xml:space="preserve">nebo </w:t>
      </w:r>
      <w:r w:rsidRPr="00925341">
        <w:rPr>
          <w:rFonts w:ascii="Arial" w:hAnsi="Arial" w:cs="Arial"/>
          <w:sz w:val="24"/>
          <w:szCs w:val="24"/>
        </w:rPr>
        <w:t xml:space="preserve">zabezpečovací detencí </w:t>
      </w:r>
      <w:r>
        <w:rPr>
          <w:rFonts w:ascii="Arial" w:hAnsi="Arial" w:cs="Arial"/>
          <w:sz w:val="24"/>
          <w:szCs w:val="24"/>
        </w:rPr>
        <w:t>po uplynutí 80 let ode dne vložení profilu do databáze,</w:t>
      </w:r>
      <w:r w:rsidRPr="006825E4">
        <w:rPr>
          <w:rFonts w:ascii="Arial" w:hAnsi="Arial" w:cs="Arial"/>
          <w:sz w:val="24"/>
          <w:szCs w:val="24"/>
        </w:rPr>
        <w:t xml:space="preserve"> </w:t>
      </w:r>
    </w:p>
    <w:p w:rsidR="00A71243" w:rsidRDefault="00A71243" w:rsidP="004A1325">
      <w:pPr>
        <w:numPr>
          <w:ilvl w:val="1"/>
          <w:numId w:val="5"/>
        </w:numPr>
        <w:spacing w:before="240" w:after="0"/>
        <w:rPr>
          <w:rFonts w:ascii="Arial" w:hAnsi="Arial" w:cs="Arial"/>
          <w:sz w:val="24"/>
          <w:szCs w:val="24"/>
        </w:rPr>
      </w:pPr>
      <w:r w:rsidRPr="006825E4">
        <w:rPr>
          <w:rFonts w:ascii="Arial" w:hAnsi="Arial" w:cs="Arial"/>
          <w:sz w:val="24"/>
          <w:szCs w:val="24"/>
        </w:rPr>
        <w:t>osob neznámé totožnosti</w:t>
      </w:r>
      <w:r>
        <w:rPr>
          <w:rFonts w:ascii="Arial" w:hAnsi="Arial" w:cs="Arial"/>
          <w:sz w:val="24"/>
          <w:szCs w:val="24"/>
        </w:rPr>
        <w:t xml:space="preserve"> po </w:t>
      </w:r>
      <w:r w:rsidRPr="006825E4">
        <w:rPr>
          <w:rFonts w:ascii="Arial" w:hAnsi="Arial" w:cs="Arial"/>
          <w:sz w:val="24"/>
          <w:szCs w:val="24"/>
        </w:rPr>
        <w:t>ztotožnění osoby</w:t>
      </w:r>
      <w:r>
        <w:rPr>
          <w:rFonts w:ascii="Arial" w:hAnsi="Arial" w:cs="Arial"/>
          <w:sz w:val="24"/>
          <w:szCs w:val="24"/>
        </w:rPr>
        <w:t xml:space="preserve"> a</w:t>
      </w:r>
    </w:p>
    <w:p w:rsidR="00A71243" w:rsidRDefault="00A71243" w:rsidP="004A1325">
      <w:pPr>
        <w:numPr>
          <w:ilvl w:val="1"/>
          <w:numId w:val="5"/>
        </w:num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osob, jejichž profil je uchováván na základě souhlasu, po odvolání tohoto souhlasu nebo po odpadnutí důvodu uchovávání.</w:t>
      </w:r>
    </w:p>
    <w:p w:rsidR="00A71243" w:rsidRDefault="00A71243" w:rsidP="004A1325">
      <w:pPr>
        <w:numPr>
          <w:ilvl w:val="0"/>
          <w:numId w:val="5"/>
        </w:numPr>
        <w:spacing w:before="240" w:after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Orgány činné v trestním řízení jsou povinny informovat správce databáze do 3 pracovních dnů o pravomocném rozhodnutí </w:t>
      </w:r>
      <w:r w:rsidRPr="00FB0B0C">
        <w:rPr>
          <w:rFonts w:ascii="Arial" w:hAnsi="Arial" w:cs="Arial"/>
          <w:sz w:val="24"/>
          <w:szCs w:val="24"/>
        </w:rPr>
        <w:t>ve věci samé, kterým se trestní řízení končí</w:t>
      </w:r>
      <w:r>
        <w:rPr>
          <w:rFonts w:ascii="Arial" w:hAnsi="Arial" w:cs="Arial"/>
          <w:sz w:val="24"/>
          <w:szCs w:val="24"/>
        </w:rPr>
        <w:t xml:space="preserve">. Policie ČR provede likvidaci profilu do 7 pracovních dnů. </w:t>
      </w:r>
    </w:p>
    <w:p w:rsidR="00A71243" w:rsidRDefault="00A71243" w:rsidP="004A1325">
      <w:pPr>
        <w:numPr>
          <w:ilvl w:val="0"/>
          <w:numId w:val="5"/>
        </w:numPr>
        <w:spacing w:before="240" w:after="0"/>
        <w:ind w:left="284" w:hanging="284"/>
        <w:rPr>
          <w:rFonts w:ascii="Arial" w:hAnsi="Arial" w:cs="Arial"/>
          <w:sz w:val="24"/>
          <w:szCs w:val="24"/>
        </w:rPr>
      </w:pPr>
      <w:r w:rsidRPr="0020335F">
        <w:rPr>
          <w:rFonts w:ascii="Arial" w:hAnsi="Arial" w:cs="Arial"/>
          <w:sz w:val="24"/>
          <w:szCs w:val="24"/>
        </w:rPr>
        <w:t xml:space="preserve">Policie ČR </w:t>
      </w:r>
      <w:r>
        <w:rPr>
          <w:rFonts w:ascii="Arial" w:hAnsi="Arial" w:cs="Arial"/>
          <w:sz w:val="24"/>
          <w:szCs w:val="24"/>
        </w:rPr>
        <w:t>zlikviduje</w:t>
      </w:r>
      <w:r w:rsidRPr="001E09AF">
        <w:rPr>
          <w:rFonts w:ascii="Arial" w:hAnsi="Arial" w:cs="Arial"/>
          <w:sz w:val="24"/>
          <w:szCs w:val="24"/>
        </w:rPr>
        <w:t xml:space="preserve"> profily </w:t>
      </w:r>
      <w:r w:rsidRPr="0020335F">
        <w:rPr>
          <w:rFonts w:ascii="Arial" w:hAnsi="Arial" w:cs="Arial"/>
          <w:sz w:val="24"/>
          <w:szCs w:val="24"/>
        </w:rPr>
        <w:t>neident</w:t>
      </w:r>
      <w:r>
        <w:rPr>
          <w:rFonts w:ascii="Arial" w:hAnsi="Arial" w:cs="Arial"/>
          <w:sz w:val="24"/>
          <w:szCs w:val="24"/>
        </w:rPr>
        <w:t xml:space="preserve">ifikovaných mrtvol, částí těl, </w:t>
      </w:r>
      <w:r w:rsidRPr="0020335F">
        <w:rPr>
          <w:rFonts w:ascii="Arial" w:hAnsi="Arial" w:cs="Arial"/>
          <w:sz w:val="24"/>
          <w:szCs w:val="24"/>
        </w:rPr>
        <w:t>lidských ostatků</w:t>
      </w:r>
      <w:r>
        <w:rPr>
          <w:rFonts w:ascii="Arial" w:hAnsi="Arial" w:cs="Arial"/>
          <w:sz w:val="24"/>
          <w:szCs w:val="24"/>
        </w:rPr>
        <w:t xml:space="preserve"> a neidentifikovaných stop z místa mimořádné události</w:t>
      </w:r>
      <w:r w:rsidRPr="002033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bez zbytečného odkladu poté, </w:t>
      </w:r>
      <w:r>
        <w:rPr>
          <w:rFonts w:ascii="Arial" w:hAnsi="Arial" w:cs="Arial"/>
          <w:sz w:val="24"/>
          <w:szCs w:val="24"/>
        </w:rPr>
        <w:lastRenderedPageBreak/>
        <w:t>co dojde k jejich identifikaci. Pokud k identifikaci nedojde, zlikviduje je po uplynutí 80 let ode dne vložení profilu do databáze.</w:t>
      </w:r>
    </w:p>
    <w:p w:rsidR="00A71243" w:rsidRPr="006C28C5" w:rsidRDefault="00A71243" w:rsidP="004A1325">
      <w:pPr>
        <w:numPr>
          <w:ilvl w:val="0"/>
          <w:numId w:val="5"/>
        </w:numPr>
        <w:spacing w:before="240" w:after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Policie ČR </w:t>
      </w:r>
      <w:r w:rsidRPr="0020335F">
        <w:rPr>
          <w:rFonts w:ascii="Arial" w:hAnsi="Arial" w:cs="Arial"/>
          <w:sz w:val="24"/>
          <w:szCs w:val="24"/>
        </w:rPr>
        <w:t xml:space="preserve">zlikviduje profily získané ze stop z místa </w:t>
      </w:r>
      <w:r>
        <w:rPr>
          <w:rFonts w:ascii="Arial" w:hAnsi="Arial" w:cs="Arial"/>
          <w:sz w:val="24"/>
          <w:szCs w:val="24"/>
        </w:rPr>
        <w:t xml:space="preserve">neobjasněného trestného </w:t>
      </w:r>
      <w:r w:rsidRPr="0020335F">
        <w:rPr>
          <w:rFonts w:ascii="Arial" w:hAnsi="Arial" w:cs="Arial"/>
          <w:sz w:val="24"/>
          <w:szCs w:val="24"/>
        </w:rPr>
        <w:t xml:space="preserve">činu </w:t>
      </w:r>
      <w:r>
        <w:rPr>
          <w:rFonts w:ascii="Arial" w:hAnsi="Arial" w:cs="Arial"/>
          <w:sz w:val="24"/>
          <w:szCs w:val="24"/>
        </w:rPr>
        <w:t>po uplynutí 80 let ode dne vložení profilu do databáze.</w:t>
      </w:r>
    </w:p>
    <w:p w:rsidR="00A71243" w:rsidRPr="00610496" w:rsidRDefault="00A71243" w:rsidP="004A1325">
      <w:pPr>
        <w:spacing w:before="240" w:after="0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610496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9</w:t>
      </w:r>
    </w:p>
    <w:p w:rsidR="00A71243" w:rsidRDefault="00A71243" w:rsidP="004A1325">
      <w:pPr>
        <w:spacing w:before="240" w:after="0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20335F">
        <w:rPr>
          <w:rFonts w:ascii="Arial" w:hAnsi="Arial" w:cs="Arial"/>
          <w:b/>
          <w:sz w:val="24"/>
          <w:szCs w:val="24"/>
        </w:rPr>
        <w:t>Informační povinnost</w:t>
      </w:r>
    </w:p>
    <w:p w:rsidR="00A71243" w:rsidRDefault="00A71243" w:rsidP="004A1325">
      <w:pPr>
        <w:spacing w:before="240" w:after="0"/>
        <w:ind w:firstLine="284"/>
        <w:jc w:val="both"/>
        <w:rPr>
          <w:rFonts w:ascii="Arial" w:hAnsi="Arial" w:cs="Arial"/>
          <w:sz w:val="24"/>
          <w:szCs w:val="24"/>
        </w:rPr>
      </w:pPr>
      <w:r w:rsidRPr="0020335F">
        <w:rPr>
          <w:rFonts w:ascii="Arial" w:hAnsi="Arial" w:cs="Arial"/>
          <w:sz w:val="24"/>
          <w:szCs w:val="24"/>
        </w:rPr>
        <w:t>Policie ČR je povinna bezplatně sdělit do 15 dnů ode dne doručení žádosti skutečnost</w:t>
      </w:r>
      <w:r>
        <w:rPr>
          <w:rFonts w:ascii="Arial" w:hAnsi="Arial" w:cs="Arial"/>
          <w:sz w:val="24"/>
          <w:szCs w:val="24"/>
        </w:rPr>
        <w:t>,</w:t>
      </w:r>
      <w:r w:rsidRPr="0020335F">
        <w:rPr>
          <w:rFonts w:ascii="Arial" w:hAnsi="Arial" w:cs="Arial"/>
          <w:sz w:val="24"/>
          <w:szCs w:val="24"/>
        </w:rPr>
        <w:t xml:space="preserve"> zda je uchováván profil žadatele, vzorek žadatele a na základě jakého právního titulu se tak děje, případně kdy došlo k likvidaci vzorku nebo profilu. Žádost lze opakovat </w:t>
      </w:r>
      <w:r>
        <w:rPr>
          <w:rFonts w:ascii="Arial" w:hAnsi="Arial" w:cs="Arial"/>
          <w:sz w:val="24"/>
          <w:szCs w:val="24"/>
        </w:rPr>
        <w:t>znovu po uplynutí 6 měsíců.</w:t>
      </w:r>
    </w:p>
    <w:p w:rsidR="00A71243" w:rsidRDefault="00A71243" w:rsidP="00A25F38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A25F38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10</w:t>
      </w:r>
    </w:p>
    <w:p w:rsidR="00A71243" w:rsidRPr="00A25F38" w:rsidRDefault="00A71243" w:rsidP="00A25F38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Účinnost</w:t>
      </w:r>
    </w:p>
    <w:p w:rsidR="00A71243" w:rsidRPr="0020335F" w:rsidRDefault="00A71243" w:rsidP="0020335F">
      <w:p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zákon nabývá účinnosti dne 1. června 2016.</w:t>
      </w:r>
    </w:p>
    <w:sectPr w:rsidR="00A71243" w:rsidRPr="0020335F" w:rsidSect="00F71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an" w:date="2015-09-06T09:42:00Z" w:initials="DVK">
    <w:p w:rsidR="004D3B50" w:rsidRDefault="004D3B50">
      <w:pPr>
        <w:pStyle w:val="Textkomente"/>
      </w:pPr>
      <w:r>
        <w:rPr>
          <w:rStyle w:val="Odkaznakoment"/>
        </w:rPr>
        <w:annotationRef/>
      </w:r>
      <w:r w:rsidR="00B940E0">
        <w:t>chybí definice kontrolního vzorku</w:t>
      </w:r>
    </w:p>
  </w:comment>
  <w:comment w:id="1" w:author="Dan" w:date="2015-09-06T09:39:00Z" w:initials="DVK">
    <w:p w:rsidR="004D3B50" w:rsidRPr="004D3B50" w:rsidRDefault="004D3B50">
      <w:pPr>
        <w:pStyle w:val="Textkomente"/>
      </w:pPr>
      <w:r w:rsidRPr="004D3B50">
        <w:rPr>
          <w:rStyle w:val="Odkaznakoment"/>
          <w:sz w:val="20"/>
        </w:rPr>
        <w:annotationRef/>
      </w:r>
      <w:r w:rsidRPr="004D3B50">
        <w:t>Samozřejmě je možné analyzovat i RNA</w:t>
      </w:r>
    </w:p>
    <w:p w:rsidR="004D3B50" w:rsidRPr="004D3B50" w:rsidRDefault="004D3B50">
      <w:pPr>
        <w:pStyle w:val="Textkomente"/>
      </w:pPr>
    </w:p>
  </w:comment>
  <w:comment w:id="2" w:author="Dan" w:date="2015-09-06T09:44:00Z" w:initials="DVK">
    <w:p w:rsidR="004D3B50" w:rsidRDefault="004D3B50">
      <w:pPr>
        <w:pStyle w:val="Textkomente"/>
      </w:pPr>
      <w:r>
        <w:rPr>
          <w:rStyle w:val="Odkaznakoment"/>
        </w:rPr>
        <w:annotationRef/>
      </w:r>
      <w:r>
        <w:t xml:space="preserve">Mělo by se specifikovat, že se jedná o referenční vzorek osoby. </w:t>
      </w:r>
    </w:p>
  </w:comment>
  <w:comment w:id="3" w:author="Dan" w:date="2015-09-06T09:46:00Z" w:initials="DVK">
    <w:p w:rsidR="004D3B50" w:rsidRDefault="004D3B50">
      <w:pPr>
        <w:pStyle w:val="Textkomente"/>
      </w:pPr>
      <w:r>
        <w:rPr>
          <w:rStyle w:val="Odkaznakoment"/>
        </w:rPr>
        <w:annotationRef/>
      </w:r>
      <w:r>
        <w:t xml:space="preserve">Toto je naprostý nesmysl. Často se stává, že se k případu na žádost soudu </w:t>
      </w:r>
      <w:proofErr w:type="spellStart"/>
      <w:r>
        <w:t>ddělává</w:t>
      </w:r>
      <w:proofErr w:type="spellEnd"/>
      <w:r>
        <w:t xml:space="preserve"> nějaká analýza. Takže se logicky musí použít původní extrakt DNA. Pokud bych ho zlikvidovat, tak zabráním tomu, aby se v budoucnu objasnila třeba záměna vzorku. Nespotřebovaná izolovaná DNA by se naopak také měla archivovat!!!</w:t>
      </w:r>
    </w:p>
  </w:comment>
  <w:comment w:id="4" w:author="Dan" w:date="2015-09-06T09:48:00Z" w:initials="DVK">
    <w:p w:rsidR="004D3B50" w:rsidRDefault="004D3B50">
      <w:pPr>
        <w:pStyle w:val="Textkomente"/>
      </w:pPr>
      <w:r>
        <w:rPr>
          <w:rStyle w:val="Odkaznakoment"/>
        </w:rPr>
        <w:annotationRef/>
      </w:r>
      <w:r>
        <w:t xml:space="preserve">Toto </w:t>
      </w:r>
      <w:proofErr w:type="spellStart"/>
      <w:r>
        <w:t>jenapsáno</w:t>
      </w:r>
      <w:proofErr w:type="spellEnd"/>
      <w:r>
        <w:t xml:space="preserve"> zavádějícím způsobem. Znění by mělo být: Pokud je to možné, tak se ze stopy zajištěné na místě činu či objektu část archivuje pro budoucí přezkoumání. </w:t>
      </w:r>
      <w:r w:rsidR="00B940E0">
        <w:t>Je důležité si uvědomit, že ve většině případů je biologický materiál na nějakém nosiči.</w:t>
      </w:r>
    </w:p>
  </w:comment>
  <w:comment w:id="5" w:author="Dan" w:date="2015-09-06T09:44:00Z" w:initials="DVK">
    <w:p w:rsidR="004D3B50" w:rsidRDefault="004D3B50">
      <w:pPr>
        <w:pStyle w:val="Textkomente"/>
      </w:pPr>
      <w:r>
        <w:rPr>
          <w:rStyle w:val="Odkaznakoment"/>
        </w:rPr>
        <w:annotationRef/>
      </w:r>
      <w:r>
        <w:t>Analýzu může provádět i znalec, takže i znalec musí mít stejnou povinnost</w:t>
      </w:r>
    </w:p>
  </w:comment>
  <w:comment w:id="6" w:author="Dan" w:date="2015-09-06T09:48:00Z" w:initials="DVK">
    <w:p w:rsidR="004D3B50" w:rsidRDefault="004D3B50">
      <w:pPr>
        <w:pStyle w:val="Textkomente"/>
      </w:pPr>
      <w:r>
        <w:rPr>
          <w:rStyle w:val="Odkaznakoment"/>
        </w:rPr>
        <w:annotationRef/>
      </w:r>
      <w:r>
        <w:t>To by bylo v rozporu s trestním řádem. Rozhodovat by měl příslušný orgán činný v trestním řízení (například SZ)</w:t>
      </w:r>
    </w:p>
  </w:comment>
  <w:comment w:id="7" w:author="Dan" w:date="2015-09-06T09:50:00Z" w:initials="DVK">
    <w:p w:rsidR="00B940E0" w:rsidRDefault="00B940E0">
      <w:pPr>
        <w:pStyle w:val="Textkomente"/>
      </w:pPr>
      <w:r>
        <w:rPr>
          <w:rStyle w:val="Odkaznakoment"/>
        </w:rPr>
        <w:annotationRef/>
      </w:r>
      <w:r>
        <w:t xml:space="preserve">I do této oddělené </w:t>
      </w:r>
      <w:proofErr w:type="spellStart"/>
      <w:r>
        <w:t>dbf</w:t>
      </w:r>
      <w:proofErr w:type="spellEnd"/>
      <w:r>
        <w:t xml:space="preserve"> by měl mít přístup znalec obhajoby</w:t>
      </w:r>
    </w:p>
  </w:comment>
  <w:comment w:id="8" w:author="Dan" w:date="2015-09-06T09:51:00Z" w:initials="DVK">
    <w:p w:rsidR="00B940E0" w:rsidRDefault="00B940E0">
      <w:pPr>
        <w:pStyle w:val="Textkomente"/>
      </w:pPr>
      <w:r>
        <w:rPr>
          <w:rStyle w:val="Odkaznakoment"/>
        </w:rPr>
        <w:annotationRef/>
      </w:r>
      <w:r>
        <w:t xml:space="preserve">Musí mít přístup i do oddělené </w:t>
      </w:r>
      <w:proofErr w:type="spellStart"/>
      <w:r>
        <w:t>dbf</w:t>
      </w:r>
      <w:proofErr w:type="spellEnd"/>
      <w:r>
        <w:t xml:space="preserve"> s popisem vzorků a dalšími informacemi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0069"/>
    <w:multiLevelType w:val="multilevel"/>
    <w:tmpl w:val="0C568620"/>
    <w:lvl w:ilvl="0">
      <w:start w:val="5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79A5F58"/>
    <w:multiLevelType w:val="hybridMultilevel"/>
    <w:tmpl w:val="16B8E68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EB325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174C6DBB"/>
    <w:multiLevelType w:val="hybridMultilevel"/>
    <w:tmpl w:val="B764004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E966D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2BB15DC8"/>
    <w:multiLevelType w:val="hybridMultilevel"/>
    <w:tmpl w:val="94E6B5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8C018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384E37A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3E3A68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3F710370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">
    <w:nsid w:val="401105D4"/>
    <w:multiLevelType w:val="hybridMultilevel"/>
    <w:tmpl w:val="087837C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8C2A0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6AC679BB"/>
    <w:multiLevelType w:val="hybridMultilevel"/>
    <w:tmpl w:val="D076D7C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5BE024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3A673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78F23F74"/>
    <w:multiLevelType w:val="hybridMultilevel"/>
    <w:tmpl w:val="16B8E68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2"/>
  </w:num>
  <w:num w:numId="5">
    <w:abstractNumId w:val="11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14"/>
  </w:num>
  <w:num w:numId="11">
    <w:abstractNumId w:val="6"/>
  </w:num>
  <w:num w:numId="12">
    <w:abstractNumId w:val="2"/>
  </w:num>
  <w:num w:numId="13">
    <w:abstractNumId w:val="7"/>
  </w:num>
  <w:num w:numId="14">
    <w:abstractNumId w:val="9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CF"/>
    <w:rsid w:val="0000492F"/>
    <w:rsid w:val="00041F57"/>
    <w:rsid w:val="00062E99"/>
    <w:rsid w:val="00083AA2"/>
    <w:rsid w:val="00087554"/>
    <w:rsid w:val="00096194"/>
    <w:rsid w:val="000C0C0F"/>
    <w:rsid w:val="000C73EE"/>
    <w:rsid w:val="000D2425"/>
    <w:rsid w:val="000F4BBF"/>
    <w:rsid w:val="00120A76"/>
    <w:rsid w:val="001501E8"/>
    <w:rsid w:val="00162B40"/>
    <w:rsid w:val="00185CC0"/>
    <w:rsid w:val="001861DB"/>
    <w:rsid w:val="001A142A"/>
    <w:rsid w:val="001C694B"/>
    <w:rsid w:val="001E09AF"/>
    <w:rsid w:val="0020335F"/>
    <w:rsid w:val="00206D7E"/>
    <w:rsid w:val="00207188"/>
    <w:rsid w:val="00252514"/>
    <w:rsid w:val="00297802"/>
    <w:rsid w:val="002A422F"/>
    <w:rsid w:val="002A545A"/>
    <w:rsid w:val="002A5C1F"/>
    <w:rsid w:val="002D2F2B"/>
    <w:rsid w:val="00304168"/>
    <w:rsid w:val="00334F4D"/>
    <w:rsid w:val="00337256"/>
    <w:rsid w:val="003D5413"/>
    <w:rsid w:val="00443C41"/>
    <w:rsid w:val="00490D1B"/>
    <w:rsid w:val="0049435D"/>
    <w:rsid w:val="004A1325"/>
    <w:rsid w:val="004B3696"/>
    <w:rsid w:val="004D298D"/>
    <w:rsid w:val="004D3B50"/>
    <w:rsid w:val="00551A0E"/>
    <w:rsid w:val="005523ED"/>
    <w:rsid w:val="00552972"/>
    <w:rsid w:val="005641CF"/>
    <w:rsid w:val="00576DB9"/>
    <w:rsid w:val="005A3492"/>
    <w:rsid w:val="005A52E9"/>
    <w:rsid w:val="00610496"/>
    <w:rsid w:val="006825E4"/>
    <w:rsid w:val="006C28C5"/>
    <w:rsid w:val="006E7525"/>
    <w:rsid w:val="00743831"/>
    <w:rsid w:val="007615D6"/>
    <w:rsid w:val="0079150B"/>
    <w:rsid w:val="007B2112"/>
    <w:rsid w:val="007F4984"/>
    <w:rsid w:val="00803C3F"/>
    <w:rsid w:val="00832E3D"/>
    <w:rsid w:val="00834F8E"/>
    <w:rsid w:val="00877A95"/>
    <w:rsid w:val="00892F1E"/>
    <w:rsid w:val="00925341"/>
    <w:rsid w:val="009365F2"/>
    <w:rsid w:val="00961D71"/>
    <w:rsid w:val="00970AAF"/>
    <w:rsid w:val="00993A93"/>
    <w:rsid w:val="009F7A6E"/>
    <w:rsid w:val="00A25F38"/>
    <w:rsid w:val="00A61E72"/>
    <w:rsid w:val="00A71243"/>
    <w:rsid w:val="00AB320E"/>
    <w:rsid w:val="00AE6D64"/>
    <w:rsid w:val="00B002AE"/>
    <w:rsid w:val="00B80461"/>
    <w:rsid w:val="00B92782"/>
    <w:rsid w:val="00B940E0"/>
    <w:rsid w:val="00B9517C"/>
    <w:rsid w:val="00BE04A9"/>
    <w:rsid w:val="00C14239"/>
    <w:rsid w:val="00C15F2D"/>
    <w:rsid w:val="00C36BAA"/>
    <w:rsid w:val="00C472F4"/>
    <w:rsid w:val="00C54580"/>
    <w:rsid w:val="00C62D0E"/>
    <w:rsid w:val="00CA495D"/>
    <w:rsid w:val="00CC037A"/>
    <w:rsid w:val="00D11E5A"/>
    <w:rsid w:val="00D12BCF"/>
    <w:rsid w:val="00D1610D"/>
    <w:rsid w:val="00D52722"/>
    <w:rsid w:val="00DA474A"/>
    <w:rsid w:val="00DA6864"/>
    <w:rsid w:val="00DD0AD7"/>
    <w:rsid w:val="00E26298"/>
    <w:rsid w:val="00E600F3"/>
    <w:rsid w:val="00EA78B8"/>
    <w:rsid w:val="00EF33DF"/>
    <w:rsid w:val="00EF55D1"/>
    <w:rsid w:val="00F514C3"/>
    <w:rsid w:val="00F62FAD"/>
    <w:rsid w:val="00F7147D"/>
    <w:rsid w:val="00FA7773"/>
    <w:rsid w:val="00FB0B0C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47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0D242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D24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sz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D24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b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0D2425"/>
    <w:rPr>
      <w:rFonts w:ascii="Times New Roman" w:hAnsi="Times New Roman"/>
      <w:sz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/>
      <w:sz w:val="2"/>
      <w:lang w:eastAsia="en-US"/>
    </w:rPr>
  </w:style>
  <w:style w:type="paragraph" w:styleId="Odstavecseseznamem">
    <w:name w:val="List Paragraph"/>
    <w:basedOn w:val="Normln"/>
    <w:uiPriority w:val="99"/>
    <w:qFormat/>
    <w:rsid w:val="00877A95"/>
    <w:pPr>
      <w:ind w:left="720"/>
      <w:contextualSpacing/>
    </w:pPr>
  </w:style>
  <w:style w:type="paragraph" w:styleId="Revize">
    <w:name w:val="Revision"/>
    <w:hidden/>
    <w:uiPriority w:val="99"/>
    <w:semiHidden/>
    <w:rsid w:val="004D3B5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47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0D242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D24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sz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D24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b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0D2425"/>
    <w:rPr>
      <w:rFonts w:ascii="Times New Roman" w:hAnsi="Times New Roman"/>
      <w:sz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/>
      <w:sz w:val="2"/>
      <w:lang w:eastAsia="en-US"/>
    </w:rPr>
  </w:style>
  <w:style w:type="paragraph" w:styleId="Odstavecseseznamem">
    <w:name w:val="List Paragraph"/>
    <w:basedOn w:val="Normln"/>
    <w:uiPriority w:val="99"/>
    <w:qFormat/>
    <w:rsid w:val="00877A95"/>
    <w:pPr>
      <w:ind w:left="720"/>
      <w:contextualSpacing/>
    </w:pPr>
  </w:style>
  <w:style w:type="paragraph" w:styleId="Revize">
    <w:name w:val="Revision"/>
    <w:hidden/>
    <w:uiPriority w:val="99"/>
    <w:semiHidden/>
    <w:rsid w:val="004D3B5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76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1090</Words>
  <Characters>6381</Characters>
  <Application>Microsoft Office Word</Application>
  <DocSecurity>0</DocSecurity>
  <Lines>354</Lines>
  <Paragraphs>158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ZÁKON</vt:lpstr>
    </vt:vector>
  </TitlesOfParts>
  <Company>Microsoft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</dc:title>
  <dc:creator>Vaio</dc:creator>
  <cp:lastModifiedBy>Dan</cp:lastModifiedBy>
  <cp:revision>3</cp:revision>
  <dcterms:created xsi:type="dcterms:W3CDTF">2015-09-06T07:38:00Z</dcterms:created>
  <dcterms:modified xsi:type="dcterms:W3CDTF">2015-09-06T07:53:00Z</dcterms:modified>
</cp:coreProperties>
</file>