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CF0E9" w14:textId="6479787F" w:rsidR="00785D03" w:rsidRPr="002D78DE" w:rsidRDefault="002B41EB" w:rsidP="002B41EB">
      <w:pPr>
        <w:jc w:val="right"/>
        <w:rPr>
          <w:b/>
          <w:sz w:val="28"/>
          <w:szCs w:val="28"/>
        </w:rPr>
      </w:pPr>
      <w:bookmarkStart w:id="0" w:name="_GoBack"/>
      <w:bookmarkEnd w:id="0"/>
      <w:r>
        <w:rPr>
          <w:b/>
          <w:sz w:val="28"/>
          <w:szCs w:val="28"/>
        </w:rPr>
        <w:t>III.</w:t>
      </w:r>
      <w:r w:rsidR="0031302C">
        <w:rPr>
          <w:b/>
          <w:sz w:val="28"/>
          <w:szCs w:val="28"/>
        </w:rPr>
        <w:t xml:space="preserve"> </w:t>
      </w:r>
    </w:p>
    <w:p w14:paraId="3A22E3B3" w14:textId="77777777" w:rsidR="00785D03" w:rsidRPr="002D78DE" w:rsidRDefault="00785D03" w:rsidP="00785D03">
      <w:pPr>
        <w:jc w:val="center"/>
        <w:rPr>
          <w:b/>
          <w:sz w:val="28"/>
          <w:szCs w:val="28"/>
        </w:rPr>
      </w:pPr>
    </w:p>
    <w:p w14:paraId="678627B0" w14:textId="77777777" w:rsidR="00785D03" w:rsidRPr="002D78DE" w:rsidRDefault="00785D03" w:rsidP="00785D03">
      <w:pPr>
        <w:jc w:val="center"/>
        <w:rPr>
          <w:b/>
          <w:sz w:val="28"/>
          <w:szCs w:val="28"/>
        </w:rPr>
      </w:pPr>
    </w:p>
    <w:p w14:paraId="20AD66BA" w14:textId="77777777" w:rsidR="00785D03" w:rsidRPr="002D78DE" w:rsidRDefault="00785D03" w:rsidP="00785D03">
      <w:pPr>
        <w:jc w:val="center"/>
        <w:rPr>
          <w:b/>
          <w:sz w:val="28"/>
          <w:szCs w:val="28"/>
        </w:rPr>
      </w:pPr>
    </w:p>
    <w:p w14:paraId="66BD5C83" w14:textId="77777777" w:rsidR="00785D03" w:rsidRPr="002D78DE" w:rsidRDefault="00785D03" w:rsidP="00785D03">
      <w:pPr>
        <w:jc w:val="center"/>
        <w:rPr>
          <w:b/>
          <w:sz w:val="28"/>
          <w:szCs w:val="28"/>
        </w:rPr>
      </w:pPr>
    </w:p>
    <w:p w14:paraId="0993076D" w14:textId="77777777" w:rsidR="00785D03" w:rsidRPr="002D78DE" w:rsidRDefault="00785D03" w:rsidP="00785D03">
      <w:pPr>
        <w:jc w:val="center"/>
        <w:rPr>
          <w:b/>
          <w:sz w:val="28"/>
          <w:szCs w:val="28"/>
        </w:rPr>
      </w:pPr>
    </w:p>
    <w:p w14:paraId="1CDE213B" w14:textId="77777777" w:rsidR="00813620" w:rsidRPr="002D78DE" w:rsidRDefault="00813620" w:rsidP="00785D03">
      <w:pPr>
        <w:jc w:val="center"/>
        <w:rPr>
          <w:b/>
          <w:sz w:val="28"/>
          <w:szCs w:val="28"/>
        </w:rPr>
      </w:pPr>
    </w:p>
    <w:p w14:paraId="374AB49A" w14:textId="77777777" w:rsidR="00785D03" w:rsidRPr="002D78DE" w:rsidRDefault="00785D03" w:rsidP="00785D03">
      <w:pPr>
        <w:jc w:val="center"/>
        <w:rPr>
          <w:b/>
          <w:sz w:val="28"/>
          <w:szCs w:val="28"/>
        </w:rPr>
      </w:pPr>
    </w:p>
    <w:p w14:paraId="45E27CE4" w14:textId="77777777" w:rsidR="00813620" w:rsidRPr="002D78DE" w:rsidRDefault="00813620" w:rsidP="00785D03">
      <w:pPr>
        <w:jc w:val="center"/>
        <w:rPr>
          <w:b/>
          <w:sz w:val="28"/>
          <w:szCs w:val="28"/>
        </w:rPr>
      </w:pPr>
    </w:p>
    <w:p w14:paraId="47FF5947" w14:textId="77777777" w:rsidR="00785D03" w:rsidRPr="002D78DE" w:rsidRDefault="00785D03" w:rsidP="00785D03">
      <w:pPr>
        <w:jc w:val="center"/>
        <w:rPr>
          <w:b/>
          <w:sz w:val="28"/>
          <w:szCs w:val="28"/>
        </w:rPr>
      </w:pPr>
    </w:p>
    <w:p w14:paraId="2A10D0C3" w14:textId="77777777" w:rsidR="00785D03" w:rsidRPr="002D78DE" w:rsidRDefault="00785D03" w:rsidP="00785D03">
      <w:pPr>
        <w:jc w:val="center"/>
        <w:rPr>
          <w:b/>
          <w:sz w:val="28"/>
          <w:szCs w:val="28"/>
        </w:rPr>
      </w:pPr>
    </w:p>
    <w:p w14:paraId="548930CD" w14:textId="38EFF232" w:rsidR="00785D03" w:rsidRPr="002D78DE" w:rsidRDefault="00785D03" w:rsidP="00785D03">
      <w:pPr>
        <w:pStyle w:val="Nzev"/>
        <w:rPr>
          <w:sz w:val="40"/>
        </w:rPr>
      </w:pPr>
      <w:r w:rsidRPr="002D78DE">
        <w:rPr>
          <w:sz w:val="40"/>
        </w:rPr>
        <w:t xml:space="preserve">NÁVRH VĚCNÉHO ZÁMĚRU </w:t>
      </w:r>
      <w:r w:rsidR="00A03FF9">
        <w:rPr>
          <w:sz w:val="40"/>
        </w:rPr>
        <w:t>ZÁKONA O</w:t>
      </w:r>
      <w:r w:rsidR="005D3F18">
        <w:rPr>
          <w:sz w:val="40"/>
        </w:rPr>
        <w:t> </w:t>
      </w:r>
      <w:r w:rsidR="00A03FF9">
        <w:rPr>
          <w:sz w:val="40"/>
        </w:rPr>
        <w:t>HROMADNÝCH ŽALOBÁCH</w:t>
      </w:r>
    </w:p>
    <w:p w14:paraId="2E2213B2" w14:textId="0DA0A29B" w:rsidR="00785D03" w:rsidRPr="002D78DE" w:rsidRDefault="00785D03" w:rsidP="00785D03">
      <w:pPr>
        <w:jc w:val="center"/>
        <w:rPr>
          <w:sz w:val="32"/>
          <w:szCs w:val="32"/>
        </w:rPr>
      </w:pPr>
      <w:r w:rsidRPr="002D78DE">
        <w:rPr>
          <w:sz w:val="32"/>
          <w:szCs w:val="32"/>
        </w:rPr>
        <w:t>(dále jen jako „věcný záměr“)</w:t>
      </w:r>
    </w:p>
    <w:p w14:paraId="6C5A6ABA" w14:textId="77777777" w:rsidR="00785D03" w:rsidRPr="002D78DE" w:rsidRDefault="00785D03" w:rsidP="00785D03">
      <w:pPr>
        <w:jc w:val="center"/>
        <w:rPr>
          <w:b/>
          <w:sz w:val="32"/>
          <w:szCs w:val="32"/>
        </w:rPr>
      </w:pPr>
    </w:p>
    <w:p w14:paraId="63BD6451" w14:textId="77777777" w:rsidR="00785D03" w:rsidRPr="002D78DE" w:rsidRDefault="00785D03" w:rsidP="00785D03">
      <w:pPr>
        <w:rPr>
          <w:b/>
          <w:sz w:val="32"/>
          <w:szCs w:val="32"/>
        </w:rPr>
      </w:pPr>
      <w:r w:rsidRPr="002D78DE">
        <w:rPr>
          <w:b/>
          <w:sz w:val="32"/>
          <w:szCs w:val="32"/>
        </w:rPr>
        <w:br w:type="page"/>
      </w:r>
    </w:p>
    <w:p w14:paraId="6CCC6F7C" w14:textId="1C7DBE9A" w:rsidR="00785D03" w:rsidRPr="002D78DE" w:rsidRDefault="00785D03" w:rsidP="00785D03">
      <w:pPr>
        <w:pStyle w:val="Nzev"/>
      </w:pPr>
      <w:r w:rsidRPr="002D78DE">
        <w:lastRenderedPageBreak/>
        <w:t xml:space="preserve">STRUKTURA VĚCNÉHO ZÁMĚRU </w:t>
      </w:r>
      <w:r w:rsidR="00C908FD">
        <w:t>zákona o hromadných žalobách</w:t>
      </w:r>
    </w:p>
    <w:p w14:paraId="7622C1E4" w14:textId="77777777" w:rsidR="003373E6" w:rsidRPr="003373E6" w:rsidRDefault="003373E6" w:rsidP="003373E6">
      <w:pPr>
        <w:pStyle w:val="Nadpis1"/>
      </w:pPr>
      <w:r w:rsidRPr="003373E6">
        <w:t>K potřebě právní úpravy</w:t>
      </w:r>
    </w:p>
    <w:p w14:paraId="77BBA8A4" w14:textId="01839836" w:rsidR="000E684B" w:rsidRDefault="000E684B" w:rsidP="009E542C">
      <w:r>
        <w:t xml:space="preserve">Základním cílem předkládané právní úpravy je zavést prostředek </w:t>
      </w:r>
      <w:r w:rsidR="00866620">
        <w:t>–</w:t>
      </w:r>
      <w:r>
        <w:t xml:space="preserve"> procesní nástroj, který </w:t>
      </w:r>
      <w:r w:rsidR="00866620">
        <w:t xml:space="preserve">reálně </w:t>
      </w:r>
      <w:r>
        <w:t>umožní velké skupině osob se stejným nebo velmi obdobným nárokem uplatňovat svá práva společně v jednom jediném řízení. Výrazným způsobem se tím ušetří náklady na straně žalobců (jeden soudní poplatek, jeden znalecký posudek, jeden advokát atd.), na straně žalovaného (</w:t>
      </w:r>
      <w:r w:rsidR="00CE79D0">
        <w:t>nebude muset hradit náklady řízení stovkám žalobců, náklady protistrany pokryje odměna advokáta</w:t>
      </w:r>
      <w:r>
        <w:t xml:space="preserve">) i na straně státu (jediný soudce odklidí všechny spory v jednom soudním řízení, důkazy se budou provádět jen jednou, svědci se budou vyslýchat jen jednou, atd.). </w:t>
      </w:r>
    </w:p>
    <w:p w14:paraId="3ECCC0B1" w14:textId="77777777" w:rsidR="009E542C" w:rsidRDefault="009E542C" w:rsidP="009E542C"/>
    <w:p w14:paraId="58FE976D" w14:textId="03D6B441" w:rsidR="003373E6" w:rsidRDefault="003373E6" w:rsidP="009E542C">
      <w:r>
        <w:t xml:space="preserve">Vzhledem k důležitosti navrhované právní úpravy se v úvodu věcného záměru navrhuje před závorku vytknout několik poznámek, které pomohou </w:t>
      </w:r>
      <w:r w:rsidR="00A35E1C">
        <w:t xml:space="preserve">k </w:t>
      </w:r>
      <w:r>
        <w:t xml:space="preserve">pochopení předkládaného materiálu </w:t>
      </w:r>
      <w:r w:rsidR="00CF0AF1">
        <w:t>a </w:t>
      </w:r>
      <w:r>
        <w:t>zasazení institutu hromadných žalob do kontextu dnešní doby.</w:t>
      </w:r>
    </w:p>
    <w:p w14:paraId="50092576" w14:textId="77777777" w:rsidR="009E542C" w:rsidRDefault="009E542C" w:rsidP="009E542C"/>
    <w:p w14:paraId="30730D96" w14:textId="3D937B46" w:rsidR="00CE79D0" w:rsidRDefault="000E684B" w:rsidP="009E542C">
      <w:r>
        <w:t>Nastíněno bude předně, co je primárním impulzem, který vede státy k zavedení kolektivní žaloby. Následovat bude stručné shrnutí, proč se vymezený problém nedaří řešit klasickými způsoby vymáhání práva a jaké jsou alternativní způsoby jeho řešení, které však</w:t>
      </w:r>
      <w:r w:rsidR="00CE79D0">
        <w:t xml:space="preserve"> v určitých ohledech selhávají. V neposlední řadě budou shrnuty základní námitky, které mohou být proti navrhované právní úpravě vznášeny, doplněné o argumenty, které tyto obavy vyvrací. </w:t>
      </w:r>
    </w:p>
    <w:p w14:paraId="09EEED92" w14:textId="77777777" w:rsidR="009E542C" w:rsidRDefault="009E542C" w:rsidP="009E542C"/>
    <w:p w14:paraId="0E9D0A20" w14:textId="7B04842C" w:rsidR="000E684B" w:rsidRDefault="00CE79D0" w:rsidP="009E542C">
      <w:r>
        <w:t xml:space="preserve">Ve světle těchto podkladů </w:t>
      </w:r>
      <w:r w:rsidR="000E684B">
        <w:t>bude v závěru kapitoly zřejmé, že jediný institut, který může k </w:t>
      </w:r>
      <w:r w:rsidR="00157E4B">
        <w:t>uspokojení</w:t>
      </w:r>
      <w:r w:rsidR="000E684B">
        <w:t xml:space="preserve"> </w:t>
      </w:r>
      <w:r w:rsidR="00157E4B">
        <w:t>společenské poptávky vést, jsou právě hromadné žaloby</w:t>
      </w:r>
      <w:r>
        <w:t xml:space="preserve"> v navrhované podobě</w:t>
      </w:r>
      <w:r w:rsidR="00157E4B">
        <w:t>.</w:t>
      </w:r>
    </w:p>
    <w:p w14:paraId="18D23C0B" w14:textId="66168E7E" w:rsidR="003373E6" w:rsidRDefault="003373E6" w:rsidP="003373E6">
      <w:pPr>
        <w:pStyle w:val="Nadpis2"/>
      </w:pPr>
      <w:r>
        <w:t>Geneze problému</w:t>
      </w:r>
    </w:p>
    <w:p w14:paraId="5E9A39B0" w14:textId="5ECDDCA8" w:rsidR="002F18A9" w:rsidRDefault="00157E4B" w:rsidP="009E542C">
      <w:r>
        <w:t>Na první pohled je p</w:t>
      </w:r>
      <w:r w:rsidR="00BB1247">
        <w:t xml:space="preserve">otřeba zavedení kolektivního nástroje ochrany individuální práv </w:t>
      </w:r>
      <w:r w:rsidR="00A35E1C">
        <w:t>otázkou posledních let. Ve skutečnosti jde však o výsledek dlouhodobého procesu</w:t>
      </w:r>
      <w:r w:rsidR="00BB1247">
        <w:t xml:space="preserve">, který započal v 18. </w:t>
      </w:r>
      <w:r w:rsidR="002F18A9">
        <w:t xml:space="preserve">století </w:t>
      </w:r>
      <w:r w:rsidR="00BB1247">
        <w:t xml:space="preserve">s počátky průmyslové revoluce. Tehdy došlo ke klíčové změně v zemědělské </w:t>
      </w:r>
      <w:r w:rsidR="00866620">
        <w:t>i </w:t>
      </w:r>
      <w:r w:rsidR="00BB1247">
        <w:t>průmyslové produkci, která ovlivnila budoucí vývoj lidské civilizace. Z ruční výroby založené na lidské síle a práci jednotlivce se v průběhu průmyslové revoluce přešlo k tovární velkovýrobě za pomoci strojů</w:t>
      </w:r>
      <w:r w:rsidR="003373E6">
        <w:t>, které byly schopny</w:t>
      </w:r>
      <w:r w:rsidR="00BB1247">
        <w:t xml:space="preserve"> v jeden časový okamžik vyrobit </w:t>
      </w:r>
      <w:r w:rsidR="002F18A9">
        <w:t>stovky stejných produktů, mnohem více, než si člověk do té doby dokázal kdy představit</w:t>
      </w:r>
      <w:r w:rsidR="00BB1247">
        <w:t xml:space="preserve">. </w:t>
      </w:r>
    </w:p>
    <w:p w14:paraId="61371B4A" w14:textId="161BA6B3" w:rsidR="002F18A9" w:rsidRDefault="00BB1247" w:rsidP="009E542C">
      <w:r>
        <w:lastRenderedPageBreak/>
        <w:t xml:space="preserve">Proces industrializace </w:t>
      </w:r>
      <w:r w:rsidR="002F18A9">
        <w:t>pokračoval v 19. a 20.</w:t>
      </w:r>
      <w:r>
        <w:t xml:space="preserve"> století, kdy </w:t>
      </w:r>
      <w:r w:rsidR="002F18A9">
        <w:t>se kromě změny způsobu výroby objevila řada vynálezů a patentů, jež do značné mí</w:t>
      </w:r>
      <w:r w:rsidR="003373E6">
        <w:t>ry usnadnily</w:t>
      </w:r>
      <w:r w:rsidR="002F18A9">
        <w:t xml:space="preserve"> život jednotlivci. Přidala se také technologická revoluce a globalizace, které přispěly k vytvoření konzumní společnosti, jak ji známe dnes. </w:t>
      </w:r>
      <w:r w:rsidR="00D57901">
        <w:t xml:space="preserve">Do budoucna lze předpokládat další prohlubování trendu zvyšování produktivity práce a dostupnosti </w:t>
      </w:r>
      <w:r w:rsidR="007D4874">
        <w:t>služeb, kter</w:t>
      </w:r>
      <w:r w:rsidR="00544329">
        <w:t>ý</w:t>
      </w:r>
      <w:r w:rsidR="007D4874">
        <w:t xml:space="preserve"> j</w:t>
      </w:r>
      <w:r w:rsidR="00544329">
        <w:t>e spojen</w:t>
      </w:r>
      <w:r w:rsidR="007D4874">
        <w:t xml:space="preserve"> zejména s rozvojem digitální</w:t>
      </w:r>
      <w:r w:rsidR="007D4874">
        <w:rPr>
          <w:rStyle w:val="Znakapoznpodarou"/>
          <w:b/>
        </w:rPr>
        <w:footnoteReference w:id="1"/>
      </w:r>
      <w:r w:rsidR="007D4874">
        <w:t xml:space="preserve"> a sdílené ekonomiky.</w:t>
      </w:r>
    </w:p>
    <w:p w14:paraId="2E1CBB61" w14:textId="77777777" w:rsidR="009E542C" w:rsidRDefault="009E542C" w:rsidP="009E542C"/>
    <w:p w14:paraId="54C1DFEF" w14:textId="791CFA45" w:rsidR="003373E6" w:rsidRDefault="00BA1C4C" w:rsidP="009E542C">
      <w:r>
        <w:t xml:space="preserve">Jde o vývoj lidské společnosti, který s sebou přinesl nespočet pozitivních dopadů. </w:t>
      </w:r>
      <w:r w:rsidR="006F79B6">
        <w:t xml:space="preserve">Došlo </w:t>
      </w:r>
      <w:r w:rsidR="00525E95">
        <w:t> k </w:t>
      </w:r>
      <w:r w:rsidR="006F79B6">
        <w:t>v</w:t>
      </w:r>
      <w:r w:rsidR="00A5449B">
        <w:t>ýrazné</w:t>
      </w:r>
      <w:r w:rsidR="006F79B6">
        <w:t>mu</w:t>
      </w:r>
      <w:r w:rsidR="00A5449B">
        <w:t xml:space="preserve"> zvýšení životní úrovně</w:t>
      </w:r>
      <w:r w:rsidR="00786151">
        <w:t xml:space="preserve"> jednotlivce, </w:t>
      </w:r>
      <w:r w:rsidR="006F79B6">
        <w:t>k usnadnění jeho života či</w:t>
      </w:r>
      <w:r w:rsidR="00786151">
        <w:t xml:space="preserve"> prodloužení průměrné délky živo</w:t>
      </w:r>
      <w:r w:rsidR="006F79B6">
        <w:t xml:space="preserve">ta. </w:t>
      </w:r>
      <w:r w:rsidR="002F18A9">
        <w:t xml:space="preserve">Tlak na uspokojení potřeb </w:t>
      </w:r>
      <w:r w:rsidR="006F79B6">
        <w:t xml:space="preserve">co nejširšího počtu lidí však také </w:t>
      </w:r>
      <w:r w:rsidR="002F18A9">
        <w:t xml:space="preserve">vedl k tomu, že </w:t>
      </w:r>
      <w:r w:rsidR="00BB1247">
        <w:t xml:space="preserve">výrobu </w:t>
      </w:r>
      <w:r w:rsidR="00786151">
        <w:t xml:space="preserve">ve velké míře </w:t>
      </w:r>
      <w:r w:rsidR="00CF0AF1">
        <w:t xml:space="preserve">zajišťují </w:t>
      </w:r>
      <w:r w:rsidR="00BB1247">
        <w:t xml:space="preserve">velké obchodní </w:t>
      </w:r>
      <w:r w:rsidR="00CF0AF1">
        <w:t>korporace</w:t>
      </w:r>
      <w:r w:rsidR="002F18A9">
        <w:t xml:space="preserve">. </w:t>
      </w:r>
      <w:r w:rsidR="006F79B6">
        <w:t>Vzhledem k množství konzumentů a uspokojení jejich poptávky se tyto společnosti začaly soustředit na produkování co největšího množství</w:t>
      </w:r>
      <w:r w:rsidR="002F18A9">
        <w:t xml:space="preserve"> výrobků, ať už potravin, běžného spotřebního a bílého </w:t>
      </w:r>
      <w:r w:rsidR="00786151">
        <w:t>zboží či aut</w:t>
      </w:r>
      <w:r w:rsidR="002F18A9">
        <w:t xml:space="preserve">, v co nejkratší době. Tyto společnosti v dnešní době </w:t>
      </w:r>
      <w:r w:rsidR="003B5984">
        <w:t xml:space="preserve">bez nadsázky </w:t>
      </w:r>
      <w:r w:rsidR="002F18A9">
        <w:t xml:space="preserve">ovládají </w:t>
      </w:r>
      <w:r w:rsidR="006F79B6">
        <w:t>celosvětovou produkci</w:t>
      </w:r>
      <w:r w:rsidR="002F18A9">
        <w:t xml:space="preserve"> </w:t>
      </w:r>
      <w:r w:rsidR="00CF0AF1">
        <w:t>–</w:t>
      </w:r>
      <w:r w:rsidR="002F18A9">
        <w:t xml:space="preserve"> z úspory energie, lidské práce</w:t>
      </w:r>
      <w:r w:rsidR="00786151">
        <w:t>, z důvodu velkovýroby</w:t>
      </w:r>
      <w:r w:rsidR="002F18A9">
        <w:t xml:space="preserve"> a z</w:t>
      </w:r>
      <w:r w:rsidR="00786151">
        <w:t xml:space="preserve"> optimalizace nákladů dokáží národní i nadnárodní giganti získávat obrovské finanční prostředky, které se následně </w:t>
      </w:r>
      <w:r w:rsidR="006F79B6">
        <w:t xml:space="preserve">kumulují v rukou několika osob. </w:t>
      </w:r>
    </w:p>
    <w:p w14:paraId="1F4D3AB4" w14:textId="77777777" w:rsidR="009E542C" w:rsidRDefault="009E542C" w:rsidP="009E542C"/>
    <w:p w14:paraId="03DF14C5" w14:textId="67BA27FE" w:rsidR="00A35E1C" w:rsidRDefault="00984AC5" w:rsidP="009E542C">
      <w:r>
        <w:t>Tlak na rychlost a množství produkce a zároveň i touha po maximaliz</w:t>
      </w:r>
      <w:r w:rsidR="00A5449B">
        <w:t xml:space="preserve">aci zisku </w:t>
      </w:r>
      <w:r w:rsidR="006F79B6">
        <w:t xml:space="preserve">přirozeně </w:t>
      </w:r>
      <w:r w:rsidR="00A5449B">
        <w:t>motivují společnosti</w:t>
      </w:r>
      <w:r>
        <w:t xml:space="preserve"> k tomu,</w:t>
      </w:r>
      <w:r w:rsidR="00D82861">
        <w:t xml:space="preserve"> aby</w:t>
      </w:r>
      <w:r>
        <w:t xml:space="preserve"> zboží</w:t>
      </w:r>
      <w:r w:rsidR="00D82861">
        <w:t xml:space="preserve"> vyráběly ve velkém</w:t>
      </w:r>
      <w:r w:rsidR="006F79B6">
        <w:t xml:space="preserve"> a co nejrychleji</w:t>
      </w:r>
      <w:r>
        <w:t xml:space="preserve">. Produkují se tisíce stejných či podobných výrobků, které </w:t>
      </w:r>
      <w:r w:rsidR="00A35E1C">
        <w:t>neoplývají dlouhou životností</w:t>
      </w:r>
      <w:r w:rsidR="00525E95">
        <w:t xml:space="preserve"> a opravitelností</w:t>
      </w:r>
      <w:r w:rsidR="006F79B6">
        <w:t>. Kvalita musela ustoupit kvantitě</w:t>
      </w:r>
      <w:r w:rsidR="008815C8">
        <w:t>,</w:t>
      </w:r>
      <w:r w:rsidR="006F79B6">
        <w:t xml:space="preserve"> a</w:t>
      </w:r>
      <w:r>
        <w:t xml:space="preserve"> lidé jsou ta</w:t>
      </w:r>
      <w:r w:rsidR="003B5984">
        <w:t>k nuceni k</w:t>
      </w:r>
      <w:r w:rsidR="00A35E1C">
        <w:t xml:space="preserve"> časté obměně</w:t>
      </w:r>
      <w:r w:rsidR="006F79B6">
        <w:t xml:space="preserve"> zboží. K tomu se </w:t>
      </w:r>
      <w:r w:rsidR="008815C8">
        <w:t xml:space="preserve">tu a tam </w:t>
      </w:r>
      <w:r w:rsidR="006F79B6">
        <w:t xml:space="preserve">přidávají </w:t>
      </w:r>
      <w:r w:rsidR="00A35E1C">
        <w:t xml:space="preserve">jednání </w:t>
      </w:r>
      <w:r w:rsidR="00525E95">
        <w:t>a </w:t>
      </w:r>
      <w:r w:rsidR="006F79B6">
        <w:t>praktiky na hranici zákona</w:t>
      </w:r>
      <w:r w:rsidR="00A35E1C">
        <w:t>.</w:t>
      </w:r>
    </w:p>
    <w:p w14:paraId="70D1C349" w14:textId="77777777" w:rsidR="009E542C" w:rsidRDefault="009E542C" w:rsidP="009E542C"/>
    <w:p w14:paraId="55A84DBC" w14:textId="7368A2B9" w:rsidR="006F79B6" w:rsidRDefault="006F79B6" w:rsidP="009E542C">
      <w:r>
        <w:t xml:space="preserve">Jde o přirozený vývoj spojený se změnou ve </w:t>
      </w:r>
      <w:r w:rsidR="008815C8">
        <w:t>výrobě</w:t>
      </w:r>
      <w:r>
        <w:t xml:space="preserve"> a </w:t>
      </w:r>
      <w:r w:rsidR="008815C8">
        <w:t xml:space="preserve">moderním životním stylem, na nějž není nutné nahlížet </w:t>
      </w:r>
      <w:r w:rsidR="00E454AF">
        <w:t>pouze</w:t>
      </w:r>
      <w:r w:rsidR="00525E95">
        <w:t xml:space="preserve"> </w:t>
      </w:r>
      <w:r w:rsidR="008815C8">
        <w:t>n</w:t>
      </w:r>
      <w:r>
        <w:t>egativně.</w:t>
      </w:r>
      <w:r w:rsidR="008815C8">
        <w:t xml:space="preserve"> Přesto vyvolává ve společnosti jistou nerovnováhu, která může v konkrétních případech dosáhnout nespravedlivých rozměrů.</w:t>
      </w:r>
    </w:p>
    <w:p w14:paraId="3A3DB4B1" w14:textId="77777777" w:rsidR="009E542C" w:rsidRDefault="009E542C" w:rsidP="009E542C"/>
    <w:p w14:paraId="54275C0A" w14:textId="0EFAD5E8" w:rsidR="00A35E1C" w:rsidRDefault="00A35E1C" w:rsidP="009E542C">
      <w:r>
        <w:t>Z mnoha příkladů,</w:t>
      </w:r>
      <w:r w:rsidR="00742781">
        <w:t xml:space="preserve"> kdy se nerovnováha mezi účastníky právních vztahů přehoupla přes pomyslnou hranici snesitelnosti, </w:t>
      </w:r>
      <w:r>
        <w:t xml:space="preserve">lze zmínit </w:t>
      </w:r>
      <w:r w:rsidR="00157E4B">
        <w:t>kupříkladu</w:t>
      </w:r>
      <w:r>
        <w:t xml:space="preserve"> nezákonné bankovní poplatky</w:t>
      </w:r>
      <w:r w:rsidR="00742781">
        <w:rPr>
          <w:rStyle w:val="Znakapoznpodarou"/>
          <w:b/>
        </w:rPr>
        <w:footnoteReference w:id="2"/>
      </w:r>
      <w:r w:rsidR="00742781">
        <w:t xml:space="preserve"> </w:t>
      </w:r>
      <w:r w:rsidR="00157E4B">
        <w:t xml:space="preserve">nebo </w:t>
      </w:r>
      <w:r w:rsidR="00742781">
        <w:t xml:space="preserve">některé </w:t>
      </w:r>
      <w:r>
        <w:t>praktiky mobilních operátorů</w:t>
      </w:r>
      <w:r w:rsidR="00742781">
        <w:rPr>
          <w:rStyle w:val="Znakapoznpodarou"/>
          <w:b/>
        </w:rPr>
        <w:footnoteReference w:id="3"/>
      </w:r>
      <w:r>
        <w:t xml:space="preserve">. Hovoří se </w:t>
      </w:r>
      <w:r w:rsidR="00742781">
        <w:t xml:space="preserve">dále </w:t>
      </w:r>
      <w:r>
        <w:t>o aféře</w:t>
      </w:r>
      <w:r w:rsidR="00157E4B">
        <w:t xml:space="preserve"> týkající se uváděných/skutečných emisí z aut koncernu</w:t>
      </w:r>
      <w:r w:rsidR="00742781">
        <w:t xml:space="preserve"> Volkswagen, tzv. Dieselgate</w:t>
      </w:r>
      <w:r w:rsidR="00833273">
        <w:t>.</w:t>
      </w:r>
      <w:r w:rsidR="00742781">
        <w:rPr>
          <w:rStyle w:val="Znakapoznpodarou"/>
          <w:b/>
        </w:rPr>
        <w:footnoteReference w:id="4"/>
      </w:r>
      <w:r w:rsidR="00833273">
        <w:t xml:space="preserve"> V poslední době </w:t>
      </w:r>
      <w:r w:rsidR="00157E4B">
        <w:t>jde také</w:t>
      </w:r>
      <w:r w:rsidR="00833273">
        <w:t xml:space="preserve"> o testy</w:t>
      </w:r>
      <w:r w:rsidR="00157E4B">
        <w:t xml:space="preserve"> Ministerstva zemědělství</w:t>
      </w:r>
      <w:r w:rsidR="00833273">
        <w:t>, které prokázaly rozdíln</w:t>
      </w:r>
      <w:r w:rsidR="00742781">
        <w:t>ou kvalitu potravin v rámci EU</w:t>
      </w:r>
      <w:r w:rsidR="00742781">
        <w:rPr>
          <w:rStyle w:val="Znakapoznpodarou"/>
          <w:b/>
        </w:rPr>
        <w:footnoteReference w:id="5"/>
      </w:r>
      <w:r w:rsidR="00833273">
        <w:t xml:space="preserve"> anebo o dlouhotrvající problém s tzv. šmejdy. </w:t>
      </w:r>
      <w:r w:rsidR="00E454AF">
        <w:t xml:space="preserve">Existuje nespočet obdobných </w:t>
      </w:r>
      <w:r w:rsidR="00833273">
        <w:t>případů, kdy výrobci či podni</w:t>
      </w:r>
      <w:r w:rsidR="00A5449B">
        <w:t xml:space="preserve">katelé </w:t>
      </w:r>
      <w:r w:rsidR="00742781">
        <w:t xml:space="preserve">těží ze svého </w:t>
      </w:r>
      <w:r w:rsidR="00A5449B">
        <w:t xml:space="preserve">postavení </w:t>
      </w:r>
      <w:r w:rsidR="003B5984">
        <w:t xml:space="preserve">silnější strany </w:t>
      </w:r>
      <w:r w:rsidR="00A5449B">
        <w:t>a</w:t>
      </w:r>
      <w:r w:rsidR="00742781">
        <w:t xml:space="preserve"> mnohdy</w:t>
      </w:r>
      <w:r w:rsidR="00833273">
        <w:t xml:space="preserve"> vědomě produkují zboží</w:t>
      </w:r>
      <w:r w:rsidR="00E454AF">
        <w:t xml:space="preserve"> či služby</w:t>
      </w:r>
      <w:r w:rsidR="00833273">
        <w:t xml:space="preserve">, které </w:t>
      </w:r>
      <w:r w:rsidR="00E454AF">
        <w:t>nejen nevykazují patřičnou kvalitu, ale dokonce působí osobám újmu</w:t>
      </w:r>
      <w:r w:rsidR="00742781">
        <w:t>.</w:t>
      </w:r>
      <w:r w:rsidR="00742781">
        <w:rPr>
          <w:rStyle w:val="Znakapoznpodarou"/>
          <w:b/>
        </w:rPr>
        <w:footnoteReference w:id="6"/>
      </w:r>
    </w:p>
    <w:p w14:paraId="6C49B6CD" w14:textId="77777777" w:rsidR="009E542C" w:rsidRDefault="009E542C" w:rsidP="009E542C"/>
    <w:p w14:paraId="101F8A54" w14:textId="05D28E6D" w:rsidR="00606759" w:rsidRDefault="00606759" w:rsidP="009E542C">
      <w:r>
        <w:t xml:space="preserve">Nejde však jen o přímé škody na příjemcích zboží a služeb. Zapomínat nelze totiž ani na další externality, kterými jsou především dopady na životní prostředí. České republice se </w:t>
      </w:r>
      <w:r w:rsidR="00157E4B">
        <w:t xml:space="preserve">naštěstí </w:t>
      </w:r>
      <w:r>
        <w:t>doposud zásadní ekologická katastrofa</w:t>
      </w:r>
      <w:r w:rsidR="00157E4B">
        <w:t xml:space="preserve"> vyhýbá </w:t>
      </w:r>
      <w:r w:rsidR="00E454AF">
        <w:t>–</w:t>
      </w:r>
      <w:r w:rsidR="00157E4B">
        <w:t xml:space="preserve"> zmínit lze </w:t>
      </w:r>
      <w:r w:rsidR="003B5984">
        <w:t>kupříkladu</w:t>
      </w:r>
      <w:r>
        <w:t xml:space="preserve"> drobnější úniky chemikálií z neratovické Spolany</w:t>
      </w:r>
      <w:r w:rsidR="00742781">
        <w:rPr>
          <w:rStyle w:val="Znakapoznpodarou"/>
          <w:b/>
        </w:rPr>
        <w:footnoteReference w:id="7"/>
      </w:r>
      <w:r>
        <w:t xml:space="preserve"> či dlouhodobý problém se znečištěným ovzduším ve vybraných lokalitách</w:t>
      </w:r>
      <w:r w:rsidR="00157E4B">
        <w:t xml:space="preserve"> s </w:t>
      </w:r>
      <w:r w:rsidR="00E454AF">
        <w:t>průmyslovou výrobou</w:t>
      </w:r>
      <w:r w:rsidR="00742781">
        <w:rPr>
          <w:rStyle w:val="Znakapoznpodarou"/>
          <w:b/>
        </w:rPr>
        <w:footnoteReference w:id="8"/>
      </w:r>
      <w:r w:rsidR="00157E4B">
        <w:t>. V</w:t>
      </w:r>
      <w:r>
        <w:t xml:space="preserve"> zahraničí však již mnohé katastrofy zapříčinily </w:t>
      </w:r>
      <w:r w:rsidR="00157E4B">
        <w:t>újmu mnoha tisícům lidí a nevratné škody na životním prostředí (nedávno např. havárie ropné plošiny BP v Mexickém zálivu</w:t>
      </w:r>
      <w:r w:rsidR="00742781">
        <w:rPr>
          <w:rStyle w:val="Znakapoznpodarou"/>
          <w:b/>
        </w:rPr>
        <w:footnoteReference w:id="9"/>
      </w:r>
      <w:r w:rsidR="00157E4B">
        <w:t xml:space="preserve"> či výbuch jaderné elektrárny v japonském městě Fukushima</w:t>
      </w:r>
      <w:r w:rsidR="00742781">
        <w:rPr>
          <w:rStyle w:val="Znakapoznpodarou"/>
          <w:b/>
        </w:rPr>
        <w:footnoteReference w:id="10"/>
      </w:r>
      <w:hyperlink r:id="rId8" w:history="1"/>
      <w:r w:rsidR="00157E4B">
        <w:t>)</w:t>
      </w:r>
      <w:r>
        <w:t>.</w:t>
      </w:r>
    </w:p>
    <w:p w14:paraId="62F6C1C5" w14:textId="77777777" w:rsidR="009E542C" w:rsidRDefault="009E542C" w:rsidP="009E542C"/>
    <w:p w14:paraId="608EC270" w14:textId="79AE8DE9" w:rsidR="00984AC5" w:rsidRDefault="00742781" w:rsidP="009E542C">
      <w:r>
        <w:t>Jak vidno, negativní externality pokroku, zrychlení života a zvýšení životní úrovně obyvatelstva jsou nepopiratelným faktem, s</w:t>
      </w:r>
      <w:r w:rsidR="00625213">
        <w:t> </w:t>
      </w:r>
      <w:r w:rsidR="00B1411E">
        <w:t>nímž</w:t>
      </w:r>
      <w:r w:rsidR="00625213">
        <w:t xml:space="preserve"> se musí Česká republika i ostatní země světa </w:t>
      </w:r>
      <w:r>
        <w:t xml:space="preserve">potýkat. Jakkoliv jde přitom o jev veskrze neúmyslný či dokonce přirozený, není možné </w:t>
      </w:r>
      <w:r w:rsidR="00E454AF">
        <w:t>rezignovat na jeho zohlednění formou adekvátní právní regulace</w:t>
      </w:r>
      <w:r>
        <w:t>.</w:t>
      </w:r>
    </w:p>
    <w:p w14:paraId="7ECD3463" w14:textId="0C2A2292" w:rsidR="00984AC5" w:rsidRDefault="00C31309" w:rsidP="00984AC5">
      <w:pPr>
        <w:pStyle w:val="Nadpis2"/>
      </w:pPr>
      <w:r>
        <w:t xml:space="preserve">Nefungující samoregulace </w:t>
      </w:r>
      <w:r w:rsidR="008B52DA">
        <w:t xml:space="preserve">na straně podnikatelů </w:t>
      </w:r>
      <w:r>
        <w:t>a problém racionální apatie</w:t>
      </w:r>
    </w:p>
    <w:p w14:paraId="3B31DCB3" w14:textId="30455069" w:rsidR="00C31309" w:rsidRDefault="00742781" w:rsidP="009E542C">
      <w:r>
        <w:t xml:space="preserve">S rozhodující </w:t>
      </w:r>
      <w:r w:rsidR="003075FF">
        <w:t>úlohou</w:t>
      </w:r>
      <w:r w:rsidR="003373E6">
        <w:t xml:space="preserve"> </w:t>
      </w:r>
      <w:r>
        <w:t>obchodních</w:t>
      </w:r>
      <w:r w:rsidR="003373E6">
        <w:t xml:space="preserve"> korporací a tím, že </w:t>
      </w:r>
      <w:r>
        <w:t>obrovskou měrou profitují</w:t>
      </w:r>
      <w:r w:rsidR="003373E6">
        <w:t xml:space="preserve"> z</w:t>
      </w:r>
      <w:r>
        <w:t> průmyslového vývoje</w:t>
      </w:r>
      <w:r w:rsidR="003373E6">
        <w:t>,</w:t>
      </w:r>
      <w:r w:rsidR="003075FF">
        <w:t xml:space="preserve"> </w:t>
      </w:r>
      <w:r>
        <w:t xml:space="preserve">někteří spojují </w:t>
      </w:r>
      <w:r w:rsidR="008B52DA">
        <w:t xml:space="preserve">určitou </w:t>
      </w:r>
      <w:r>
        <w:t>odpovědnost</w:t>
      </w:r>
      <w:r w:rsidR="003373E6">
        <w:t>. Jde o zvláštní institut společenské odpovědnosti, označovaný jako společenská odpovědnost společností (</w:t>
      </w:r>
      <w:r w:rsidR="003373E6" w:rsidRPr="003373E6">
        <w:rPr>
          <w:i/>
        </w:rPr>
        <w:t>Corporate Social Responsibility</w:t>
      </w:r>
      <w:r w:rsidR="00984AC5">
        <w:t xml:space="preserve"> </w:t>
      </w:r>
      <w:r w:rsidR="00E454AF">
        <w:t>–</w:t>
      </w:r>
      <w:r w:rsidR="00984AC5">
        <w:t xml:space="preserve"> CS</w:t>
      </w:r>
      <w:r w:rsidR="003373E6">
        <w:t>R)</w:t>
      </w:r>
      <w:r w:rsidR="00984AC5">
        <w:t>.</w:t>
      </w:r>
      <w:r w:rsidR="003075FF">
        <w:t xml:space="preserve"> </w:t>
      </w:r>
      <w:r w:rsidR="00757031">
        <w:t>Podle ní mají obchodní korporace do svého byznys plánu zahrnout i takové úkoly či cíle</w:t>
      </w:r>
      <w:r w:rsidR="00E454AF">
        <w:t>,</w:t>
      </w:r>
      <w:r w:rsidR="00757031">
        <w:t xml:space="preserve"> jako je striktní dodržování práva, morá</w:t>
      </w:r>
      <w:r w:rsidR="003B5984">
        <w:t>lních a společenských standardů;</w:t>
      </w:r>
      <w:r w:rsidR="00757031">
        <w:t xml:space="preserve"> mají brát ohled na blaho společnosti i životního prostředí.  </w:t>
      </w:r>
      <w:r w:rsidR="008B52DA">
        <w:t>Tato teorie by zásadně měla a mohla výše uvedené negativní důsledky vývoje určitým samospádem vyřešit. Je však nutné si uvědomit, že není pro obchodní společnosti zcela přirozené, aby do svých obchodn</w:t>
      </w:r>
      <w:r w:rsidR="00574E6A">
        <w:t>ích plánů a strategií zahrnovaly</w:t>
      </w:r>
      <w:r w:rsidR="008B52DA">
        <w:t xml:space="preserve"> také ohled na </w:t>
      </w:r>
      <w:r w:rsidR="00574E6A">
        <w:t>celo</w:t>
      </w:r>
      <w:r w:rsidR="008B52DA">
        <w:t xml:space="preserve">společenské blaho </w:t>
      </w:r>
      <w:r w:rsidR="00E454AF">
        <w:t>–</w:t>
      </w:r>
      <w:r w:rsidR="008B52DA">
        <w:t xml:space="preserve"> jejich primárním cílem je maximalizace zisku.</w:t>
      </w:r>
      <w:r w:rsidR="008B52DA">
        <w:rPr>
          <w:rStyle w:val="Znakapoznpodarou"/>
          <w:b/>
        </w:rPr>
        <w:footnoteReference w:id="11"/>
      </w:r>
      <w:r w:rsidR="008B52DA">
        <w:t xml:space="preserve"> </w:t>
      </w:r>
      <w:r w:rsidR="00574E6A">
        <w:t>Rovněž</w:t>
      </w:r>
      <w:r w:rsidR="008B52DA">
        <w:t xml:space="preserve"> </w:t>
      </w:r>
      <w:r w:rsidR="00574E6A">
        <w:t>realita</w:t>
      </w:r>
      <w:r w:rsidR="003B5984">
        <w:t xml:space="preserve"> 20. </w:t>
      </w:r>
      <w:r w:rsidR="00E454AF">
        <w:t>a </w:t>
      </w:r>
      <w:r w:rsidR="00786151">
        <w:t xml:space="preserve">počátku 21. </w:t>
      </w:r>
      <w:r w:rsidR="008B52DA">
        <w:t>s</w:t>
      </w:r>
      <w:r w:rsidR="00786151">
        <w:t>toletí</w:t>
      </w:r>
      <w:r w:rsidR="008B52DA">
        <w:t xml:space="preserve"> ukázal</w:t>
      </w:r>
      <w:r w:rsidR="00574E6A">
        <w:t>a</w:t>
      </w:r>
      <w:r w:rsidR="00786151">
        <w:t>,</w:t>
      </w:r>
      <w:r w:rsidR="008B52DA">
        <w:t xml:space="preserve"> že pouze výjimečně</w:t>
      </w:r>
      <w:r w:rsidR="003075FF">
        <w:t xml:space="preserve"> jsou </w:t>
      </w:r>
      <w:r w:rsidR="00574E6A">
        <w:t>podnikatelé ochotni</w:t>
      </w:r>
      <w:r w:rsidR="00757031">
        <w:t xml:space="preserve"> </w:t>
      </w:r>
      <w:r w:rsidR="00574E6A">
        <w:t xml:space="preserve">zásadně </w:t>
      </w:r>
      <w:r w:rsidR="00757031">
        <w:t xml:space="preserve">přizpůsobit své jednání uvedeným </w:t>
      </w:r>
      <w:r w:rsidR="008B52DA">
        <w:t>morálním příkazům</w:t>
      </w:r>
      <w:r w:rsidR="00757031">
        <w:t xml:space="preserve">. </w:t>
      </w:r>
      <w:r w:rsidR="008B52DA">
        <w:t>S</w:t>
      </w:r>
      <w:r w:rsidR="00757031">
        <w:t>amoregulace korporací</w:t>
      </w:r>
      <w:r w:rsidR="008B52DA">
        <w:t xml:space="preserve"> tak</w:t>
      </w:r>
      <w:r w:rsidR="00757031">
        <w:t xml:space="preserve"> ne</w:t>
      </w:r>
      <w:r w:rsidR="00C57F79">
        <w:t xml:space="preserve">ní dostačujícím mechanismem k odstranění </w:t>
      </w:r>
      <w:r w:rsidR="008B52DA">
        <w:t xml:space="preserve">nejzásadnějších nespravedlností a </w:t>
      </w:r>
      <w:r w:rsidR="00574E6A">
        <w:t xml:space="preserve">dosažení jisté </w:t>
      </w:r>
      <w:r w:rsidR="00757031">
        <w:t>rovnováhy ve společnosti.</w:t>
      </w:r>
      <w:r w:rsidR="00C31309" w:rsidRPr="00C31309">
        <w:t xml:space="preserve"> </w:t>
      </w:r>
    </w:p>
    <w:p w14:paraId="2F74809A" w14:textId="77777777" w:rsidR="009E542C" w:rsidRDefault="009E542C" w:rsidP="009E542C"/>
    <w:p w14:paraId="5EAD5934" w14:textId="6E2A9499" w:rsidR="00C31309" w:rsidRDefault="00C31309" w:rsidP="009E542C">
      <w:r>
        <w:t xml:space="preserve">Vzhledem k tomu, že důsledky </w:t>
      </w:r>
      <w:r w:rsidR="00574E6A">
        <w:t>podnikatelské</w:t>
      </w:r>
      <w:r>
        <w:t xml:space="preserve"> činnosti mají primárně soukromoprávní dopady, je dalším nejvhodnějším řešením </w:t>
      </w:r>
      <w:r w:rsidR="00934115">
        <w:t>individuální vymáhání práv samotnými účastníky soukromoprávních vztahů</w:t>
      </w:r>
      <w:r>
        <w:t xml:space="preserve">. </w:t>
      </w:r>
      <w:r w:rsidR="00574E6A">
        <w:t>V</w:t>
      </w:r>
      <w:r>
        <w:t> českém právním řád</w:t>
      </w:r>
      <w:r w:rsidR="00934115">
        <w:t>u</w:t>
      </w:r>
      <w:r>
        <w:t xml:space="preserve"> </w:t>
      </w:r>
      <w:r w:rsidR="00574E6A">
        <w:t xml:space="preserve">tak </w:t>
      </w:r>
      <w:r w:rsidR="00934115">
        <w:t xml:space="preserve">existuje </w:t>
      </w:r>
      <w:r w:rsidR="00B1411E">
        <w:t>široká škála</w:t>
      </w:r>
      <w:r>
        <w:t xml:space="preserve"> soukromoprávních nároků, které odráží výše uvedené</w:t>
      </w:r>
      <w:r w:rsidR="00934115">
        <w:t xml:space="preserve">. Ochrana slabší strany, spotřebitelské právo, </w:t>
      </w:r>
      <w:r w:rsidR="003B5984">
        <w:t>ochrana před nekalou soutěží</w:t>
      </w:r>
      <w:r w:rsidR="0063357B">
        <w:t xml:space="preserve">, </w:t>
      </w:r>
      <w:r w:rsidR="00934115">
        <w:t>obecná odpovědnost za škodu, zvláštní typy odpovědnosti (</w:t>
      </w:r>
      <w:r w:rsidR="00B1411E">
        <w:t>za škodu způsobenou</w:t>
      </w:r>
      <w:r w:rsidR="00934115">
        <w:t xml:space="preserve"> provozní činností,</w:t>
      </w:r>
      <w:r w:rsidR="00B1411E">
        <w:t xml:space="preserve"> za škodu způsobenou</w:t>
      </w:r>
      <w:r w:rsidR="00934115">
        <w:t xml:space="preserve"> v dopravě, </w:t>
      </w:r>
      <w:r w:rsidR="00B1411E">
        <w:t>za škodu</w:t>
      </w:r>
      <w:r w:rsidR="00934115">
        <w:t xml:space="preserve"> způsobená vadou výrobku</w:t>
      </w:r>
      <w:r w:rsidR="00B1411E">
        <w:t xml:space="preserve">, </w:t>
      </w:r>
      <w:r w:rsidR="00934115">
        <w:t>za vady</w:t>
      </w:r>
      <w:r w:rsidR="00B1411E">
        <w:t xml:space="preserve"> apod.)</w:t>
      </w:r>
      <w:r w:rsidR="00934115">
        <w:t xml:space="preserve">, nároky na zdržení se protiprávního jednání či vydání bezdůvodného obohacení </w:t>
      </w:r>
      <w:r w:rsidR="00FE5B11">
        <w:t>–</w:t>
      </w:r>
      <w:r w:rsidR="00934115">
        <w:t xml:space="preserve"> všechny tyto instituty mohou, jsou</w:t>
      </w:r>
      <w:r w:rsidR="003B5984">
        <w:t>-li</w:t>
      </w:r>
      <w:r w:rsidR="00934115">
        <w:t xml:space="preserve"> skutečně vymáhány a uplatňovány u soudu, </w:t>
      </w:r>
      <w:r w:rsidR="007464EE">
        <w:t>nepřímo moderovat</w:t>
      </w:r>
      <w:r w:rsidR="00574E6A">
        <w:t xml:space="preserve"> přirozené chování silnější strany</w:t>
      </w:r>
      <w:r w:rsidR="00934115">
        <w:t>.</w:t>
      </w:r>
    </w:p>
    <w:p w14:paraId="23766C37" w14:textId="77777777" w:rsidR="009E542C" w:rsidRDefault="009E542C" w:rsidP="009E542C"/>
    <w:p w14:paraId="7B30B28E" w14:textId="723ABB79" w:rsidR="00BB1247" w:rsidRDefault="0063357B" w:rsidP="009E542C">
      <w:r w:rsidRPr="007464EE">
        <w:t>Jak se nicméně u</w:t>
      </w:r>
      <w:r>
        <w:t xml:space="preserve">kazuje, ani tato cesta nevede </w:t>
      </w:r>
      <w:r w:rsidR="00574E6A">
        <w:t>k požadovanému výsledku</w:t>
      </w:r>
      <w:r>
        <w:t>. Nejde ani tak o to, že by se pošk</w:t>
      </w:r>
      <w:r w:rsidR="00B11F74">
        <w:t xml:space="preserve">ození chtěli svých nároků vzdát. </w:t>
      </w:r>
      <w:r w:rsidR="007464EE">
        <w:t>N</w:t>
      </w:r>
      <w:r w:rsidR="00B1411E">
        <w:t xml:space="preserve">euplatňují je z důvodu tzv. </w:t>
      </w:r>
      <w:r w:rsidR="00B1411E" w:rsidRPr="00EA33C2">
        <w:t>racionální apatie</w:t>
      </w:r>
      <w:r w:rsidR="00B1411E">
        <w:t>. U</w:t>
      </w:r>
      <w:r>
        <w:t>plat</w:t>
      </w:r>
      <w:r w:rsidR="00B1411E">
        <w:t xml:space="preserve">ňování těchto nároků totiž </w:t>
      </w:r>
      <w:r>
        <w:t>není</w:t>
      </w:r>
      <w:r w:rsidR="00B1411E">
        <w:t xml:space="preserve"> ve většině případů</w:t>
      </w:r>
      <w:r>
        <w:t xml:space="preserve"> ekonomicky </w:t>
      </w:r>
      <w:r w:rsidR="00A5449B">
        <w:t>výhodné</w:t>
      </w:r>
      <w:r>
        <w:t xml:space="preserve">. Jak již bylo uvedeno, </w:t>
      </w:r>
      <w:r w:rsidR="007464EE">
        <w:t xml:space="preserve">dnešní </w:t>
      </w:r>
      <w:r>
        <w:t xml:space="preserve">konzumní společnost je založena na produkci týž nebo obdobných věcí za relativně nízké ceny. </w:t>
      </w:r>
      <w:r w:rsidR="00B11F74">
        <w:t>V</w:t>
      </w:r>
      <w:r w:rsidR="00B1411E">
        <w:t>ady či poškození výrobků tak</w:t>
      </w:r>
      <w:r>
        <w:t xml:space="preserve"> </w:t>
      </w:r>
      <w:r w:rsidR="00FE5B11">
        <w:t>nemusejí dosahovat značné výše</w:t>
      </w:r>
      <w:r>
        <w:t xml:space="preserve">. </w:t>
      </w:r>
      <w:r w:rsidR="00B11F74">
        <w:t xml:space="preserve">Kupříkladu </w:t>
      </w:r>
      <w:r w:rsidR="00FE5B11">
        <w:t>u </w:t>
      </w:r>
      <w:r>
        <w:t xml:space="preserve">bankovních poplatků či pochybného postupu mobilních operátorů </w:t>
      </w:r>
      <w:r w:rsidR="00B1411E">
        <w:t>jde</w:t>
      </w:r>
      <w:r>
        <w:t xml:space="preserve"> o škody v řádu desítek, max. stovek korun. V případě vadných dílů bílé elektroniky </w:t>
      </w:r>
      <w:r w:rsidR="00B11F74">
        <w:t>dosahují</w:t>
      </w:r>
      <w:r>
        <w:t xml:space="preserve"> škody stovek, max. tisíců korun. </w:t>
      </w:r>
      <w:r w:rsidR="003B5984">
        <w:t xml:space="preserve">Podíváme-li se </w:t>
      </w:r>
      <w:r w:rsidR="00B1411E">
        <w:t>pak</w:t>
      </w:r>
      <w:r>
        <w:t xml:space="preserve"> </w:t>
      </w:r>
      <w:r w:rsidR="003B5984">
        <w:t xml:space="preserve">na </w:t>
      </w:r>
      <w:r>
        <w:t xml:space="preserve">jednoduchou rovnici, kdy na jedné straně je způsobená škoda, na straně druhé </w:t>
      </w:r>
      <w:r w:rsidR="00B11F74">
        <w:t>odměna</w:t>
      </w:r>
      <w:r>
        <w:t xml:space="preserve"> advokáta,</w:t>
      </w:r>
      <w:r w:rsidR="00B11F74">
        <w:t xml:space="preserve"> měsíce a roky soudního řízení a stres s tím spojený</w:t>
      </w:r>
      <w:r>
        <w:t xml:space="preserve"> </w:t>
      </w:r>
      <w:r w:rsidR="00FE5B11">
        <w:t>–</w:t>
      </w:r>
      <w:r>
        <w:t xml:space="preserve"> je výsledek poměrně jednoznačný. Škody do určité výše se </w:t>
      </w:r>
      <w:r w:rsidR="007464EE">
        <w:t xml:space="preserve">jednoduše </w:t>
      </w:r>
      <w:r>
        <w:t>ne</w:t>
      </w:r>
      <w:r w:rsidR="00A5449B">
        <w:t>vy</w:t>
      </w:r>
      <w:r>
        <w:t>platí</w:t>
      </w:r>
      <w:r w:rsidR="00FE5B11">
        <w:t xml:space="preserve"> za stávajícího stavu</w:t>
      </w:r>
      <w:r>
        <w:t xml:space="preserve"> vymáhat.</w:t>
      </w:r>
    </w:p>
    <w:p w14:paraId="11222C69" w14:textId="77777777" w:rsidR="009E542C" w:rsidRDefault="009E542C" w:rsidP="009E542C"/>
    <w:p w14:paraId="6C890579" w14:textId="5A9040A5" w:rsidR="0063357B" w:rsidRDefault="003B5984" w:rsidP="009E542C">
      <w:r>
        <w:t>P</w:t>
      </w:r>
      <w:r w:rsidR="0063357B">
        <w:t xml:space="preserve">ři produkci mnoha tisíců výrobků a poskytování služeb ve velkém </w:t>
      </w:r>
      <w:r w:rsidR="00B1411E">
        <w:t>rozsahu</w:t>
      </w:r>
      <w:r>
        <w:t xml:space="preserve"> však</w:t>
      </w:r>
      <w:r w:rsidR="00B1411E">
        <w:t xml:space="preserve"> d</w:t>
      </w:r>
      <w:r w:rsidR="0063357B">
        <w:t xml:space="preserve">ochází </w:t>
      </w:r>
      <w:r w:rsidR="00B1411E">
        <w:t xml:space="preserve">z celospolečenského pohledu </w:t>
      </w:r>
      <w:r w:rsidR="0063357B">
        <w:t xml:space="preserve">ke kumulaci všech individuálních škod a </w:t>
      </w:r>
      <w:r w:rsidR="00B1411E">
        <w:t>celková újma dosahuje závratné výše</w:t>
      </w:r>
      <w:r w:rsidR="0063357B">
        <w:t>. Úměrně tomu se zvyšují i zisky</w:t>
      </w:r>
      <w:r w:rsidR="00FE5B11">
        <w:t xml:space="preserve"> zejména</w:t>
      </w:r>
      <w:r w:rsidR="0063357B">
        <w:t xml:space="preserve"> na straně </w:t>
      </w:r>
      <w:r w:rsidR="00FE5B11">
        <w:t>některých korporací</w:t>
      </w:r>
      <w:r w:rsidR="0063357B">
        <w:t xml:space="preserve">, </w:t>
      </w:r>
      <w:r w:rsidR="00FE5B11">
        <w:t>jejichž závadnému jednání se nedostává adekvátní reakce ze strany poškozených osob.</w:t>
      </w:r>
      <w:r w:rsidR="00D57901">
        <w:t xml:space="preserve"> V důsledku toho nejsou ani náležitě motivovány ke změně svého nežádoucího chování.</w:t>
      </w:r>
    </w:p>
    <w:p w14:paraId="5579A4AF" w14:textId="16C5E4C5" w:rsidR="00984AC5" w:rsidRPr="003373E6" w:rsidRDefault="00C57F79" w:rsidP="00984AC5">
      <w:pPr>
        <w:pStyle w:val="Nadpis2"/>
      </w:pPr>
      <w:r>
        <w:t>Alternativní způsoby řešení</w:t>
      </w:r>
      <w:r w:rsidR="00B11F74">
        <w:t>, které selhávají</w:t>
      </w:r>
    </w:p>
    <w:p w14:paraId="55298EA7" w14:textId="2B4B3B6A" w:rsidR="00711FF2" w:rsidRDefault="00B1411E" w:rsidP="009E542C">
      <w:r>
        <w:t xml:space="preserve">Je </w:t>
      </w:r>
      <w:r w:rsidR="007464EE">
        <w:t>proto</w:t>
      </w:r>
      <w:r>
        <w:t xml:space="preserve"> nutné hledat jiná, alternativní řešení.</w:t>
      </w:r>
    </w:p>
    <w:p w14:paraId="670E74FC" w14:textId="77777777" w:rsidR="009E542C" w:rsidRDefault="009E542C" w:rsidP="009E542C"/>
    <w:p w14:paraId="6EBA2E89" w14:textId="6B0CD0EE" w:rsidR="00E241B9" w:rsidRDefault="00757031" w:rsidP="009E542C">
      <w:r>
        <w:t xml:space="preserve">V úvahu přichází </w:t>
      </w:r>
      <w:r w:rsidR="00C57F79">
        <w:t xml:space="preserve">zejména veřejnoprávní zásah státu. </w:t>
      </w:r>
      <w:r w:rsidR="00B1411E">
        <w:t>Státní</w:t>
      </w:r>
      <w:r w:rsidR="00C57F79">
        <w:t xml:space="preserve"> regulace </w:t>
      </w:r>
      <w:r w:rsidR="009C33F8">
        <w:t>je pochopitelně nedílnou součástí právního řádu</w:t>
      </w:r>
      <w:r w:rsidR="00C57F79">
        <w:t xml:space="preserve">, neboť stát má imanentní zájem na odstranění negativních důsledků </w:t>
      </w:r>
      <w:r w:rsidR="00FE5B11">
        <w:t xml:space="preserve">technologického </w:t>
      </w:r>
      <w:r w:rsidR="00C57F79">
        <w:t>pokroku. Činnost státu přitom může mít podobu přímé regulace a dohledu (Česká obchodní inspekce, Inspekce životního prostředí, Státní úřad pro kontrolu léčiv</w:t>
      </w:r>
      <w:r w:rsidR="007D4874">
        <w:t>, Úřad pro ochranu hospodářské soutěže</w:t>
      </w:r>
      <w:r w:rsidR="00C57F79">
        <w:t xml:space="preserve"> atd.) anebo může jít o podporu nepřímou (dotace neziskovým organizacím apod.). </w:t>
      </w:r>
      <w:r w:rsidR="009C33F8">
        <w:t>P</w:t>
      </w:r>
      <w:r w:rsidR="00E241B9">
        <w:t>roblém, na ně</w:t>
      </w:r>
      <w:r w:rsidR="00B11F74">
        <w:t>j</w:t>
      </w:r>
      <w:r w:rsidR="00E241B9">
        <w:t xml:space="preserve">ž se snaží předkládaný návrh reagovat, je </w:t>
      </w:r>
      <w:r w:rsidR="009C33F8">
        <w:t>nicméně</w:t>
      </w:r>
      <w:r w:rsidR="00E241B9">
        <w:t xml:space="preserve"> problémem</w:t>
      </w:r>
      <w:r w:rsidR="009C33F8">
        <w:t xml:space="preserve"> primárně</w:t>
      </w:r>
      <w:r w:rsidR="00E241B9">
        <w:t xml:space="preserve"> soukromoprávním. </w:t>
      </w:r>
      <w:r w:rsidR="00C57F79">
        <w:t xml:space="preserve">Státní zásahy by tak měly být velmi omezené a soustředit se především na </w:t>
      </w:r>
      <w:r w:rsidR="00E241B9">
        <w:t>dodržování</w:t>
      </w:r>
      <w:r w:rsidR="00C57F79">
        <w:t xml:space="preserve"> veřejno-právních předpisů.</w:t>
      </w:r>
      <w:r w:rsidR="00E241B9">
        <w:t xml:space="preserve"> Stát v první řadě dohlíží na to, že produkty a služby odpovídají sektorové r</w:t>
      </w:r>
      <w:r w:rsidR="009C33F8">
        <w:t>egulaci. Naopak</w:t>
      </w:r>
      <w:r w:rsidR="00E241B9">
        <w:t xml:space="preserve"> však</w:t>
      </w:r>
      <w:r w:rsidR="009C33F8">
        <w:t xml:space="preserve"> není</w:t>
      </w:r>
      <w:r w:rsidR="00E241B9">
        <w:t xml:space="preserve"> v jeho možnostech zcela zamezit vzniku škod</w:t>
      </w:r>
      <w:r w:rsidR="007464EE">
        <w:t xml:space="preserve"> na straně </w:t>
      </w:r>
      <w:r w:rsidR="003B5984">
        <w:t>jednotlivců</w:t>
      </w:r>
      <w:r w:rsidR="00E241B9">
        <w:t xml:space="preserve">. To může být toliko vedlejším produktem jeho hlavní činnosti, což, jak se ukazuje, </w:t>
      </w:r>
      <w:r w:rsidR="000D2D2C">
        <w:t xml:space="preserve">v praxi </w:t>
      </w:r>
      <w:r w:rsidR="00E241B9">
        <w:t>nestačí.</w:t>
      </w:r>
    </w:p>
    <w:p w14:paraId="30AAD445" w14:textId="77777777" w:rsidR="009E542C" w:rsidRDefault="009E542C" w:rsidP="009E542C"/>
    <w:p w14:paraId="141CA5B6" w14:textId="738F4B51" w:rsidR="00757031" w:rsidRDefault="00E241B9" w:rsidP="009E542C">
      <w:r>
        <w:t xml:space="preserve">Vedle státu se na ochraně před systematickým poškozováním jednotlivce </w:t>
      </w:r>
      <w:r w:rsidR="009C33F8">
        <w:t>podílejí</w:t>
      </w:r>
      <w:r>
        <w:t xml:space="preserve"> nezisk</w:t>
      </w:r>
      <w:r w:rsidR="007464EE">
        <w:t xml:space="preserve">ové organizace. Jejich působení, </w:t>
      </w:r>
      <w:r>
        <w:t>na</w:t>
      </w:r>
      <w:r w:rsidR="00B11F74">
        <w:t>př</w:t>
      </w:r>
      <w:r w:rsidR="009C33F8">
        <w:t>íklad</w:t>
      </w:r>
      <w:r w:rsidR="00B11F74">
        <w:t xml:space="preserve"> na</w:t>
      </w:r>
      <w:r>
        <w:t xml:space="preserve"> poli spotřebitelského práva či ochrany životního prostředí</w:t>
      </w:r>
      <w:r w:rsidR="007464EE">
        <w:t>,</w:t>
      </w:r>
      <w:r>
        <w:t xml:space="preserve"> nepochybně přispívá k určité stabilizaci a zlepšení stávajícího stavu. J</w:t>
      </w:r>
      <w:r w:rsidR="000D2D2C">
        <w:t xml:space="preserve">de o formu realizace </w:t>
      </w:r>
      <w:r>
        <w:t xml:space="preserve">občanské společnosti, kdy </w:t>
      </w:r>
      <w:r w:rsidR="000D2D2C">
        <w:t xml:space="preserve">se </w:t>
      </w:r>
      <w:r>
        <w:t>jednotlivci sami sdružují, aby kolektivně hájili práva určitých skupin.</w:t>
      </w:r>
      <w:r w:rsidR="000D2D2C">
        <w:t xml:space="preserve"> </w:t>
      </w:r>
      <w:r w:rsidR="00B11F74">
        <w:t>Působí buď v individuálních případech ex post (bezplatná právní pomoc lidem, kterým již vznikla škoda), anebo se snaží ve vybraných oblastech zabránit či předejít porušování práva (</w:t>
      </w:r>
      <w:r w:rsidR="00EA33C2">
        <w:t xml:space="preserve">mediální </w:t>
      </w:r>
      <w:r w:rsidR="00B11F74">
        <w:t xml:space="preserve">tlak na vybrané korporace, činnost odborových organizací atd.). </w:t>
      </w:r>
      <w:r w:rsidR="000D2D2C">
        <w:t xml:space="preserve">Opět jde však jen </w:t>
      </w:r>
      <w:r w:rsidR="00FE5B11">
        <w:t>o </w:t>
      </w:r>
      <w:r w:rsidR="000D2D2C">
        <w:t xml:space="preserve">doplněk, který dokáže řešit </w:t>
      </w:r>
      <w:r w:rsidR="00B11F74">
        <w:t xml:space="preserve">toliko </w:t>
      </w:r>
      <w:r w:rsidR="000D2D2C">
        <w:t xml:space="preserve">vybrané </w:t>
      </w:r>
      <w:r w:rsidR="00B11F74">
        <w:t>excesy</w:t>
      </w:r>
      <w:r w:rsidR="009576C2">
        <w:t xml:space="preserve">. </w:t>
      </w:r>
      <w:r w:rsidR="009C33F8">
        <w:t>Z</w:t>
      </w:r>
      <w:r w:rsidR="00EA33C2">
        <w:t> objektivních</w:t>
      </w:r>
      <w:r w:rsidR="009576C2">
        <w:t>, zejm.</w:t>
      </w:r>
      <w:r w:rsidR="00EA33C2">
        <w:t xml:space="preserve"> personálních a finančních důvodů </w:t>
      </w:r>
      <w:r w:rsidR="009C33F8">
        <w:t xml:space="preserve">není </w:t>
      </w:r>
      <w:r w:rsidR="009576C2">
        <w:t>možné</w:t>
      </w:r>
      <w:r w:rsidR="009C33F8">
        <w:t xml:space="preserve"> očekávat, že se </w:t>
      </w:r>
      <w:r w:rsidR="009576C2">
        <w:t xml:space="preserve">neziskové organizace </w:t>
      </w:r>
      <w:r w:rsidR="009C33F8">
        <w:t>chopí problematiky</w:t>
      </w:r>
      <w:r w:rsidR="009576C2">
        <w:t xml:space="preserve"> systematicky. To plyne jak z praktických poznatků ministerstva, tak z reakcí samotných </w:t>
      </w:r>
      <w:r w:rsidR="009C33F8">
        <w:t>nevládních</w:t>
      </w:r>
      <w:r w:rsidR="009576C2">
        <w:t xml:space="preserve"> organizací. </w:t>
      </w:r>
      <w:r w:rsidR="00B11F74">
        <w:t>Většina z nich přiznává, že není v jejich silách ve větší míře ovliv</w:t>
      </w:r>
      <w:r w:rsidR="009C33F8">
        <w:t xml:space="preserve">ňovat soukromoprávní </w:t>
      </w:r>
      <w:r w:rsidR="007464EE">
        <w:t>poměry</w:t>
      </w:r>
      <w:r w:rsidR="009C33F8">
        <w:t xml:space="preserve">. </w:t>
      </w:r>
      <w:r w:rsidR="00B11F74">
        <w:t xml:space="preserve">Proto </w:t>
      </w:r>
      <w:r w:rsidR="009C33F8">
        <w:t>také</w:t>
      </w:r>
      <w:r w:rsidR="009576C2">
        <w:t xml:space="preserve"> dlouhodobě apelují na ministerstvo, aby </w:t>
      </w:r>
      <w:r w:rsidR="009C33F8">
        <w:t>zavedlo</w:t>
      </w:r>
      <w:r w:rsidR="009576C2">
        <w:t> </w:t>
      </w:r>
      <w:r w:rsidR="009C33F8">
        <w:t>alternativní</w:t>
      </w:r>
      <w:r w:rsidR="009576C2">
        <w:t xml:space="preserve"> </w:t>
      </w:r>
      <w:r w:rsidR="009C33F8">
        <w:t xml:space="preserve">řešení </w:t>
      </w:r>
      <w:r w:rsidR="009576C2">
        <w:t xml:space="preserve">v podobě hromadných žalob. </w:t>
      </w:r>
      <w:r>
        <w:t xml:space="preserve"> </w:t>
      </w:r>
    </w:p>
    <w:p w14:paraId="57BF8BF0" w14:textId="27BB41F3" w:rsidR="00B11F74" w:rsidRPr="003373E6" w:rsidRDefault="00B11F74" w:rsidP="00B11F74">
      <w:pPr>
        <w:pStyle w:val="Nadpis2"/>
      </w:pPr>
      <w:r>
        <w:t xml:space="preserve">Hromadné žaloby jako </w:t>
      </w:r>
      <w:r w:rsidR="00BE19E0">
        <w:t>kolektivní forma prosazování individuálních práv</w:t>
      </w:r>
    </w:p>
    <w:p w14:paraId="700BFBC0" w14:textId="534D10FD" w:rsidR="00B11F74" w:rsidRDefault="00E16677" w:rsidP="009E542C">
      <w:r w:rsidRPr="00E16677">
        <w:t xml:space="preserve">Je zřejmé, že žádná z dosud existujících </w:t>
      </w:r>
      <w:r w:rsidR="00BE19E0" w:rsidRPr="00E16677">
        <w:t xml:space="preserve">možností, s nimiž český právní řád počítá, </w:t>
      </w:r>
      <w:r w:rsidRPr="00E16677">
        <w:t>není schopna</w:t>
      </w:r>
      <w:r w:rsidR="00BE19E0" w:rsidRPr="00E16677">
        <w:t xml:space="preserve"> ideálně, účinně a jednou pro vždy r</w:t>
      </w:r>
      <w:r>
        <w:t>eagovat</w:t>
      </w:r>
      <w:r w:rsidR="00BE19E0" w:rsidRPr="00E16677">
        <w:t xml:space="preserve"> na výzvy moderní doby.</w:t>
      </w:r>
    </w:p>
    <w:p w14:paraId="249E240C" w14:textId="77777777" w:rsidR="009E542C" w:rsidRDefault="009E542C" w:rsidP="009E542C"/>
    <w:p w14:paraId="43C0D06C" w14:textId="6705C50F" w:rsidR="00BE19E0" w:rsidRDefault="00BE19E0" w:rsidP="009E542C">
      <w:r>
        <w:t xml:space="preserve">Není to </w:t>
      </w:r>
      <w:r w:rsidR="009C33F8">
        <w:t xml:space="preserve">nicméně </w:t>
      </w:r>
      <w:r>
        <w:t xml:space="preserve">tak dávno, co ve vybraných vyspělých státech přišly s relativně </w:t>
      </w:r>
      <w:r w:rsidR="00BD28FF">
        <w:t>inovativní</w:t>
      </w:r>
      <w:r>
        <w:t xml:space="preserve"> myšlenkou: ponechat </w:t>
      </w:r>
      <w:r w:rsidR="00BD28FF">
        <w:t xml:space="preserve">i nadále </w:t>
      </w:r>
      <w:r>
        <w:t>hlavní břemeno vymáhání práva a regulace na samotných účastnících soukromoprávních vztahů, zároveň jim k tomu však poskytnout odpovídající procesní prostředek.</w:t>
      </w:r>
      <w:r w:rsidR="00BD28FF">
        <w:t xml:space="preserve"> Tak se zrodila idea kolektivní či hromadné žaloby. Průkopníky</w:t>
      </w:r>
      <w:r w:rsidR="007F4547">
        <w:t xml:space="preserve"> v oblasti tzv. </w:t>
      </w:r>
      <w:r w:rsidR="007F4547">
        <w:rPr>
          <w:i/>
        </w:rPr>
        <w:t>class action</w:t>
      </w:r>
      <w:r w:rsidR="00BD28FF">
        <w:t xml:space="preserve"> </w:t>
      </w:r>
      <w:r w:rsidR="007F4547">
        <w:t>jsou bezesporu země</w:t>
      </w:r>
      <w:r w:rsidR="00BD28FF">
        <w:t xml:space="preserve"> anglo-saského práva, časem si však tato forma vymáhání našla své zastánce i mezi zástupci práva kontinentálního (např. Norsko, Polsko, Švédsko, Nizozemsko, Belgie, Francie, Německo atd.)</w:t>
      </w:r>
      <w:r w:rsidR="007464EE">
        <w:t xml:space="preserve">, což ostatně </w:t>
      </w:r>
      <w:r w:rsidR="00BD28FF">
        <w:t>dokládají i snahy Evropské unie z posledních let (</w:t>
      </w:r>
      <w:r w:rsidR="00FE5B11">
        <w:t>k </w:t>
      </w:r>
      <w:r w:rsidR="00BD28FF">
        <w:t>tomu srov. níže v části 3 a zejména pak zprávu o hodnocení dopadů regulace).</w:t>
      </w:r>
    </w:p>
    <w:p w14:paraId="61D9B70D" w14:textId="77777777" w:rsidR="009E542C" w:rsidRDefault="009E542C" w:rsidP="009E542C"/>
    <w:p w14:paraId="1792B883" w14:textId="2DF9B0E9" w:rsidR="001D06BE" w:rsidRDefault="00BD28FF" w:rsidP="009E542C">
      <w:r>
        <w:t>Princip</w:t>
      </w:r>
      <w:r w:rsidR="007F4547">
        <w:t xml:space="preserve"> hromadné žaloby</w:t>
      </w:r>
      <w:r>
        <w:t xml:space="preserve"> je přitom jednoduchý. Stejně jako se výroba a poskytování služeb v průběhu průmyslové revoluce a v navazujícím vývoji značně racionalizovaly</w:t>
      </w:r>
      <w:r w:rsidR="007F4547">
        <w:t xml:space="preserve"> </w:t>
      </w:r>
      <w:r w:rsidR="00FE5B11">
        <w:t>–</w:t>
      </w:r>
      <w:r>
        <w:t xml:space="preserve"> výrobci </w:t>
      </w:r>
      <w:r w:rsidR="00FE5B11">
        <w:t>a </w:t>
      </w:r>
      <w:r>
        <w:t>poskytovatelé služeb tak mohou těžit ze značných úspor z</w:t>
      </w:r>
      <w:r w:rsidR="007F4547">
        <w:t> </w:t>
      </w:r>
      <w:r>
        <w:t>rozsahu</w:t>
      </w:r>
      <w:r w:rsidR="007F4547">
        <w:t>;</w:t>
      </w:r>
      <w:r>
        <w:t xml:space="preserve"> stejně tak je nutné „racionalizovat“ soudní řízení a vytvořit proces, v němž by také poškození v pozici žalobce mohli těžit z úspor z rozsahu. Jinak řečeno </w:t>
      </w:r>
      <w:r w:rsidR="00FE5B11">
        <w:t>–</w:t>
      </w:r>
      <w:r>
        <w:t xml:space="preserve"> byl vytvořen procesní prostředek, který umožňuje kolektivní uplatňování stejných nebo velmi podobných nároků v jednom jediném soudním řízení. Vzniká proto nutnost platit jen jeden soudní poplatek, dokazování se provádí </w:t>
      </w:r>
      <w:r w:rsidR="007F4547">
        <w:t>toliko</w:t>
      </w:r>
      <w:r>
        <w:t xml:space="preserve"> jednou, celé věci se věnuje jediný advokát a rozhoduje o ní jediný soudce. </w:t>
      </w:r>
      <w:r w:rsidR="00E83572">
        <w:t xml:space="preserve">Uplatňuje se přitom celková škoda, která z krátko- či dlouhodobé činnosti jednoho subjektu vznikla velkému počtu </w:t>
      </w:r>
      <w:r w:rsidR="00761764">
        <w:t>osob</w:t>
      </w:r>
      <w:r w:rsidR="00E83572">
        <w:t xml:space="preserve">. Přestože je tedy výše jednotlivých újem velmi či relativně nízká, ve svém souhrnu dosahuje </w:t>
      </w:r>
      <w:r w:rsidR="00761764">
        <w:t>vysoké</w:t>
      </w:r>
      <w:r w:rsidR="00E83572">
        <w:t xml:space="preserve"> výše a řízení se již</w:t>
      </w:r>
      <w:r w:rsidR="007F4547">
        <w:t xml:space="preserve"> ekonomicky</w:t>
      </w:r>
      <w:r w:rsidR="00E83572">
        <w:t xml:space="preserve"> vyplatí. Jednotlivým členům poškozené skupiny s uplatněním nevznikají žádné náklady a ten, kdo nese riziko sporu, je v závěru úspěšného tažení odpovídajícím způsobem odměněn. </w:t>
      </w:r>
    </w:p>
    <w:p w14:paraId="78504DA1" w14:textId="77777777" w:rsidR="009E542C" w:rsidRDefault="009E542C" w:rsidP="009E542C"/>
    <w:p w14:paraId="6D2AB6CC" w14:textId="718244E1" w:rsidR="003B5984" w:rsidRDefault="007F4547" w:rsidP="009E542C">
      <w:r>
        <w:t>Úsporu finančních prostředků</w:t>
      </w:r>
      <w:r w:rsidR="008558C2">
        <w:t xml:space="preserve"> lze očekávat</w:t>
      </w:r>
      <w:r w:rsidR="00CD6277">
        <w:t xml:space="preserve"> také</w:t>
      </w:r>
      <w:r w:rsidR="008558C2">
        <w:t xml:space="preserve"> na straně státu, který bude moci v jediném soudním řízení vyřešit spor týkající se mnoha stovek či tisíců jednotlivců. Náklady na zajištění soudn</w:t>
      </w:r>
      <w:r>
        <w:t>ího personálu, obstarání důkazů či</w:t>
      </w:r>
      <w:r w:rsidR="008558C2">
        <w:t xml:space="preserve"> výkon rozhodnutí se</w:t>
      </w:r>
      <w:r>
        <w:t xml:space="preserve"> tak</w:t>
      </w:r>
      <w:r w:rsidR="003B5984">
        <w:t xml:space="preserve"> omezí na minimum. Nadto se odstraní problémy s nekonzistentním rozhodováním v obdobných případech.</w:t>
      </w:r>
    </w:p>
    <w:p w14:paraId="2F332F98" w14:textId="079E3261" w:rsidR="00EA33C2" w:rsidRDefault="00EA33C2" w:rsidP="009E542C">
      <w:r>
        <w:t>Odhadem budou úspory na straně státu dosahovat řádu stovek milionů. Vezmeme-li si příklad tzv. kauzy Dieselgate: v České republice bylo prodáno na 165.000 automobilů s nainstalovaným podvodným softwarem. Jejich vlastníkům nyní vzniká proti automobilce Volkswagen nárok na odškodnění. Pokud by se všichni z nich rozhodli vést individuální řízení, probíhalo by 165.000 řízení se stejným předmětem, skutkovými i právními otázkami. Tato řízení by přitom mohla být za existence hromadných žalob odklizena najednou. Jsou-li náklady na jedno řízení před okresním soudem 5.415,-Kč a na jedno řízení před krajský soudem, byla by celková úspora na straně státu v tomto konkrétním případě více než 800 milionů korun</w:t>
      </w:r>
      <w:r>
        <w:rPr>
          <w:rStyle w:val="Znakapoznpodarou"/>
          <w:b/>
        </w:rPr>
        <w:footnoteReference w:id="12"/>
      </w:r>
      <w:r>
        <w:t>:</w:t>
      </w:r>
    </w:p>
    <w:tbl>
      <w:tblPr>
        <w:tblStyle w:val="Svtlseznamzvraznn1"/>
        <w:tblpPr w:leftFromText="141" w:rightFromText="141" w:vertAnchor="text" w:tblpXSpec="center" w:tblpY="479"/>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2416"/>
        <w:gridCol w:w="1595"/>
        <w:gridCol w:w="1372"/>
        <w:gridCol w:w="2693"/>
      </w:tblGrid>
      <w:tr w:rsidR="009E542C" w14:paraId="5EE6783A" w14:textId="77777777" w:rsidTr="009E54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50AC0F" w14:textId="77777777" w:rsidR="009E542C" w:rsidRDefault="009E542C" w:rsidP="009E542C">
            <w:pPr>
              <w:pStyle w:val="Nadpis2"/>
              <w:keepNext w:val="0"/>
              <w:numPr>
                <w:ilvl w:val="0"/>
                <w:numId w:val="0"/>
              </w:numPr>
              <w:spacing w:before="0" w:after="0"/>
              <w:jc w:val="center"/>
              <w:outlineLvl w:val="1"/>
              <w:rPr>
                <w:b/>
              </w:rPr>
            </w:pPr>
          </w:p>
        </w:tc>
        <w:tc>
          <w:tcPr>
            <w:tcW w:w="0" w:type="auto"/>
            <w:vAlign w:val="center"/>
          </w:tcPr>
          <w:p w14:paraId="14E596F1"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Počet nároků</w:t>
            </w:r>
          </w:p>
        </w:tc>
        <w:tc>
          <w:tcPr>
            <w:tcW w:w="0" w:type="auto"/>
            <w:vAlign w:val="center"/>
          </w:tcPr>
          <w:p w14:paraId="46DC46B6"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Náklady na 1 řízení</w:t>
            </w:r>
          </w:p>
        </w:tc>
        <w:tc>
          <w:tcPr>
            <w:tcW w:w="1372" w:type="dxa"/>
            <w:vAlign w:val="center"/>
          </w:tcPr>
          <w:p w14:paraId="0B917F93"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Počet řízení</w:t>
            </w:r>
          </w:p>
        </w:tc>
        <w:tc>
          <w:tcPr>
            <w:tcW w:w="2693" w:type="dxa"/>
            <w:vAlign w:val="center"/>
          </w:tcPr>
          <w:p w14:paraId="67D7DA81"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Celkové náklady státu na provedení řízení</w:t>
            </w:r>
          </w:p>
        </w:tc>
      </w:tr>
      <w:tr w:rsidR="009E542C" w14:paraId="43DC6A53" w14:textId="77777777" w:rsidTr="009E54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4A9F4274" w14:textId="77777777" w:rsidR="009E542C" w:rsidRDefault="009E542C" w:rsidP="009E542C">
            <w:pPr>
              <w:pStyle w:val="Nadpis2"/>
              <w:keepNext w:val="0"/>
              <w:numPr>
                <w:ilvl w:val="0"/>
                <w:numId w:val="0"/>
              </w:numPr>
              <w:spacing w:before="0" w:after="0"/>
              <w:jc w:val="center"/>
              <w:outlineLvl w:val="1"/>
              <w:rPr>
                <w:b/>
              </w:rPr>
            </w:pPr>
            <w:r>
              <w:rPr>
                <w:b/>
              </w:rPr>
              <w:t>Individuální vymáhání (1.st. okresní soud)</w:t>
            </w:r>
          </w:p>
        </w:tc>
        <w:tc>
          <w:tcPr>
            <w:tcW w:w="0" w:type="auto"/>
            <w:vAlign w:val="center"/>
          </w:tcPr>
          <w:p w14:paraId="5AC53FDE"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165 000</w:t>
            </w:r>
          </w:p>
        </w:tc>
        <w:tc>
          <w:tcPr>
            <w:tcW w:w="0" w:type="auto"/>
            <w:vAlign w:val="center"/>
          </w:tcPr>
          <w:p w14:paraId="5C301EC8"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5.415,-Kč</w:t>
            </w:r>
          </w:p>
        </w:tc>
        <w:tc>
          <w:tcPr>
            <w:tcW w:w="1372" w:type="dxa"/>
            <w:vAlign w:val="center"/>
          </w:tcPr>
          <w:p w14:paraId="3D19D784" w14:textId="77777777" w:rsidR="009E542C" w:rsidRPr="00131B5E"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165 000</w:t>
            </w:r>
          </w:p>
        </w:tc>
        <w:tc>
          <w:tcPr>
            <w:tcW w:w="2693" w:type="dxa"/>
            <w:vAlign w:val="center"/>
          </w:tcPr>
          <w:p w14:paraId="236DBC45"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sidRPr="000A7817">
              <w:rPr>
                <w:b w:val="0"/>
              </w:rPr>
              <w:t>893</w:t>
            </w:r>
            <w:r>
              <w:rPr>
                <w:b w:val="0"/>
              </w:rPr>
              <w:t>.</w:t>
            </w:r>
            <w:r w:rsidRPr="000A7817">
              <w:rPr>
                <w:b w:val="0"/>
              </w:rPr>
              <w:t>475</w:t>
            </w:r>
            <w:r>
              <w:rPr>
                <w:b w:val="0"/>
              </w:rPr>
              <w:t>.</w:t>
            </w:r>
            <w:r w:rsidRPr="000A7817">
              <w:rPr>
                <w:b w:val="0"/>
              </w:rPr>
              <w:t>000</w:t>
            </w:r>
          </w:p>
        </w:tc>
      </w:tr>
      <w:tr w:rsidR="009E542C" w14:paraId="7D91E4CC" w14:textId="77777777" w:rsidTr="009E542C">
        <w:trPr>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9E7C206" w14:textId="77777777" w:rsidR="009E542C" w:rsidRDefault="009E542C" w:rsidP="009E542C">
            <w:pPr>
              <w:pStyle w:val="Nadpis2"/>
              <w:keepNext w:val="0"/>
              <w:numPr>
                <w:ilvl w:val="0"/>
                <w:numId w:val="0"/>
              </w:numPr>
              <w:spacing w:before="0" w:after="0"/>
              <w:jc w:val="center"/>
              <w:outlineLvl w:val="1"/>
              <w:rPr>
                <w:b/>
              </w:rPr>
            </w:pPr>
            <w:r>
              <w:rPr>
                <w:b/>
              </w:rPr>
              <w:t>Hromadná žaloba (1.st. krajský soud)</w:t>
            </w:r>
          </w:p>
        </w:tc>
        <w:tc>
          <w:tcPr>
            <w:tcW w:w="0" w:type="auto"/>
            <w:vAlign w:val="center"/>
          </w:tcPr>
          <w:p w14:paraId="4B0B5225"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165 000, uplatňovaných v jediném řízení</w:t>
            </w:r>
          </w:p>
        </w:tc>
        <w:tc>
          <w:tcPr>
            <w:tcW w:w="0" w:type="auto"/>
            <w:vAlign w:val="center"/>
          </w:tcPr>
          <w:p w14:paraId="0C5B39EC"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26.061,-Kč</w:t>
            </w:r>
          </w:p>
        </w:tc>
        <w:tc>
          <w:tcPr>
            <w:tcW w:w="1372" w:type="dxa"/>
            <w:vAlign w:val="center"/>
          </w:tcPr>
          <w:p w14:paraId="22C9DC77"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1</w:t>
            </w:r>
          </w:p>
        </w:tc>
        <w:tc>
          <w:tcPr>
            <w:tcW w:w="2693" w:type="dxa"/>
            <w:vAlign w:val="center"/>
          </w:tcPr>
          <w:p w14:paraId="351B90E1"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26.061,-Kč</w:t>
            </w:r>
          </w:p>
        </w:tc>
      </w:tr>
      <w:tr w:rsidR="009E542C" w:rsidRPr="000A7817" w14:paraId="4B5B6DB5" w14:textId="77777777" w:rsidTr="009E542C">
        <w:trPr>
          <w:cnfStyle w:val="000000100000" w:firstRow="0" w:lastRow="0" w:firstColumn="0" w:lastColumn="0" w:oddVBand="0" w:evenVBand="0" w:oddHBand="1" w:evenHBand="0" w:firstRowFirstColumn="0" w:firstRowLastColumn="0" w:lastRowFirstColumn="0" w:lastRowLastColumn="0"/>
          <w:trHeight w:val="645"/>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10356E0" w14:textId="77777777" w:rsidR="009E542C" w:rsidRPr="000A7817" w:rsidRDefault="009E542C" w:rsidP="009E542C">
            <w:pPr>
              <w:pStyle w:val="Nadpis2"/>
              <w:keepNext w:val="0"/>
              <w:numPr>
                <w:ilvl w:val="0"/>
                <w:numId w:val="0"/>
              </w:numPr>
              <w:spacing w:before="0" w:after="0"/>
              <w:jc w:val="center"/>
              <w:outlineLvl w:val="1"/>
              <w:rPr>
                <w:b/>
                <w:color w:val="C00000"/>
              </w:rPr>
            </w:pPr>
            <w:r w:rsidRPr="000A7817">
              <w:rPr>
                <w:b/>
                <w:color w:val="C00000"/>
              </w:rPr>
              <w:t>Úspora na straně státu</w:t>
            </w:r>
          </w:p>
        </w:tc>
        <w:tc>
          <w:tcPr>
            <w:tcW w:w="0" w:type="auto"/>
            <w:vAlign w:val="center"/>
          </w:tcPr>
          <w:p w14:paraId="5828B773" w14:textId="77777777" w:rsidR="009E542C" w:rsidRPr="000A7817"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0" w:type="auto"/>
            <w:vAlign w:val="center"/>
          </w:tcPr>
          <w:p w14:paraId="2D129C15" w14:textId="77777777" w:rsidR="009E542C" w:rsidRPr="000A7817"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1372" w:type="dxa"/>
            <w:vAlign w:val="center"/>
          </w:tcPr>
          <w:p w14:paraId="3DFA9B49" w14:textId="77777777" w:rsidR="009E542C" w:rsidRPr="000A7817"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2693" w:type="dxa"/>
            <w:vAlign w:val="center"/>
          </w:tcPr>
          <w:p w14:paraId="52240833" w14:textId="77777777" w:rsidR="009E542C" w:rsidRPr="000A7817"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color w:val="C00000"/>
              </w:rPr>
            </w:pPr>
            <w:r w:rsidRPr="000A7817">
              <w:rPr>
                <w:color w:val="C00000"/>
              </w:rPr>
              <w:t>893.448.939,- Kč.</w:t>
            </w:r>
          </w:p>
        </w:tc>
      </w:tr>
    </w:tbl>
    <w:p w14:paraId="0DB84F6F" w14:textId="77777777" w:rsidR="00EA33C2" w:rsidRDefault="00EA33C2" w:rsidP="009E542C"/>
    <w:p w14:paraId="0D8CA926" w14:textId="77777777" w:rsidR="009E542C" w:rsidRDefault="009E542C" w:rsidP="009E542C"/>
    <w:p w14:paraId="1448B44D" w14:textId="610AC34F" w:rsidR="008558C2" w:rsidRDefault="008558C2" w:rsidP="009E542C">
      <w:r>
        <w:t>Rovněž z</w:t>
      </w:r>
      <w:r w:rsidR="00CD6277">
        <w:t xml:space="preserve"> hlediska </w:t>
      </w:r>
      <w:r>
        <w:t xml:space="preserve">procesního postavení žalovaného bude hromadné řízení výhodné, neboť i na jeho straně dojde k úspoře </w:t>
      </w:r>
      <w:r w:rsidR="00D57901">
        <w:t>–</w:t>
      </w:r>
      <w:r>
        <w:t xml:space="preserve"> případné náklady sporu a druhé s</w:t>
      </w:r>
      <w:r w:rsidR="008F29BD">
        <w:t>trany bude nahrazovat jen jednou. A v případě, že půjde o žalobu na plnění, nebude dokonce náklady protistrany hradit vůbec, neboť ty ponese advokát žalobce (náklady advokáta pokryje část přisouzené odměny)</w:t>
      </w:r>
      <w:r>
        <w:t xml:space="preserve">. </w:t>
      </w:r>
      <w:r w:rsidR="004041F5">
        <w:t xml:space="preserve">Mimoto bude možné celý spor ukončit smírem, z něhož budou profitovat obě strany </w:t>
      </w:r>
      <w:r w:rsidR="00D57901">
        <w:t>a </w:t>
      </w:r>
      <w:r w:rsidR="004041F5">
        <w:t>v konečném důsledku i stát.</w:t>
      </w:r>
    </w:p>
    <w:p w14:paraId="4075259A" w14:textId="77777777" w:rsidR="009E542C" w:rsidRDefault="009E542C" w:rsidP="009E542C"/>
    <w:p w14:paraId="3A957A43" w14:textId="1303E652" w:rsidR="00E83572" w:rsidRDefault="00E83572" w:rsidP="009E542C">
      <w:r>
        <w:t xml:space="preserve">Jako vedlejší </w:t>
      </w:r>
      <w:r w:rsidR="00BB212D">
        <w:t xml:space="preserve">produkt </w:t>
      </w:r>
      <w:r>
        <w:t xml:space="preserve">racionalizace </w:t>
      </w:r>
      <w:r w:rsidR="001D06BE">
        <w:t xml:space="preserve">uplatňování drobných nároků </w:t>
      </w:r>
      <w:r w:rsidR="00CD6277">
        <w:t xml:space="preserve">se navíc </w:t>
      </w:r>
      <w:r w:rsidR="00761764">
        <w:t>očekává</w:t>
      </w:r>
      <w:r w:rsidR="00CD6277">
        <w:t xml:space="preserve"> další </w:t>
      </w:r>
      <w:r w:rsidR="00761764">
        <w:t>přínos</w:t>
      </w:r>
      <w:r w:rsidR="001D06BE">
        <w:t xml:space="preserve">. Zatímco v zemích, kde nástroj kolektivního uplatňování práv neexistuje, nejsou obchodní korporace uplatňováním práva </w:t>
      </w:r>
      <w:r w:rsidR="00BB212D">
        <w:t>„</w:t>
      </w:r>
      <w:r w:rsidR="001D06BE">
        <w:t>zdola</w:t>
      </w:r>
      <w:r w:rsidR="00BB212D">
        <w:t>“</w:t>
      </w:r>
      <w:r w:rsidR="00761764">
        <w:t xml:space="preserve"> motivovány k usměrňování </w:t>
      </w:r>
      <w:r w:rsidR="001D06BE">
        <w:t>svého chování. Individuální uplatňování bagatelních nároků se nevyplatí</w:t>
      </w:r>
      <w:r w:rsidR="007F4547">
        <w:t>, a</w:t>
      </w:r>
      <w:r w:rsidR="001D06BE">
        <w:t xml:space="preserve"> pokud ano, dochází k němu v malém množství případů</w:t>
      </w:r>
      <w:r w:rsidR="007F4547">
        <w:t xml:space="preserve">. Tato </w:t>
      </w:r>
      <w:r w:rsidR="00CD6277">
        <w:t>forma</w:t>
      </w:r>
      <w:r w:rsidR="007F4547">
        <w:t xml:space="preserve"> tedy </w:t>
      </w:r>
      <w:r w:rsidR="00BB212D">
        <w:t>korporace od nekalých praktik neodradí</w:t>
      </w:r>
      <w:r w:rsidR="007F4547">
        <w:t xml:space="preserve"> a veškerá</w:t>
      </w:r>
      <w:r w:rsidR="00BB212D">
        <w:t xml:space="preserve"> tíha </w:t>
      </w:r>
      <w:r w:rsidR="00CD6277">
        <w:t>leží na straně státu a případně nevládních organizacích</w:t>
      </w:r>
      <w:r w:rsidR="00BB212D">
        <w:t xml:space="preserve">, </w:t>
      </w:r>
      <w:r w:rsidR="00CD6277">
        <w:t>které však, jak již bylo uvedeno, k radikální změně nemají dostatek prostředků</w:t>
      </w:r>
      <w:r w:rsidR="00BB212D">
        <w:t>.</w:t>
      </w:r>
      <w:r w:rsidR="001D06BE">
        <w:t xml:space="preserve"> V jurisdikcích, které </w:t>
      </w:r>
      <w:r w:rsidR="00BB212D">
        <w:t xml:space="preserve">naopak </w:t>
      </w:r>
      <w:r w:rsidR="001D06BE">
        <w:t xml:space="preserve">kolektivní prostředky uplatňování hmotných práv znají, </w:t>
      </w:r>
      <w:r w:rsidR="00BB212D">
        <w:t>se soukromoprávní nároky uplatňují</w:t>
      </w:r>
      <w:r w:rsidR="00761764">
        <w:t xml:space="preserve">. Dochází k tomu </w:t>
      </w:r>
      <w:r w:rsidR="00BB212D">
        <w:t>v</w:t>
      </w:r>
      <w:r w:rsidR="00E16677">
        <w:t xml:space="preserve">  </w:t>
      </w:r>
      <w:r w:rsidR="00BB212D">
        <w:t>rozsahu,</w:t>
      </w:r>
      <w:r w:rsidR="00E16677">
        <w:t xml:space="preserve"> který je již </w:t>
      </w:r>
      <w:r w:rsidR="00BB212D">
        <w:t xml:space="preserve">schopen odradit korporace od </w:t>
      </w:r>
      <w:r w:rsidR="00761764">
        <w:t>určitých negativních projevů jejich snahy o maximalizaci zisku</w:t>
      </w:r>
      <w:r w:rsidR="00E16677">
        <w:t xml:space="preserve"> (preventivní funkce deliktního práva)</w:t>
      </w:r>
      <w:r w:rsidR="00BB212D">
        <w:t xml:space="preserve">. Stát tak není do převážně soukromoprávních poměrů nucen zasahovat v takové míře a „shora“ napravovat založenou nerovnováhu. Tento socio-ekonomický stimul je </w:t>
      </w:r>
      <w:r w:rsidR="00E16677">
        <w:t xml:space="preserve">vedle racionalizace nákladů soudního řízení </w:t>
      </w:r>
      <w:r w:rsidR="00BB212D">
        <w:t xml:space="preserve">neméně důležitým důsledkem zavedení hromadných žalob. </w:t>
      </w:r>
      <w:r w:rsidR="001D06BE">
        <w:t xml:space="preserve"> </w:t>
      </w:r>
    </w:p>
    <w:p w14:paraId="69305EDB" w14:textId="77777777" w:rsidR="009E542C" w:rsidRDefault="009E542C" w:rsidP="009E542C"/>
    <w:p w14:paraId="15513EF3" w14:textId="46FD3533" w:rsidR="00BB212D" w:rsidRDefault="008558C2" w:rsidP="009E542C">
      <w:r>
        <w:t xml:space="preserve">Všech těchto skutečností jsou si </w:t>
      </w:r>
      <w:r w:rsidR="00BB212D">
        <w:t>vědomi mnozí, kteří po zavedení odpovídající právní úpravy kolektivní žaloby volají již delší dobu</w:t>
      </w:r>
      <w:r w:rsidR="003B5984">
        <w:t xml:space="preserve"> </w:t>
      </w:r>
      <w:r w:rsidR="00761764">
        <w:t>(srov. např. okrajově k této problematice i rozhodnutí Ústavního soudu sp. zn. IV. ÚS 529/16)</w:t>
      </w:r>
      <w:r>
        <w:t>.</w:t>
      </w:r>
      <w:r w:rsidR="003B5984" w:rsidRPr="003B5984">
        <w:t xml:space="preserve"> </w:t>
      </w:r>
      <w:r w:rsidR="003B5984">
        <w:t xml:space="preserve">Zavedení hromadných žalob bude tak </w:t>
      </w:r>
      <w:r w:rsidR="00D57901">
        <w:t> </w:t>
      </w:r>
      <w:r w:rsidR="003B5984">
        <w:t>praxí jistě vítáno.</w:t>
      </w:r>
    </w:p>
    <w:p w14:paraId="28AB4FD8" w14:textId="186E6489" w:rsidR="008F29BD" w:rsidRDefault="006D6071" w:rsidP="008F29BD">
      <w:pPr>
        <w:pStyle w:val="Nadpis2"/>
      </w:pPr>
      <w:r>
        <w:t>(Ústavně)právní m</w:t>
      </w:r>
      <w:r w:rsidR="008F29BD">
        <w:t>ýty spojené se zavedením hromadných žalob</w:t>
      </w:r>
    </w:p>
    <w:p w14:paraId="0A82C503" w14:textId="44F72127" w:rsidR="006D6071" w:rsidRDefault="008F29BD" w:rsidP="009E542C">
      <w:r>
        <w:t>N</w:t>
      </w:r>
      <w:r w:rsidRPr="008F29BD">
        <w:t>ámitky, které se proti institutu hromadných žalob</w:t>
      </w:r>
      <w:r w:rsidR="00F41219">
        <w:t xml:space="preserve"> jako takovému či proti jeho opt-out variantě</w:t>
      </w:r>
      <w:r w:rsidRPr="008F29BD">
        <w:t xml:space="preserve"> tu a tam </w:t>
      </w:r>
      <w:r>
        <w:t xml:space="preserve">snášejí z úst zástupců </w:t>
      </w:r>
      <w:r w:rsidRPr="008F29BD">
        <w:t xml:space="preserve">odborné veřejnosti, </w:t>
      </w:r>
      <w:r>
        <w:t>jsou mnohé</w:t>
      </w:r>
      <w:r w:rsidRPr="008F29BD">
        <w:t>.</w:t>
      </w:r>
      <w:r>
        <w:t xml:space="preserve"> Některé z nich údajně dosahují ústavně-právní roviny</w:t>
      </w:r>
      <w:r w:rsidR="00412C57">
        <w:rPr>
          <w:rStyle w:val="Znakapoznpodarou"/>
          <w:b/>
        </w:rPr>
        <w:footnoteReference w:id="13"/>
      </w:r>
      <w:r w:rsidR="00F41219">
        <w:t xml:space="preserve">, jiné </w:t>
      </w:r>
      <w:r w:rsidR="006D6071">
        <w:t xml:space="preserve">jsou </w:t>
      </w:r>
      <w:r w:rsidR="00F41219">
        <w:t xml:space="preserve">jen právní či politické. </w:t>
      </w:r>
      <w:r w:rsidR="006D6071">
        <w:t xml:space="preserve">Namítá se zejména rozpor opt-out režimu hromadných žalob s právem na spravedlivý proces. </w:t>
      </w:r>
    </w:p>
    <w:p w14:paraId="18F3E4EE" w14:textId="77777777" w:rsidR="0006382B" w:rsidRDefault="0006382B" w:rsidP="009E542C"/>
    <w:p w14:paraId="5E825E7E" w14:textId="32E4A247" w:rsidR="008F29BD" w:rsidRDefault="00F41219" w:rsidP="0006382B">
      <w:r>
        <w:t xml:space="preserve">Obavy spojené se zavedením institutu lze v zásadě rozdělit do dvou skupin - jednak jde o práva členů skupiny, kteří </w:t>
      </w:r>
      <w:r w:rsidR="006D6071">
        <w:t>v řízení aktivně nevystupují</w:t>
      </w:r>
      <w:r>
        <w:t>, jednak jde o práva žalovaného.</w:t>
      </w:r>
    </w:p>
    <w:p w14:paraId="5FA232FC" w14:textId="77777777" w:rsidR="0006382B" w:rsidRDefault="0006382B" w:rsidP="0006382B"/>
    <w:p w14:paraId="3F9DF4BC" w14:textId="2A7C041B" w:rsidR="00F41219" w:rsidRDefault="00F41219" w:rsidP="0006382B">
      <w:pPr>
        <w:rPr>
          <w:b/>
        </w:rPr>
      </w:pPr>
      <w:r w:rsidRPr="0006382B">
        <w:rPr>
          <w:b/>
        </w:rPr>
        <w:t>i. Námitky týkající se postavení neaktivních členů skupiny</w:t>
      </w:r>
    </w:p>
    <w:p w14:paraId="02581835" w14:textId="77777777" w:rsidR="0006382B" w:rsidRPr="0006382B" w:rsidRDefault="0006382B" w:rsidP="0006382B">
      <w:pPr>
        <w:rPr>
          <w:b/>
        </w:rPr>
      </w:pPr>
    </w:p>
    <w:p w14:paraId="56E7FA81" w14:textId="5DD1B503" w:rsidR="00F41219" w:rsidRPr="0006382B" w:rsidRDefault="00F41219" w:rsidP="0006382B">
      <w:pPr>
        <w:rPr>
          <w:i/>
        </w:rPr>
      </w:pPr>
      <w:r w:rsidRPr="0006382B">
        <w:rPr>
          <w:i/>
        </w:rPr>
        <w:t>Nárok je projednán proti vůli člena skupiny</w:t>
      </w:r>
    </w:p>
    <w:p w14:paraId="6E67D1C3" w14:textId="67A323C9" w:rsidR="00F41219" w:rsidRDefault="00F41219" w:rsidP="0006382B">
      <w:r>
        <w:t>Uvedená námitk</w:t>
      </w:r>
      <w:r w:rsidR="00E47D21">
        <w:t>a, která je spojena čistě s institutem opt-out, zaznívá z úst kritiků</w:t>
      </w:r>
      <w:r>
        <w:t xml:space="preserve"> snad nejčastěji. P</w:t>
      </w:r>
      <w:r w:rsidR="009B7FAB">
        <w:t xml:space="preserve">roč by měl vůbec někdo </w:t>
      </w:r>
      <w:r>
        <w:t>projednávat nároky jiných lidí</w:t>
      </w:r>
      <w:r w:rsidR="009B7FAB">
        <w:t xml:space="preserve"> proti jejich vůli</w:t>
      </w:r>
      <w:r>
        <w:t xml:space="preserve">? </w:t>
      </w:r>
      <w:r w:rsidR="00E47D21">
        <w:t>Stejně jako má někdo právo na spravedlivý proces, má každý právo se svého nároku vzdát anebo jej neuplatňovat. Pokud tak někdo svůj nárok nežaluje, zřejmě to znamená, že jej žalovat nechce.</w:t>
      </w:r>
    </w:p>
    <w:p w14:paraId="08A54AAD" w14:textId="77777777" w:rsidR="0006382B" w:rsidRDefault="0006382B" w:rsidP="0006382B"/>
    <w:p w14:paraId="2027D003" w14:textId="5E83D34A" w:rsidR="00E47D21" w:rsidRDefault="00E47D21" w:rsidP="0006382B">
      <w:r>
        <w:t>V tuto chvíli je nutné si uvědomit, že hromadné žaloby</w:t>
      </w:r>
      <w:r w:rsidR="0006382B">
        <w:t xml:space="preserve"> neslouží k vymožení práv, která jsou nechtěná</w:t>
      </w:r>
      <w:r>
        <w:t>. Naopak. Mají</w:t>
      </w:r>
      <w:r w:rsidR="0006382B">
        <w:t xml:space="preserve"> sloužit k vymožení práv, která</w:t>
      </w:r>
      <w:r>
        <w:t xml:space="preserve"> jsou chtěn</w:t>
      </w:r>
      <w:r w:rsidR="0006382B">
        <w:t>á</w:t>
      </w:r>
      <w:r>
        <w:t>, nicméně vzhledem k hodnotě nároku v</w:t>
      </w:r>
      <w:r w:rsidR="0006382B">
        <w:t> </w:t>
      </w:r>
      <w:r>
        <w:t>poměru</w:t>
      </w:r>
      <w:r w:rsidR="0006382B">
        <w:t xml:space="preserve"> k</w:t>
      </w:r>
      <w:r>
        <w:t xml:space="preserve"> nákladům řízení a jeho délce fakticky nevymahateln</w:t>
      </w:r>
      <w:r w:rsidR="0006382B">
        <w:t>á</w:t>
      </w:r>
      <w:r>
        <w:t xml:space="preserve">. Snahou je odstranit problém tzv. racionální apatie, kdy poškození své nároky nevymáhají, neboť se jim to ekonomicky nevyplatí. Ve chvíli, kdy však někdo </w:t>
      </w:r>
      <w:r w:rsidR="0006382B">
        <w:t>převezme iniciativu a</w:t>
      </w:r>
      <w:r>
        <w:t xml:space="preserve"> celé řízení povede na své náklady (v navrhovaném řešení advokát), </w:t>
      </w:r>
      <w:r w:rsidR="0006382B">
        <w:t>zájem členů skupiny o jejich nároky náhle ožije</w:t>
      </w:r>
      <w:r>
        <w:t xml:space="preserve">. O tom svědčí i velice nízké procento osob, které se z řízení </w:t>
      </w:r>
      <w:r w:rsidR="0006382B">
        <w:t xml:space="preserve">o </w:t>
      </w:r>
      <w:r w:rsidR="0006382B">
        <w:rPr>
          <w:i/>
        </w:rPr>
        <w:t xml:space="preserve">class action </w:t>
      </w:r>
      <w:r>
        <w:t>v USA odhlašují - medián dosahuje cca 0,1-0,2%; zbytek nároků, tj. více než 99%, zůstává předmětem kolektivního řízení.</w:t>
      </w:r>
    </w:p>
    <w:p w14:paraId="024DA7C3" w14:textId="77777777" w:rsidR="0006382B" w:rsidRDefault="0006382B" w:rsidP="0006382B"/>
    <w:p w14:paraId="73DA9B4C" w14:textId="7D5DFB6A" w:rsidR="009B7FAB" w:rsidRDefault="00E47D21" w:rsidP="0006382B">
      <w:r>
        <w:t>Jestliže pak někdo skutečně nechce, aby byl jeho nárok vymáhán, nic mu nebrání, aby využil svého práva a z </w:t>
      </w:r>
      <w:r w:rsidRPr="0006382B">
        <w:rPr>
          <w:b/>
        </w:rPr>
        <w:t>řízení vystoupil</w:t>
      </w:r>
      <w:r>
        <w:t xml:space="preserve"> (tzv. opt-out). Vystoupením z řízení se jeho nárok z celkové skupiny odděluje a je na členovi skupiny, zda jej bude dále vy</w:t>
      </w:r>
      <w:r w:rsidR="0006382B">
        <w:t>máhat individuálně či nikoliv. A d</w:t>
      </w:r>
      <w:r>
        <w:t xml:space="preserve">ošlo-li již </w:t>
      </w:r>
      <w:r w:rsidR="0006382B">
        <w:t xml:space="preserve">případně </w:t>
      </w:r>
      <w:r>
        <w:t xml:space="preserve">k vymožení plnění od žalovaného, nemusí se člen skupiny o svůj nárok přihlásit, čímž se jej rovněž fakticky vzdává. </w:t>
      </w:r>
    </w:p>
    <w:p w14:paraId="19830BF1" w14:textId="77777777" w:rsidR="0006382B" w:rsidRDefault="0006382B" w:rsidP="0006382B"/>
    <w:p w14:paraId="2D6DF4C6" w14:textId="4AD92033" w:rsidR="00F41219" w:rsidRPr="0006382B" w:rsidRDefault="00F41219" w:rsidP="0006382B">
      <w:pPr>
        <w:rPr>
          <w:i/>
        </w:rPr>
      </w:pPr>
      <w:r w:rsidRPr="0006382B">
        <w:rPr>
          <w:i/>
        </w:rPr>
        <w:t xml:space="preserve">Člen skupiny by si svůj nárok prosadil </w:t>
      </w:r>
      <w:r w:rsidR="009B7FAB" w:rsidRPr="0006382B">
        <w:rPr>
          <w:i/>
        </w:rPr>
        <w:t xml:space="preserve">v individuálním řízení a </w:t>
      </w:r>
      <w:r w:rsidRPr="0006382B">
        <w:rPr>
          <w:i/>
        </w:rPr>
        <w:t>lépe</w:t>
      </w:r>
    </w:p>
    <w:p w14:paraId="1F038BDC" w14:textId="6E943566" w:rsidR="009B7FAB" w:rsidRDefault="009B7FAB" w:rsidP="0006382B">
      <w:r>
        <w:t>S první námitkou i režimem opt-out souvisí i obava z toho, že bude nárok jednotlivce proti jeho vůli uplatňován</w:t>
      </w:r>
      <w:r w:rsidR="0006382B">
        <w:t xml:space="preserve"> v kolektivní formě procesu</w:t>
      </w:r>
      <w:r>
        <w:t>. Každý má přeci právo na přístup k soudu, tj. na to, aby svůj nárok mohl prosazovat v samostatném řízení, a to pochopitelně lépe.</w:t>
      </w:r>
    </w:p>
    <w:p w14:paraId="40B3BE9A" w14:textId="77777777" w:rsidR="0006382B" w:rsidRDefault="0006382B" w:rsidP="0006382B"/>
    <w:p w14:paraId="5C380053" w14:textId="0543F2AB" w:rsidR="009B7FAB" w:rsidRDefault="009B7FAB" w:rsidP="0006382B">
      <w:r>
        <w:t>Opět je však nutné vrátit se k problému racionální apatie - poškození členové skupiny, jejichž nároky dosahují stovek, max. tisíců korun, své nároky v individuálním řízení neuplatňuj</w:t>
      </w:r>
      <w:r w:rsidR="0006382B">
        <w:t>í a uplatňovat nebudou z</w:t>
      </w:r>
      <w:r>
        <w:t xml:space="preserve"> prostého důvodu, že se jim to nevyplatí (viz výše uvedené procento „opt-out“ v USA). I tento argument tak neobstojí. Mělo-li by tomu být naopak</w:t>
      </w:r>
      <w:r w:rsidR="0006382B">
        <w:t xml:space="preserve"> a osoba by skutečně preferovala individuální pořad práva</w:t>
      </w:r>
      <w:r>
        <w:t>, věcný záměr počítá s několika pojistkami:</w:t>
      </w:r>
    </w:p>
    <w:p w14:paraId="5C406572" w14:textId="6ABC121F" w:rsidR="009B7FAB" w:rsidRDefault="009B7FAB" w:rsidP="0006382B">
      <w:pPr>
        <w:pStyle w:val="Odstavecseseznamem"/>
        <w:numPr>
          <w:ilvl w:val="0"/>
          <w:numId w:val="17"/>
        </w:numPr>
      </w:pPr>
      <w:r>
        <w:t xml:space="preserve">Zaprvé, osoba, která má pocit, že by svůj nárok prosadila sama a chce jej prosazovat sama, může kdykoliv z řízení vystoupit. Tímto jednoduchým úkonem projevuje svoji vůli, že nechce, aby </w:t>
      </w:r>
      <w:r w:rsidR="0006382B">
        <w:t xml:space="preserve">byl </w:t>
      </w:r>
      <w:r>
        <w:t>její nárok projednán hromadně, a následně jej může uplatňovat sama.</w:t>
      </w:r>
    </w:p>
    <w:p w14:paraId="40D6D790" w14:textId="2D5D31CD" w:rsidR="00661DB2" w:rsidRPr="0006382B" w:rsidRDefault="00661DB2" w:rsidP="0006382B">
      <w:pPr>
        <w:pStyle w:val="Odstavecseseznamem"/>
        <w:numPr>
          <w:ilvl w:val="0"/>
          <w:numId w:val="17"/>
        </w:numPr>
      </w:pPr>
      <w:r w:rsidRPr="0006382B">
        <w:t>Zadruhé, pro případy, kdy nároky jsou již relativně vysoké, a lze tak očekávat, že členové skupiny budou žaloby podávat individuálně,</w:t>
      </w:r>
      <w:r w:rsidR="0006382B">
        <w:t xml:space="preserve"> počítá věcný záměr s možností </w:t>
      </w:r>
      <w:r w:rsidRPr="0006382B">
        <w:t xml:space="preserve">opt-in. Pokud tak bude zřejmé, že problém racionální apatie u konkrétní skupiny nelze očekávat, </w:t>
      </w:r>
      <w:r w:rsidR="0006382B">
        <w:t xml:space="preserve">rozhodne soud v certifikačním usnesení o tom, že se </w:t>
      </w:r>
      <w:r w:rsidRPr="0006382B">
        <w:t>v řízení postupovat podle zásad opt-in - tj. jen nárok těch, kdo se přihlásí, bude projednán kolektivně.</w:t>
      </w:r>
    </w:p>
    <w:p w14:paraId="3339D5F4" w14:textId="05C7D50A" w:rsidR="00661DB2" w:rsidRDefault="00661DB2" w:rsidP="0006382B">
      <w:pPr>
        <w:pStyle w:val="Odstavecseseznamem"/>
        <w:numPr>
          <w:ilvl w:val="0"/>
          <w:numId w:val="17"/>
        </w:numPr>
      </w:pPr>
      <w:r w:rsidRPr="0006382B">
        <w:t>Zatřetí, pojistkou je i posílená úloha soudu, který má za úkol v průběhu celého řízení dohlížet na to, aby zájmy neaktivních členů skupiny byly prosazovány řádně. V případě,</w:t>
      </w:r>
      <w:r w:rsidR="00D738FC" w:rsidRPr="0006382B">
        <w:t xml:space="preserve"> že tomu tak nebude, bude moci jmenovat nového advokáta anebo jednotlivý procesní úkon neschválit.</w:t>
      </w:r>
    </w:p>
    <w:p w14:paraId="5E448EB6" w14:textId="77777777" w:rsidR="0006382B" w:rsidRPr="0006382B" w:rsidRDefault="0006382B" w:rsidP="0006382B">
      <w:pPr>
        <w:pStyle w:val="Odstavecseseznamem"/>
        <w:ind w:left="720"/>
      </w:pPr>
    </w:p>
    <w:p w14:paraId="1C9916E3" w14:textId="0F80EC01" w:rsidR="00412C57" w:rsidRPr="0006382B" w:rsidRDefault="00412C57" w:rsidP="0006382B">
      <w:pPr>
        <w:rPr>
          <w:i/>
        </w:rPr>
      </w:pPr>
      <w:r w:rsidRPr="0006382B">
        <w:rPr>
          <w:i/>
        </w:rPr>
        <w:t>Práva člena skupiny, který není v pozici zástupce skupiny, nejsou v řízení plně zajištěna (rozpor s právem na přístup k soudu)</w:t>
      </w:r>
    </w:p>
    <w:p w14:paraId="380FCAFF" w14:textId="022BEAFE" w:rsidR="00412C57" w:rsidRDefault="00412C57" w:rsidP="0006382B">
      <w:r>
        <w:t xml:space="preserve">Plná práva v řízení požívá pouze člen skupiny, který celé řízení inicioval a je v postavení zástupce skupiny. Primárně o jeho nároku se celé řízení vede. Ostatní členové skupiny mají v řízení svá práva omezená. I tato okolnost je trnem oku některých kritiků hromadných žalob a i s touto námitkou je tak nutné se vypořádat. </w:t>
      </w:r>
    </w:p>
    <w:p w14:paraId="36D7718C" w14:textId="77777777" w:rsidR="0006382B" w:rsidRDefault="0006382B" w:rsidP="0006382B"/>
    <w:p w14:paraId="50EB6BE2" w14:textId="77777777" w:rsidR="00412C57" w:rsidRDefault="00412C57" w:rsidP="0006382B">
      <w:r>
        <w:t>Opět jde o výtku, již je možné vztáhnout jen k opt-out hromadným žalobám, neboť v případě opt-in účastníci s vedením řízení v nastavené podobě vyslovují souhlas svým přistoupením.</w:t>
      </w:r>
    </w:p>
    <w:p w14:paraId="69E2D1A9" w14:textId="77777777" w:rsidR="0006382B" w:rsidRDefault="0006382B" w:rsidP="0006382B"/>
    <w:p w14:paraId="72968F5F" w14:textId="77777777" w:rsidR="00412C57" w:rsidRDefault="00412C57" w:rsidP="0006382B">
      <w:r>
        <w:t xml:space="preserve">Omezení práv členů skupiny, kteří nejsou v roli reprezentanta skupiny, je </w:t>
      </w:r>
      <w:r>
        <w:rPr>
          <w:i/>
        </w:rPr>
        <w:t>condicio sine qua non</w:t>
      </w:r>
      <w:r>
        <w:t xml:space="preserve"> jakéhokoliv fungování systému hromadných žalob. Představa, že každý ze členů skupiny může v řízení volně disponovat s předmětem, může uplatňovat veškerá procesní práva, která by mu příslušela i v individuálním řízení, je nemyslitelná. Uvedený systém by kolektivní řízení zcela paralyzoval a byl v přímém rozporu se zásadou procesní ekonomie, efektivity řízení a v rozporu s právem na to, aby řízení bylo provedeno v přiměřené lhůtě. V tuto chvíli se tedy zdánlivě dostávají do přímého rozporu dva prvky práva na spravedlivý proces - jednak jde o právo na rychlé a efektivní řízení a jednak o právo na přístup k soudu. </w:t>
      </w:r>
    </w:p>
    <w:p w14:paraId="3D9233DD" w14:textId="77777777" w:rsidR="0006382B" w:rsidRDefault="0006382B" w:rsidP="0006382B"/>
    <w:p w14:paraId="15071A4A" w14:textId="560DE3B6" w:rsidR="00412C57" w:rsidRDefault="00412C57" w:rsidP="0006382B">
      <w:r>
        <w:t xml:space="preserve">Tento rozpor je však pouze rozporem zdánlivým. Stejně jako v případě principu opt-in, i v případě principu opt-out osoba </w:t>
      </w:r>
      <w:r w:rsidR="0006382B">
        <w:t xml:space="preserve">musí </w:t>
      </w:r>
      <w:r>
        <w:t>s tímto způsobem řízení souhlasit. Děje se tak konkludentně - tím že z řízení nevystoupí. Řečeno jinak - pokud některý ze členů skupiny nemá zájem na tom, aby jeho nárok byl projednán v řízení, v němž má částečně omezené právo na přístup k soudu, může z řízení vystoupit, projevit vůli, že s touto formou řízení nesouhlasí</w:t>
      </w:r>
      <w:r w:rsidR="0006382B">
        <w:t>,</w:t>
      </w:r>
      <w:r>
        <w:t xml:space="preserve"> a nadále svůj nárok uplatňovat individuálně. Oproti režimu opt-in se tedy po</w:t>
      </w:r>
      <w:r w:rsidR="0006382B">
        <w:t xml:space="preserve">uze obrací pravidlo „kdo mlčí, nesouhlasí“ na pravidlo </w:t>
      </w:r>
      <w:r>
        <w:t xml:space="preserve">„kdo mlčí, souhlasí“. Tento princip není pro civilní řízení ničím novým, uplatňuje se často i v individuálním civilním řízení (např. § 101 odst. 4 o.s.ř. či rozsudek pro uznání podle § 153a odst. 3 ve spojení s § </w:t>
      </w:r>
      <w:r w:rsidRPr="00057935">
        <w:t>114b odst. 5 a § 114c odst. 6</w:t>
      </w:r>
      <w:r>
        <w:t xml:space="preserve"> o.s.ř.).</w:t>
      </w:r>
    </w:p>
    <w:p w14:paraId="020DC422" w14:textId="77777777" w:rsidR="0006382B" w:rsidRDefault="0006382B" w:rsidP="0006382B"/>
    <w:p w14:paraId="4C883637" w14:textId="46772F2A" w:rsidR="00412C57" w:rsidRDefault="00412C57" w:rsidP="0006382B">
      <w:r>
        <w:t xml:space="preserve">Vedle toho, že </w:t>
      </w:r>
      <w:r w:rsidR="0006382B">
        <w:t>každý člen skupiny má právo to z řízení vystoupit</w:t>
      </w:r>
      <w:r>
        <w:t xml:space="preserve">, jsou </w:t>
      </w:r>
      <w:r w:rsidR="0006382B">
        <w:t>jeho</w:t>
      </w:r>
      <w:r>
        <w:t xml:space="preserve"> zájmy chráněny i dalšími způsoby:</w:t>
      </w:r>
    </w:p>
    <w:p w14:paraId="6DE5A14B" w14:textId="77777777" w:rsidR="0006382B" w:rsidRDefault="0006382B" w:rsidP="0006382B"/>
    <w:p w14:paraId="2094B1B3" w14:textId="3D5E8650" w:rsidR="00412C57" w:rsidRDefault="0006382B" w:rsidP="0006382B">
      <w:pPr>
        <w:pStyle w:val="Odstavecseseznamem"/>
        <w:numPr>
          <w:ilvl w:val="0"/>
          <w:numId w:val="18"/>
        </w:numPr>
      </w:pPr>
      <w:r>
        <w:t xml:space="preserve">Členům skupiny zůstávají </w:t>
      </w:r>
      <w:r w:rsidR="00412C57" w:rsidRPr="00057935">
        <w:t>určitá práva zachována</w:t>
      </w:r>
      <w:r w:rsidR="000A7F7B">
        <w:t>. J</w:t>
      </w:r>
      <w:r w:rsidR="00412C57">
        <w:t>ednak jde o právo být slyšen, dále i další práva jako možnost navrhovat důkazy, apod. - většinu z nich však mohou vykonávat pouze prostřednictvím zástupce skupiny, a to právě v zájmu rychlosti celého řízení. Výjimkou je právo být slyšen - to mohou vykonávat nezávisle na zástupci skupiny.</w:t>
      </w:r>
    </w:p>
    <w:p w14:paraId="0371F214" w14:textId="77777777" w:rsidR="00412C57" w:rsidRDefault="00412C57" w:rsidP="0006382B">
      <w:pPr>
        <w:pStyle w:val="Odstavecseseznamem"/>
        <w:numPr>
          <w:ilvl w:val="0"/>
          <w:numId w:val="18"/>
        </w:numPr>
      </w:pPr>
      <w:r>
        <w:t xml:space="preserve">V průběhu celého řízení je </w:t>
      </w:r>
      <w:r w:rsidRPr="00057935">
        <w:t>z důvodu ochrany skupiny posílena úloha soudu</w:t>
      </w:r>
      <w:r>
        <w:t>. Ten dohlíží jak na činnost zástupce skupiny, tak na činnost advokáta. Oba aktéři musí vždy sledovat nejen svůj vlastní zájem, ale též zájem celé skupiny, tj. zejména jejích neaktivních členů.</w:t>
      </w:r>
    </w:p>
    <w:p w14:paraId="456098C5" w14:textId="437D6C28" w:rsidR="00412C57" w:rsidRDefault="00412C57" w:rsidP="000A7F7B">
      <w:pPr>
        <w:pStyle w:val="Odstavecseseznamem"/>
        <w:numPr>
          <w:ilvl w:val="0"/>
          <w:numId w:val="18"/>
        </w:numPr>
      </w:pPr>
      <w:r>
        <w:t>V případě, že má dojít k </w:t>
      </w:r>
      <w:r w:rsidRPr="00057935">
        <w:t>uzavření smíru</w:t>
      </w:r>
      <w:r>
        <w:t xml:space="preserve">, musí soud kromě souladu s hmotným právem zkoumat také, zda smír odpovídá zájmům celé skupiny. Následně je členům skupiny dána nová možnost k tomu, aby </w:t>
      </w:r>
      <w:r w:rsidR="000A7F7B">
        <w:t>z navrženého smíru</w:t>
      </w:r>
      <w:r>
        <w:t xml:space="preserve"> vystoupili. I zde je tedy posílena ochrana osob, které se na řízení aktivně nepodílejí.</w:t>
      </w:r>
    </w:p>
    <w:p w14:paraId="25D19D8D" w14:textId="57FC2829" w:rsidR="00412C57" w:rsidRDefault="00412C57" w:rsidP="000A7F7B">
      <w:pPr>
        <w:pStyle w:val="Odstavecseseznamem"/>
        <w:numPr>
          <w:ilvl w:val="0"/>
          <w:numId w:val="18"/>
        </w:numPr>
      </w:pPr>
      <w:r>
        <w:t xml:space="preserve">K ochraně zájmu celé skupiny slouží i </w:t>
      </w:r>
      <w:r w:rsidRPr="00057935">
        <w:t>povinné právní zastoupení</w:t>
      </w:r>
      <w:r>
        <w:t xml:space="preserve">. Úlohou advokáta </w:t>
      </w:r>
      <w:r w:rsidR="000A7F7B">
        <w:t>je</w:t>
      </w:r>
      <w:r>
        <w:t xml:space="preserve"> nejen</w:t>
      </w:r>
      <w:r w:rsidR="000A7F7B">
        <w:t xml:space="preserve"> ochrana zájmů</w:t>
      </w:r>
      <w:r>
        <w:t xml:space="preserve"> žalobce, ale všech členů skupiny. Advokát podléhá dohledu ze strany soudu, a pokud nebude plnit své povinnosti, může jej soud nahradit.</w:t>
      </w:r>
    </w:p>
    <w:p w14:paraId="7595F7D8" w14:textId="77777777" w:rsidR="00412C57" w:rsidRPr="00621750" w:rsidRDefault="00412C57" w:rsidP="000A7F7B">
      <w:pPr>
        <w:pStyle w:val="Odstavecseseznamem"/>
        <w:numPr>
          <w:ilvl w:val="0"/>
          <w:numId w:val="18"/>
        </w:numPr>
      </w:pPr>
      <w:r>
        <w:t>V neposlední řadě je zde také možnost, aby soud namísto principu opt-out nařídil princip opt-in - i tato možnost má přispět k zajištění práva na spravedlivý proces jednotlivých členů skupiny.</w:t>
      </w:r>
    </w:p>
    <w:p w14:paraId="6EA90369" w14:textId="77777777" w:rsidR="000A7F7B" w:rsidRDefault="000A7F7B" w:rsidP="000A7F7B">
      <w:pPr>
        <w:rPr>
          <w:i/>
        </w:rPr>
      </w:pPr>
    </w:p>
    <w:p w14:paraId="1F350E8D" w14:textId="517C0CCA" w:rsidR="009B7FAB" w:rsidRPr="000A7F7B" w:rsidRDefault="009B7FAB" w:rsidP="000A7F7B">
      <w:pPr>
        <w:rPr>
          <w:i/>
        </w:rPr>
      </w:pPr>
      <w:r w:rsidRPr="000A7F7B">
        <w:rPr>
          <w:i/>
        </w:rPr>
        <w:t>Člen skupiny se o řízení nedozví</w:t>
      </w:r>
    </w:p>
    <w:p w14:paraId="4990D323" w14:textId="50DAA2EB" w:rsidR="00D738FC" w:rsidRDefault="000A7F7B" w:rsidP="000A7F7B">
      <w:r>
        <w:t>Se všemi</w:t>
      </w:r>
      <w:r w:rsidR="00D738FC">
        <w:t xml:space="preserve"> výše zmíněnými námitkami velmi úzce souvisí obava z toho, že členové skupiny se o řízení nedozví</w:t>
      </w:r>
      <w:r>
        <w:t>,</w:t>
      </w:r>
      <w:r w:rsidR="00D738FC">
        <w:t xml:space="preserve"> a nebudou tak moci využít své právo z řízení vystoupit. I této obavě lze však do značné míry předejít správně nastavenými parametry uveřejňování.</w:t>
      </w:r>
    </w:p>
    <w:p w14:paraId="64F4BE84" w14:textId="77777777" w:rsidR="000A7F7B" w:rsidRDefault="000A7F7B" w:rsidP="000A7F7B"/>
    <w:p w14:paraId="224F4624" w14:textId="56428D5F" w:rsidR="00D738FC" w:rsidRDefault="00D738FC" w:rsidP="000A7F7B">
      <w:r>
        <w:t xml:space="preserve">Věcný záměr předně počítá s tím, že soud dle okolností případu nařídí advokátovi skupiny, aby provedl odpovídající uveřejnění žaloby tak, aby se o něm mohl každý ze členů skupiny dozvědět. V době datové společnosti to jistě nebude problém. Advokát tak bude kupř. nucen zřídit webovou stránku, rozšířit informaci o probíhajícím řízení na sociálních sítích, v hromadných sdělovacích prostředcích i lokálních denících. </w:t>
      </w:r>
    </w:p>
    <w:p w14:paraId="1C3DB309" w14:textId="77777777" w:rsidR="000A7F7B" w:rsidRDefault="000A7F7B" w:rsidP="000A7F7B"/>
    <w:p w14:paraId="0A60AC6C" w14:textId="060A1506" w:rsidR="00D738FC" w:rsidRDefault="00D738FC" w:rsidP="000A7F7B">
      <w:r>
        <w:t>Vedle toho bude existovat centrální databáze zřízená ministerstvem, v níž budou soudy povinny uveřejňovat informace o probíhajících hromadných řízeních. Na tomto centrálním místě tak budou údaje o všech probíhajících řízeních kdykoliv dostupné. Každý bude moci v jakýkoliv okamžik zjistit, zda se o jeho nároku nevede kolektivní řízení. Obdobný princip se již dnes uplatňuje v insolvenčním řízení (insolvenční rejstřík), a nikomu to nečiní problém.</w:t>
      </w:r>
    </w:p>
    <w:p w14:paraId="4BD535DC" w14:textId="77777777" w:rsidR="000A7F7B" w:rsidRDefault="000A7F7B" w:rsidP="000A7F7B"/>
    <w:p w14:paraId="0F25ADB0" w14:textId="3099F8D2" w:rsidR="00D738FC" w:rsidRDefault="00D738FC" w:rsidP="000A7F7B">
      <w:r>
        <w:t>Lze tedy shrnout, že věcný záměr počítá se silnými pojistkami, které by měly dostatečné informování veřejnosti zajistit.</w:t>
      </w:r>
      <w:r w:rsidR="00621750">
        <w:t xml:space="preserve"> I tato obava je tedy lichá.</w:t>
      </w:r>
    </w:p>
    <w:p w14:paraId="4D8018FB" w14:textId="77777777" w:rsidR="000A7F7B" w:rsidRDefault="000A7F7B" w:rsidP="000A7F7B"/>
    <w:p w14:paraId="440BF4EF" w14:textId="15EAF08C" w:rsidR="00412C57" w:rsidRPr="000A7F7B" w:rsidRDefault="00412C57" w:rsidP="000A7F7B">
      <w:pPr>
        <w:rPr>
          <w:i/>
        </w:rPr>
      </w:pPr>
      <w:r w:rsidRPr="000A7F7B">
        <w:rPr>
          <w:i/>
        </w:rPr>
        <w:t>Zneužití institutu za účelem poškození skupiny</w:t>
      </w:r>
    </w:p>
    <w:p w14:paraId="140CA468" w14:textId="3424623D" w:rsidR="00412C57" w:rsidRDefault="00412C57" w:rsidP="000A7F7B">
      <w:r>
        <w:t>Jakkoliv je častěji zmiňováno zneužití institutu směrem k žalovanému (srov. dále), hovoří se někdy i o riziku zneužití hromadné žaloby s úmyslem zkrátit zájmy skupiny. Žalovaný si najde jednoho oprávněného, kterému za úplatu nabídne, aby zahájil hromadné řízení „v zájmu skupiny“. To je obratem skončeno smírem, v němž žalovaný zaplatí mnohem méně, než je skutečná škoda všech členů skupiny.</w:t>
      </w:r>
    </w:p>
    <w:p w14:paraId="464B29C7" w14:textId="77777777" w:rsidR="000A7F7B" w:rsidRDefault="000A7F7B" w:rsidP="000A7F7B"/>
    <w:p w14:paraId="20C802E9" w14:textId="14CCF23E" w:rsidR="00412C57" w:rsidRDefault="00412C57" w:rsidP="000A7F7B">
      <w:r>
        <w:t xml:space="preserve">Zneužít lze každý právní institut - v tomto ohledu tak podobná námitka nemůže mít zásadní povahu vylučující přijetí institutu. Věcný záměr však počítá s několika opatřeními, která by </w:t>
      </w:r>
      <w:r w:rsidR="000A7F7B">
        <w:t>podobným situacím měla zabránit:</w:t>
      </w:r>
    </w:p>
    <w:p w14:paraId="661439CC" w14:textId="07ED50F4" w:rsidR="00412C57" w:rsidRDefault="00412C57" w:rsidP="000A7F7B">
      <w:pPr>
        <w:pStyle w:val="Odstavecseseznamem"/>
        <w:numPr>
          <w:ilvl w:val="0"/>
          <w:numId w:val="19"/>
        </w:numPr>
      </w:pPr>
      <w:r>
        <w:t xml:space="preserve">Zaprvé, jak již bylo zmíněno, jde o posílenou úlohu soudu, který dohlíží na celý průběh řízení. V případě smíru pak zkoumá nejen soulad s hmotným právem, ale i soulad se zájmy celé skupiny. </w:t>
      </w:r>
      <w:r w:rsidRPr="00412C57">
        <w:t xml:space="preserve">V těchto situacích by </w:t>
      </w:r>
      <w:r>
        <w:t>soud</w:t>
      </w:r>
      <w:r w:rsidRPr="00412C57">
        <w:t xml:space="preserve"> smír schválit neměl. </w:t>
      </w:r>
    </w:p>
    <w:p w14:paraId="6EADDF8C" w14:textId="74698655" w:rsidR="00E04080" w:rsidRDefault="00412C57" w:rsidP="000A7F7B">
      <w:pPr>
        <w:pStyle w:val="Odstavecseseznamem"/>
        <w:numPr>
          <w:ilvl w:val="0"/>
          <w:numId w:val="19"/>
        </w:numPr>
      </w:pPr>
      <w:r w:rsidRPr="00412C57">
        <w:t>Důležité je dále ro</w:t>
      </w:r>
      <w:r w:rsidR="000A7F7B">
        <w:t>vněž povinné právní zastoupení. A</w:t>
      </w:r>
      <w:r w:rsidRPr="00412C57">
        <w:t xml:space="preserve">dvokát má </w:t>
      </w:r>
      <w:r w:rsidR="000A7F7B">
        <w:t xml:space="preserve">povinnost </w:t>
      </w:r>
      <w:r w:rsidRPr="00412C57">
        <w:t xml:space="preserve">hájit zájmy svého klienta, kterým </w:t>
      </w:r>
      <w:r w:rsidR="00E04080" w:rsidRPr="00412C57">
        <w:t xml:space="preserve">je </w:t>
      </w:r>
      <w:r w:rsidRPr="00412C57">
        <w:t>v případě hromadných žalob</w:t>
      </w:r>
      <w:r w:rsidR="000A7F7B">
        <w:t xml:space="preserve"> vedle zástupce skupiny</w:t>
      </w:r>
      <w:r w:rsidRPr="00412C57">
        <w:t xml:space="preserve"> </w:t>
      </w:r>
      <w:r w:rsidR="000A7F7B">
        <w:t>i</w:t>
      </w:r>
      <w:r w:rsidR="00E04080" w:rsidRPr="000A7F7B">
        <w:rPr>
          <w:i/>
        </w:rPr>
        <w:t xml:space="preserve"> </w:t>
      </w:r>
      <w:r w:rsidRPr="00412C57">
        <w:t xml:space="preserve">celá skupina. </w:t>
      </w:r>
      <w:r w:rsidR="00E04080">
        <w:t xml:space="preserve">Nadto je v advokátově </w:t>
      </w:r>
      <w:r>
        <w:t>zájmu</w:t>
      </w:r>
      <w:r w:rsidR="00E04080">
        <w:t>, aby celková vymožená částka byla co největší - z vymožené částky se totiž počítá jeho celková odměna.</w:t>
      </w:r>
    </w:p>
    <w:p w14:paraId="4FE65A1F" w14:textId="531C45A1" w:rsidR="00E04080" w:rsidRDefault="00E04080" w:rsidP="000A7F7B">
      <w:pPr>
        <w:pStyle w:val="Odstavecseseznamem"/>
        <w:numPr>
          <w:ilvl w:val="0"/>
          <w:numId w:val="19"/>
        </w:numPr>
      </w:pPr>
      <w:r>
        <w:t>Konečně jde o soudní poplatek, který bude velmi vysoký a od případného zneužití institutu bude odrazovat.</w:t>
      </w:r>
    </w:p>
    <w:p w14:paraId="0F536CBC" w14:textId="77777777" w:rsidR="000A7F7B" w:rsidRPr="00E04080" w:rsidRDefault="000A7F7B" w:rsidP="000A7F7B">
      <w:pPr>
        <w:pStyle w:val="Odstavecseseznamem"/>
        <w:ind w:left="720"/>
      </w:pPr>
    </w:p>
    <w:p w14:paraId="29C29FDF" w14:textId="72B64E55" w:rsidR="00F41219" w:rsidRDefault="00F41219" w:rsidP="000A7F7B">
      <w:pPr>
        <w:rPr>
          <w:b/>
        </w:rPr>
      </w:pPr>
      <w:r w:rsidRPr="000A7F7B">
        <w:rPr>
          <w:b/>
        </w:rPr>
        <w:t>ii. Námitky týkající se postavení žalovaného</w:t>
      </w:r>
    </w:p>
    <w:p w14:paraId="0E7F1389" w14:textId="77777777" w:rsidR="000A7F7B" w:rsidRPr="000A7F7B" w:rsidRDefault="000A7F7B" w:rsidP="000A7F7B">
      <w:pPr>
        <w:rPr>
          <w:b/>
        </w:rPr>
      </w:pPr>
    </w:p>
    <w:p w14:paraId="65CF587B" w14:textId="69944BEB" w:rsidR="008F29BD" w:rsidRDefault="00412C57" w:rsidP="00412C57">
      <w:pPr>
        <w:rPr>
          <w:i/>
        </w:rPr>
      </w:pPr>
      <w:r>
        <w:rPr>
          <w:i/>
        </w:rPr>
        <w:t>Možné zneužití institutu za účelem poškození dobré pověsti podnikatele/konkurenta</w:t>
      </w:r>
    </w:p>
    <w:p w14:paraId="464F4198" w14:textId="28A49B14" w:rsidR="00412C57" w:rsidRDefault="00E04080" w:rsidP="00412C57">
      <w:r>
        <w:t xml:space="preserve">Častěji než u skupiny, je možnost zneužití zmiňována v souvislosti se zájmy žalovaného. Hromadná žaloba je silný nástroj, který v případě medializace může vést k poškození či dokonce likvidaci podnikatele/konkurenta, který se ve skutečnosti žádného nekalého jednání nedopustil. </w:t>
      </w:r>
    </w:p>
    <w:p w14:paraId="0800E185" w14:textId="550C7E98" w:rsidR="00E04080" w:rsidRDefault="00E04080" w:rsidP="00412C57">
      <w:r>
        <w:t>Opět jde o reálné riziko, které je nicméně spojené se zavedením jakéhokoliv institutu. Stejně tak je možné zneužít individuální žalobu, insolvenční návrh či dokonce poškodit konkurenta mediálně i bez</w:t>
      </w:r>
      <w:r w:rsidR="000A7F7B">
        <w:t xml:space="preserve"> jakéhokoliv právního postupu</w:t>
      </w:r>
      <w:r>
        <w:t xml:space="preserve">. </w:t>
      </w:r>
    </w:p>
    <w:p w14:paraId="1C1B1F06" w14:textId="77777777" w:rsidR="00E04080" w:rsidRDefault="00E04080" w:rsidP="00412C57"/>
    <w:p w14:paraId="5725F110" w14:textId="4222E521" w:rsidR="00E04080" w:rsidRDefault="00E04080" w:rsidP="00412C57">
      <w:r>
        <w:t>Vedle toho věcný záměr počítá s nástroji, které by měly případnému zneuži</w:t>
      </w:r>
      <w:r w:rsidR="000A7F7B">
        <w:t>tí na úkor žalovaného zabránit:</w:t>
      </w:r>
    </w:p>
    <w:p w14:paraId="180E2313" w14:textId="77777777" w:rsidR="00E04080" w:rsidRPr="000A7F7B" w:rsidRDefault="00E04080" w:rsidP="000A7F7B">
      <w:pPr>
        <w:pStyle w:val="Odstavecseseznamem"/>
        <w:numPr>
          <w:ilvl w:val="0"/>
          <w:numId w:val="20"/>
        </w:numPr>
      </w:pPr>
      <w:r w:rsidRPr="000A7F7B">
        <w:t xml:space="preserve">Jde předně o vysoký soudní poplatek, který, jak se předpokládá, bude vytvářet dostatečnou ekonomickou bariéru pro případy, kdy hromadná žaloba nebude na místě. </w:t>
      </w:r>
    </w:p>
    <w:p w14:paraId="4DDE263B" w14:textId="4B52CF77" w:rsidR="00E04080" w:rsidRPr="000A7F7B" w:rsidRDefault="00E04080" w:rsidP="000A7F7B">
      <w:pPr>
        <w:pStyle w:val="Odstavecseseznamem"/>
        <w:numPr>
          <w:ilvl w:val="0"/>
          <w:numId w:val="20"/>
        </w:numPr>
      </w:pPr>
      <w:r w:rsidRPr="000A7F7B">
        <w:t>Pomoci by mělo i zavedení zvláštní fáze, tzv. certifikační fáze. V této fázi bude soud kromě splnění podmínek řízení zkoumat, zda cílem žaloby není jen zneužití či šikana žalovaného; sankcí bude neudělení certifikace, tedy nemožnost hromadné řízení vůbec vést.</w:t>
      </w:r>
    </w:p>
    <w:p w14:paraId="7775E8F9" w14:textId="5FB43CE4" w:rsidR="00E04080" w:rsidRPr="000A7F7B" w:rsidRDefault="00E04080" w:rsidP="000A7F7B">
      <w:pPr>
        <w:pStyle w:val="Odstavecseseznamem"/>
        <w:numPr>
          <w:ilvl w:val="0"/>
          <w:numId w:val="20"/>
        </w:numPr>
      </w:pPr>
      <w:r w:rsidRPr="000A7F7B">
        <w:t xml:space="preserve">Odrazovat od zneužití by měla i obrovská odpovědnost advokáta skupiny, </w:t>
      </w:r>
      <w:r w:rsidR="000A7F7B">
        <w:t>jenž</w:t>
      </w:r>
      <w:r w:rsidRPr="000A7F7B">
        <w:t xml:space="preserve"> bude financování celého řízení nést na svých bedrech a v případě neúspěchu hradit náklady žalovanému - ty budou u hromadných žalob </w:t>
      </w:r>
      <w:r w:rsidR="000A7F7B">
        <w:t xml:space="preserve">dosahovat </w:t>
      </w:r>
      <w:r w:rsidRPr="000A7F7B">
        <w:t>řádu stovek tisíc až milionů korun. Odměnu advokát přitom dostane pouze tehdy, pokud v řízení uspěje (obdrží procento z vysouzené částky).</w:t>
      </w:r>
    </w:p>
    <w:p w14:paraId="5A207B57" w14:textId="77777777" w:rsidR="00E04080" w:rsidRDefault="00E04080" w:rsidP="00E04080"/>
    <w:p w14:paraId="07FA5CCC" w14:textId="21EE2C4E" w:rsidR="00E04080" w:rsidRDefault="00E04080" w:rsidP="00E04080">
      <w:pPr>
        <w:rPr>
          <w:i/>
        </w:rPr>
      </w:pPr>
      <w:r>
        <w:rPr>
          <w:i/>
        </w:rPr>
        <w:t>Zásah do legitimního očekávání, do práv žalovaného</w:t>
      </w:r>
    </w:p>
    <w:p w14:paraId="726E8414" w14:textId="0E03490A" w:rsidR="004224C4" w:rsidRDefault="00E04080" w:rsidP="00E04080">
      <w:r>
        <w:t>Někdy se objevují i námitky, že hromadné žaloby zasahují do práv žalovaného</w:t>
      </w:r>
      <w:r w:rsidR="000A7F7B" w:rsidRPr="000A7F7B">
        <w:t xml:space="preserve"> </w:t>
      </w:r>
      <w:r w:rsidR="000A7F7B">
        <w:t>obecně</w:t>
      </w:r>
      <w:r>
        <w:t xml:space="preserve">. </w:t>
      </w:r>
    </w:p>
    <w:p w14:paraId="3A9224E5" w14:textId="77777777" w:rsidR="004224C4" w:rsidRDefault="004224C4" w:rsidP="00E04080"/>
    <w:p w14:paraId="43826B77" w14:textId="732462FF" w:rsidR="004224C4" w:rsidRDefault="004224C4" w:rsidP="00E04080">
      <w:r>
        <w:t>Jednak tehdy, když se hromadná žaloba zavede s „retroaktivními účinky“ - tj. její použití je možné i pro vymožení nároků, které vznikly již před účinností zákona. Jednak</w:t>
      </w:r>
      <w:r w:rsidR="000A7F7B">
        <w:t xml:space="preserve"> jde o obecné poškození jeho práv - v právním řádu, který</w:t>
      </w:r>
      <w:r>
        <w:t xml:space="preserve"> neumožňuje hromadné vymáhání nároků, se určité nároky vůbec nevymáhají. Zavedením hromadných žalob tak dochází k tomu, že škody, kterým doposud nebyla </w:t>
      </w:r>
      <w:r w:rsidR="000A7F7B">
        <w:t>ze strany poškozených</w:t>
      </w:r>
      <w:r>
        <w:t xml:space="preserve"> věnována pozornost, se nyní na popud byť i jediného oprávněného vymáhají kompletně.</w:t>
      </w:r>
    </w:p>
    <w:p w14:paraId="14D911EA" w14:textId="77777777" w:rsidR="004224C4" w:rsidRDefault="004224C4" w:rsidP="00E04080"/>
    <w:p w14:paraId="66910410" w14:textId="6B65332E" w:rsidR="004224C4" w:rsidRDefault="004224C4" w:rsidP="00E04080">
      <w:r>
        <w:t>K první námitce lze uvést, že zavedení procesního nástroje, jakým jsou hromadné žaloby, nemůže být zasaženo do legitimního očekávání jiného. Hromadné žaloby nevytváří nové hmotně právní nároky, které by tu</w:t>
      </w:r>
      <w:r w:rsidR="000A7F7B">
        <w:t xml:space="preserve"> dříve</w:t>
      </w:r>
      <w:r>
        <w:t xml:space="preserve"> nebyly. Individuální nároky již dávno existují a je dokonce možné je i vymáhat cestou individuálních žalob. Kolektivní žaloba jen zavádí další procesní nástroj, </w:t>
      </w:r>
      <w:r w:rsidR="000A7F7B">
        <w:t>jehož cílem je</w:t>
      </w:r>
      <w:r>
        <w:t xml:space="preserve"> vymáhání již existujících nároků </w:t>
      </w:r>
      <w:r w:rsidR="000A7F7B">
        <w:t>usnadnit</w:t>
      </w:r>
      <w:r>
        <w:t xml:space="preserve">. </w:t>
      </w:r>
      <w:r w:rsidR="000A7F7B">
        <w:t>Zákonodárci n</w:t>
      </w:r>
      <w:r>
        <w:t xml:space="preserve">adto nic nebrání </w:t>
      </w:r>
      <w:r w:rsidR="000A7F7B">
        <w:t>v tom, aby stanovil</w:t>
      </w:r>
      <w:r>
        <w:t>, že zákon se použije pouze na nároky</w:t>
      </w:r>
      <w:r w:rsidR="000A7F7B">
        <w:t xml:space="preserve"> vzniklé po nabytí účinnosti</w:t>
      </w:r>
      <w:r>
        <w:t>.</w:t>
      </w:r>
    </w:p>
    <w:p w14:paraId="15C83A3A" w14:textId="77777777" w:rsidR="004224C4" w:rsidRDefault="004224C4" w:rsidP="00E04080"/>
    <w:p w14:paraId="535358AF" w14:textId="2D70480C" w:rsidR="004224C4" w:rsidRDefault="004224C4" w:rsidP="00E04080">
      <w:r>
        <w:t xml:space="preserve">Ani druhá námitka neobstojí. </w:t>
      </w:r>
      <w:r w:rsidR="000A7F7B">
        <w:t>Odvěká</w:t>
      </w:r>
      <w:r>
        <w:t xml:space="preserve"> </w:t>
      </w:r>
      <w:r w:rsidR="000A7F7B">
        <w:t xml:space="preserve">právní </w:t>
      </w:r>
      <w:r>
        <w:t>zásada praví, že nikdo se nemůže dovolávat své vlastní nepoctivosti. Pokud tedy někdo dlouhodobě zneužívá nevymahatelnost</w:t>
      </w:r>
      <w:r w:rsidR="00844A1A">
        <w:t>i</w:t>
      </w:r>
      <w:r>
        <w:t xml:space="preserve"> určitých nároků, využívá svého postavení silnější strany a poškozuje obrovské skupiny </w:t>
      </w:r>
      <w:r w:rsidR="00844A1A">
        <w:t>osob</w:t>
      </w:r>
      <w:r>
        <w:t>, nemůže očekávat, že jeho jednání bude právem chráněno</w:t>
      </w:r>
      <w:r w:rsidR="00844A1A">
        <w:t xml:space="preserve"> navždy</w:t>
      </w:r>
      <w:r>
        <w:t>. Opět je nutné zopakovat, že jednání, na něž dopadnou hromadné žaloby, jsou postižitelná i pravidly dnešního právního řádu. Ať už jde o nekalou soutěž, odpovědnost za škodu, práva spotřebitele či zákony na ochranu životního prostředí - všechna jednání v rozporu s těmito normami již dnes vedou k porušení práva, které je postižitelné a vymahatelné u soudu. Hromadné žaloby jen toto vymáhání usnadňují tím, že všechny nároky soustřeďují do jednoho jediného řízení.</w:t>
      </w:r>
    </w:p>
    <w:p w14:paraId="7463FD08" w14:textId="77777777" w:rsidR="004224C4" w:rsidRDefault="004224C4" w:rsidP="00E04080"/>
    <w:p w14:paraId="25C44A76" w14:textId="38D9600A" w:rsidR="004224C4" w:rsidRDefault="004224C4" w:rsidP="00E04080">
      <w:r>
        <w:t xml:space="preserve">Ostatně i pro žalovaného </w:t>
      </w:r>
      <w:r w:rsidR="00844A1A">
        <w:t>přinese</w:t>
      </w:r>
      <w:r>
        <w:t xml:space="preserve"> zavedení institutu mnoho </w:t>
      </w:r>
      <w:r w:rsidR="00844A1A">
        <w:t>výhod</w:t>
      </w:r>
      <w:r>
        <w:t xml:space="preserve">. </w:t>
      </w:r>
      <w:r w:rsidR="00844A1A">
        <w:t>Vymáhají-li</w:t>
      </w:r>
      <w:r>
        <w:t xml:space="preserve"> dnes poškození </w:t>
      </w:r>
      <w:r w:rsidR="00844A1A">
        <w:t>některé z nároků</w:t>
      </w:r>
      <w:r>
        <w:t xml:space="preserve"> individuálně, žalovanému z takových řízení vznikají opakovaně další a další náklady</w:t>
      </w:r>
      <w:r w:rsidR="001573C3">
        <w:t xml:space="preserve">, které by si mohl ušetřit, pokud by </w:t>
      </w:r>
      <w:r w:rsidR="00844A1A">
        <w:t xml:space="preserve">byly </w:t>
      </w:r>
      <w:r w:rsidR="001573C3">
        <w:t xml:space="preserve">všechny spory soustředěny do jednoho řízení. </w:t>
      </w:r>
      <w:r w:rsidR="00844A1A">
        <w:t xml:space="preserve">Lze proto předpokládat, že tito žalovaní změnu uvítají. </w:t>
      </w:r>
      <w:r w:rsidR="001573C3">
        <w:t xml:space="preserve">U žalob na plnění je postavení žalovaného ještě více </w:t>
      </w:r>
      <w:r w:rsidR="00844A1A">
        <w:t>zvýhodněno</w:t>
      </w:r>
      <w:r w:rsidR="001573C3">
        <w:t xml:space="preserve">: v případě neúspěchu nemusí žalovaný </w:t>
      </w:r>
      <w:r w:rsidR="00844A1A">
        <w:t xml:space="preserve">úspěšné </w:t>
      </w:r>
      <w:r w:rsidR="001573C3">
        <w:t xml:space="preserve">protistraně nahrazovat náklady řízení, neboť tyto náklady platil advokát skupiny, který je pokryje z přiznané odměny. Odměna advokáta se přitom strhne přímo z přiznané částky, tudíž ani tu nemusí žalovaný zástupci skupiny v rámci náhrady nákladů řízení </w:t>
      </w:r>
      <w:r w:rsidR="00844A1A">
        <w:t>hradit</w:t>
      </w:r>
      <w:r w:rsidR="001573C3">
        <w:t xml:space="preserve">. </w:t>
      </w:r>
    </w:p>
    <w:p w14:paraId="064621A6" w14:textId="77777777" w:rsidR="00844A1A" w:rsidRPr="00E04080" w:rsidRDefault="00844A1A" w:rsidP="00E04080"/>
    <w:p w14:paraId="4C415A00" w14:textId="1724BA6F" w:rsidR="001573C3" w:rsidRPr="00844A1A" w:rsidRDefault="001573C3" w:rsidP="00844A1A">
      <w:pPr>
        <w:rPr>
          <w:b/>
        </w:rPr>
      </w:pPr>
      <w:r w:rsidRPr="00844A1A">
        <w:rPr>
          <w:b/>
        </w:rPr>
        <w:t>iii. Shrnutí</w:t>
      </w:r>
    </w:p>
    <w:p w14:paraId="7A6EEA93" w14:textId="7BF87BF0" w:rsidR="006D6071" w:rsidRDefault="001573C3" w:rsidP="00CB74FB">
      <w:r>
        <w:t xml:space="preserve">Jak plyne z výše nastíněných argumentů, </w:t>
      </w:r>
      <w:r w:rsidR="006D6071">
        <w:t>zavedení hromadných žalob do českého právního řádu v podobě, která se navrhuje, je čistě politickým rozhodnutím. V</w:t>
      </w:r>
      <w:r>
        <w:t>eškeré</w:t>
      </w:r>
      <w:r w:rsidR="006D6071">
        <w:t xml:space="preserve"> (ústavně)právní</w:t>
      </w:r>
      <w:r>
        <w:t xml:space="preserve"> námi</w:t>
      </w:r>
      <w:r w:rsidR="006D6071">
        <w:t>tky či obavy, které proti tomuto institutu směřují</w:t>
      </w:r>
      <w:r>
        <w:t xml:space="preserve">, jsou </w:t>
      </w:r>
      <w:r w:rsidR="006D6071">
        <w:t xml:space="preserve">spíše </w:t>
      </w:r>
      <w:r>
        <w:t xml:space="preserve">znakem jeho nepochopení. V případě vhodného nastavení parametrů zákona, ať už jde o upravení pravomocí jednotlivých aktérů, zakotvení zesíleného dohledu ze strany soudu, možnosti z řízení vystoupit, </w:t>
      </w:r>
      <w:r w:rsidR="006D6071">
        <w:t xml:space="preserve">vhodného způsobu informování, </w:t>
      </w:r>
      <w:r>
        <w:t xml:space="preserve">povinného advokátního zastoupení či zavedení pojistek proti zneužití, </w:t>
      </w:r>
      <w:r w:rsidR="006D6071">
        <w:t xml:space="preserve">totiž </w:t>
      </w:r>
      <w:r>
        <w:t>žádná z námitek k protizákonnosti či snad dokonce k protiústavnosti kolektivní žaloby</w:t>
      </w:r>
      <w:r w:rsidR="006D6071">
        <w:t xml:space="preserve"> vést nemůže</w:t>
      </w:r>
      <w:r w:rsidR="00844A1A">
        <w:t>.</w:t>
      </w:r>
      <w:r w:rsidR="006D6071">
        <w:t xml:space="preserve"> O tom svědčí i skutečnost, že k zavedení hromadných žalob se </w:t>
      </w:r>
      <w:r>
        <w:t>již uchýlila většina států v</w:t>
      </w:r>
      <w:r w:rsidR="006D6071">
        <w:t> </w:t>
      </w:r>
      <w:r>
        <w:t>Evropě</w:t>
      </w:r>
      <w:r w:rsidR="006D6071">
        <w:t>, některé i v režimu opt-out</w:t>
      </w:r>
      <w:r>
        <w:t xml:space="preserve">. V zámoří  </w:t>
      </w:r>
      <w:r w:rsidR="006D6071">
        <w:rPr>
          <w:i/>
        </w:rPr>
        <w:t>class action</w:t>
      </w:r>
      <w:r>
        <w:t xml:space="preserve"> </w:t>
      </w:r>
      <w:r w:rsidR="006D6071">
        <w:t>funguje již několik desítek let.</w:t>
      </w:r>
    </w:p>
    <w:p w14:paraId="06B7AC63" w14:textId="77777777" w:rsidR="00CB74FB" w:rsidRDefault="00CB74FB" w:rsidP="00CB74FB"/>
    <w:p w14:paraId="4F5D11BA" w14:textId="77777777" w:rsidR="00CB74FB" w:rsidRPr="00CB74FB" w:rsidRDefault="00CB74FB" w:rsidP="00CB74FB"/>
    <w:p w14:paraId="1B7047DC" w14:textId="6216850F" w:rsidR="008671D4" w:rsidRDefault="00785D03" w:rsidP="008671D4">
      <w:pPr>
        <w:pStyle w:val="Nadpis1"/>
      </w:pPr>
      <w:r w:rsidRPr="002D78DE">
        <w:t>Přehled souvisejících právních předpisů</w:t>
      </w:r>
    </w:p>
    <w:p w14:paraId="14FB78D4" w14:textId="0E571178" w:rsidR="008671D4" w:rsidRDefault="008671D4" w:rsidP="000558A0">
      <w:pPr>
        <w:pStyle w:val="Nadpis2"/>
      </w:pPr>
      <w:r>
        <w:t>Přehled právních předpisů</w:t>
      </w:r>
    </w:p>
    <w:p w14:paraId="561DDD97" w14:textId="36D00C66" w:rsidR="00A91A88" w:rsidRDefault="00A86870" w:rsidP="00A91A88">
      <w:pPr>
        <w:pStyle w:val="Nadpis2"/>
        <w:numPr>
          <w:ilvl w:val="0"/>
          <w:numId w:val="0"/>
        </w:numPr>
        <w:spacing w:line="360" w:lineRule="auto"/>
        <w:rPr>
          <w:b w:val="0"/>
        </w:rPr>
      </w:pPr>
      <w:r>
        <w:rPr>
          <w:b w:val="0"/>
        </w:rPr>
        <w:t>S</w:t>
      </w:r>
      <w:r w:rsidR="00A91A88">
        <w:rPr>
          <w:b w:val="0"/>
        </w:rPr>
        <w:t xml:space="preserve">oučasná právní úprava </w:t>
      </w:r>
      <w:r>
        <w:rPr>
          <w:b w:val="0"/>
        </w:rPr>
        <w:t xml:space="preserve">již </w:t>
      </w:r>
      <w:r w:rsidR="00A91A88">
        <w:rPr>
          <w:b w:val="0"/>
        </w:rPr>
        <w:t xml:space="preserve">některé dílčí </w:t>
      </w:r>
      <w:r w:rsidR="00360A1F">
        <w:rPr>
          <w:b w:val="0"/>
        </w:rPr>
        <w:t>prvky</w:t>
      </w:r>
      <w:r w:rsidR="00C0732F">
        <w:rPr>
          <w:b w:val="0"/>
        </w:rPr>
        <w:t xml:space="preserve"> </w:t>
      </w:r>
      <w:r w:rsidR="00A91A88">
        <w:rPr>
          <w:b w:val="0"/>
        </w:rPr>
        <w:t>kolektivní ochrany individuálních práv</w:t>
      </w:r>
      <w:r>
        <w:rPr>
          <w:b w:val="0"/>
        </w:rPr>
        <w:t xml:space="preserve"> obsahuje</w:t>
      </w:r>
      <w:r w:rsidR="00A91A88">
        <w:rPr>
          <w:b w:val="0"/>
        </w:rPr>
        <w:t xml:space="preserve">. </w:t>
      </w:r>
      <w:r w:rsidR="00360A1F">
        <w:rPr>
          <w:b w:val="0"/>
        </w:rPr>
        <w:t>Z</w:t>
      </w:r>
      <w:r w:rsidR="00A91A88">
        <w:rPr>
          <w:b w:val="0"/>
        </w:rPr>
        <w:t> </w:t>
      </w:r>
      <w:r w:rsidR="00BC1961">
        <w:rPr>
          <w:b w:val="0"/>
        </w:rPr>
        <w:t xml:space="preserve">níže </w:t>
      </w:r>
      <w:r w:rsidR="00A91A88">
        <w:rPr>
          <w:b w:val="0"/>
        </w:rPr>
        <w:t xml:space="preserve">uvedeného přehledu je </w:t>
      </w:r>
      <w:r w:rsidR="00360A1F">
        <w:rPr>
          <w:b w:val="0"/>
        </w:rPr>
        <w:t xml:space="preserve">nicméně </w:t>
      </w:r>
      <w:r w:rsidR="00A91A88">
        <w:rPr>
          <w:b w:val="0"/>
        </w:rPr>
        <w:t xml:space="preserve">zjevné, že </w:t>
      </w:r>
      <w:r>
        <w:rPr>
          <w:b w:val="0"/>
        </w:rPr>
        <w:t>jde o úpravu</w:t>
      </w:r>
      <w:r w:rsidR="00A91A88">
        <w:rPr>
          <w:b w:val="0"/>
        </w:rPr>
        <w:t xml:space="preserve"> </w:t>
      </w:r>
      <w:r w:rsidR="00360A1F">
        <w:rPr>
          <w:b w:val="0"/>
        </w:rPr>
        <w:t>velice</w:t>
      </w:r>
      <w:r w:rsidR="00A91A88">
        <w:rPr>
          <w:b w:val="0"/>
        </w:rPr>
        <w:t xml:space="preserve"> roztříšt</w:t>
      </w:r>
      <w:r>
        <w:rPr>
          <w:b w:val="0"/>
        </w:rPr>
        <w:t>ěnou</w:t>
      </w:r>
      <w:r w:rsidR="00A91A88">
        <w:rPr>
          <w:b w:val="0"/>
        </w:rPr>
        <w:t xml:space="preserve"> a nekoncepční.</w:t>
      </w:r>
      <w:r w:rsidR="00BC1961">
        <w:rPr>
          <w:b w:val="0"/>
        </w:rPr>
        <w:t xml:space="preserve"> </w:t>
      </w:r>
      <w:r w:rsidR="005F04D9">
        <w:rPr>
          <w:b w:val="0"/>
        </w:rPr>
        <w:t>Ve všech níže uvedených předpisech je přitom kolektivní ochraně věnováno minimum prostoru. Např. u občanského zákoníku jde o 2-3 ustanovení, v případě občanského soudního řádu jde o 2 ustanovení apod.</w:t>
      </w:r>
    </w:p>
    <w:p w14:paraId="0D9FB286" w14:textId="1BFAE8A2" w:rsidR="00BC1961" w:rsidRDefault="00BC1961" w:rsidP="00A91A88">
      <w:pPr>
        <w:pStyle w:val="Nadpis2"/>
        <w:numPr>
          <w:ilvl w:val="0"/>
          <w:numId w:val="0"/>
        </w:numPr>
        <w:spacing w:line="360" w:lineRule="auto"/>
        <w:rPr>
          <w:b w:val="0"/>
        </w:rPr>
      </w:pPr>
      <w:r>
        <w:rPr>
          <w:b w:val="0"/>
        </w:rPr>
        <w:t>Prvky kolektivní ochrany lze spatřovat v následujících předpisech:</w:t>
      </w:r>
    </w:p>
    <w:p w14:paraId="468C443C" w14:textId="03BB50B8" w:rsidR="00177725" w:rsidRPr="009A0904" w:rsidRDefault="00177725" w:rsidP="00ED50B4">
      <w:pPr>
        <w:pStyle w:val="Odstavecseseznamem"/>
        <w:numPr>
          <w:ilvl w:val="0"/>
          <w:numId w:val="5"/>
        </w:numPr>
      </w:pPr>
      <w:r>
        <w:t>z</w:t>
      </w:r>
      <w:r w:rsidRPr="00177725">
        <w:t>ákon č. 89/2012 Sb., občanský zákoník</w:t>
      </w:r>
      <w:r>
        <w:t xml:space="preserve">, </w:t>
      </w:r>
      <w:r w:rsidRPr="00177725">
        <w:rPr>
          <w:szCs w:val="24"/>
          <w:lang w:eastAsia="cs-CZ"/>
        </w:rPr>
        <w:t>ve znění pozdějších předpisů</w:t>
      </w:r>
      <w:r w:rsidR="00BC1961">
        <w:rPr>
          <w:szCs w:val="24"/>
          <w:lang w:eastAsia="cs-CZ"/>
        </w:rPr>
        <w:t>;</w:t>
      </w:r>
    </w:p>
    <w:p w14:paraId="415F35BC" w14:textId="4414495B" w:rsidR="009A0904" w:rsidRPr="009A0904" w:rsidRDefault="009A0904" w:rsidP="00ED50B4">
      <w:pPr>
        <w:pStyle w:val="Odstavecseseznamem"/>
        <w:numPr>
          <w:ilvl w:val="0"/>
          <w:numId w:val="5"/>
        </w:numPr>
      </w:pPr>
      <w:r>
        <w:t>zákon č. 99/1963 Sb., o</w:t>
      </w:r>
      <w:r w:rsidRPr="00177725">
        <w:t>bčanský soudní řád</w:t>
      </w:r>
      <w:r>
        <w:t xml:space="preserve">, </w:t>
      </w:r>
      <w:r w:rsidRPr="00177725">
        <w:rPr>
          <w:szCs w:val="24"/>
          <w:lang w:eastAsia="cs-CZ"/>
        </w:rPr>
        <w:t>ve znění pozdějších předpisů</w:t>
      </w:r>
      <w:r w:rsidR="00BC1961">
        <w:rPr>
          <w:szCs w:val="24"/>
          <w:lang w:eastAsia="cs-CZ"/>
        </w:rPr>
        <w:t>;</w:t>
      </w:r>
    </w:p>
    <w:p w14:paraId="632C7774" w14:textId="594F0FD5" w:rsidR="009A0904" w:rsidRPr="00177725" w:rsidRDefault="009A0904" w:rsidP="00ED50B4">
      <w:pPr>
        <w:pStyle w:val="Odstavecseseznamem"/>
        <w:numPr>
          <w:ilvl w:val="0"/>
          <w:numId w:val="5"/>
        </w:numPr>
      </w:pPr>
      <w:r>
        <w:t>z</w:t>
      </w:r>
      <w:r w:rsidRPr="00177725">
        <w:t>ákon č. 634/1992 Sb., o ochraně spotřebitele, ve znění pozdějších předpisů</w:t>
      </w:r>
      <w:r w:rsidR="00BC1961">
        <w:t>;</w:t>
      </w:r>
    </w:p>
    <w:p w14:paraId="740FB790" w14:textId="4352A5BE" w:rsidR="009A0904" w:rsidRPr="00177725" w:rsidRDefault="009A0904" w:rsidP="00ED50B4">
      <w:pPr>
        <w:pStyle w:val="Odstavecseseznamem"/>
        <w:numPr>
          <w:ilvl w:val="0"/>
          <w:numId w:val="5"/>
        </w:numPr>
      </w:pPr>
      <w:r w:rsidRPr="00177725">
        <w:t>zákon č. 90/2012 Sb., o obchodních korporacích</w:t>
      </w:r>
      <w:r>
        <w:t>,</w:t>
      </w:r>
      <w:r w:rsidRPr="00177725">
        <w:rPr>
          <w:szCs w:val="24"/>
          <w:lang w:eastAsia="cs-CZ"/>
        </w:rPr>
        <w:t xml:space="preserve"> ve znění pozdějších předpisů</w:t>
      </w:r>
      <w:r w:rsidR="00BC1961">
        <w:rPr>
          <w:szCs w:val="24"/>
          <w:lang w:eastAsia="cs-CZ"/>
        </w:rPr>
        <w:t>;</w:t>
      </w:r>
    </w:p>
    <w:p w14:paraId="59C70765" w14:textId="54AD48BB" w:rsidR="009A0904" w:rsidRPr="009A0904" w:rsidRDefault="009A0904" w:rsidP="00ED50B4">
      <w:pPr>
        <w:pStyle w:val="Odstavecseseznamem"/>
        <w:numPr>
          <w:ilvl w:val="0"/>
          <w:numId w:val="5"/>
        </w:numPr>
      </w:pPr>
      <w:r w:rsidRPr="00177725">
        <w:t>zákon č. 125/2008 Sb., o přeměnách obchodních společností a družstev</w:t>
      </w:r>
      <w:r>
        <w:t xml:space="preserve">, </w:t>
      </w:r>
      <w:r w:rsidRPr="00177725">
        <w:rPr>
          <w:szCs w:val="24"/>
          <w:lang w:eastAsia="cs-CZ"/>
        </w:rPr>
        <w:t>ve znění pozdějších předpisů</w:t>
      </w:r>
      <w:r w:rsidR="00BC1961">
        <w:rPr>
          <w:szCs w:val="24"/>
          <w:lang w:eastAsia="cs-CZ"/>
        </w:rPr>
        <w:t>;</w:t>
      </w:r>
    </w:p>
    <w:p w14:paraId="6A99A879" w14:textId="16CC1E8E" w:rsidR="009A0904" w:rsidRPr="00177725" w:rsidRDefault="009A0904" w:rsidP="00ED50B4">
      <w:pPr>
        <w:pStyle w:val="Odstavecseseznamem"/>
        <w:numPr>
          <w:ilvl w:val="0"/>
          <w:numId w:val="5"/>
        </w:numPr>
      </w:pPr>
      <w:r w:rsidRPr="00177725">
        <w:t>zákon č. 104/2008 Sb., o nabídkách převzetí</w:t>
      </w:r>
      <w:r>
        <w:t xml:space="preserve">, </w:t>
      </w:r>
      <w:r w:rsidRPr="00177725">
        <w:rPr>
          <w:szCs w:val="24"/>
          <w:lang w:eastAsia="cs-CZ"/>
        </w:rPr>
        <w:t>ve znění pozdějších předpisů</w:t>
      </w:r>
      <w:r w:rsidR="00BC1961">
        <w:rPr>
          <w:szCs w:val="24"/>
          <w:lang w:eastAsia="cs-CZ"/>
        </w:rPr>
        <w:t>;</w:t>
      </w:r>
    </w:p>
    <w:p w14:paraId="65CE960C" w14:textId="6434E01A" w:rsidR="009A0904" w:rsidRPr="00177725" w:rsidRDefault="009A0904" w:rsidP="00ED50B4">
      <w:pPr>
        <w:pStyle w:val="Odstavecseseznamem"/>
        <w:numPr>
          <w:ilvl w:val="0"/>
          <w:numId w:val="5"/>
        </w:numPr>
      </w:pPr>
      <w:r>
        <w:t>z</w:t>
      </w:r>
      <w:r w:rsidRPr="00177725">
        <w:t>ákon č. 26/2000 Sb.</w:t>
      </w:r>
      <w:r>
        <w:t>,</w:t>
      </w:r>
      <w:r w:rsidRPr="00177725">
        <w:t xml:space="preserve"> o veřejných dražbách</w:t>
      </w:r>
      <w:r>
        <w:t xml:space="preserve">, </w:t>
      </w:r>
      <w:r w:rsidRPr="00177725">
        <w:rPr>
          <w:szCs w:val="24"/>
          <w:lang w:eastAsia="cs-CZ"/>
        </w:rPr>
        <w:t>ve znění pozdějších předpisů</w:t>
      </w:r>
      <w:r w:rsidR="00BC1961">
        <w:rPr>
          <w:szCs w:val="24"/>
          <w:lang w:eastAsia="cs-CZ"/>
        </w:rPr>
        <w:t>;</w:t>
      </w:r>
    </w:p>
    <w:p w14:paraId="38E1CC08" w14:textId="5B863B88" w:rsidR="00177725" w:rsidRPr="00177725" w:rsidRDefault="00177725" w:rsidP="00ED50B4">
      <w:pPr>
        <w:pStyle w:val="Odstavecseseznamem"/>
        <w:numPr>
          <w:ilvl w:val="0"/>
          <w:numId w:val="5"/>
        </w:numPr>
      </w:pPr>
      <w:r>
        <w:t>z</w:t>
      </w:r>
      <w:r w:rsidRPr="00177725">
        <w:t>ákon č. 221/2006 Sb., o vymáhání práv z průmyslového vlastnictví</w:t>
      </w:r>
      <w:r>
        <w:t>,</w:t>
      </w:r>
      <w:r w:rsidRPr="00177725">
        <w:rPr>
          <w:szCs w:val="24"/>
          <w:lang w:eastAsia="cs-CZ"/>
        </w:rPr>
        <w:t xml:space="preserve"> ve znění pozdějších předpisů</w:t>
      </w:r>
      <w:r w:rsidR="00BC1961">
        <w:rPr>
          <w:szCs w:val="24"/>
          <w:lang w:eastAsia="cs-CZ"/>
        </w:rPr>
        <w:t>;</w:t>
      </w:r>
    </w:p>
    <w:p w14:paraId="1BE6585D" w14:textId="47A6B46F" w:rsidR="00177725" w:rsidRPr="00177725" w:rsidRDefault="00177725" w:rsidP="00ED50B4">
      <w:pPr>
        <w:pStyle w:val="Odstavecseseznamem"/>
        <w:numPr>
          <w:ilvl w:val="0"/>
          <w:numId w:val="5"/>
        </w:numPr>
      </w:pPr>
      <w:r>
        <w:t>z</w:t>
      </w:r>
      <w:r w:rsidRPr="00177725">
        <w:t>ákon č. 527/1990 Sb., o vynálezech a zlepšovacích návrzíc</w:t>
      </w:r>
      <w:r>
        <w:t>h, ve znění pozdějších předpisů</w:t>
      </w:r>
      <w:r w:rsidR="00BC1961">
        <w:t>;</w:t>
      </w:r>
    </w:p>
    <w:p w14:paraId="6ED8B58F" w14:textId="6164F2F8" w:rsidR="00177725" w:rsidRPr="00177725" w:rsidRDefault="00177725" w:rsidP="00ED50B4">
      <w:pPr>
        <w:pStyle w:val="Odstavecseseznamem"/>
        <w:numPr>
          <w:ilvl w:val="0"/>
          <w:numId w:val="5"/>
        </w:numPr>
      </w:pPr>
      <w:r>
        <w:t>z</w:t>
      </w:r>
      <w:r w:rsidRPr="00177725">
        <w:t>ákon č. 529/1991 Sb., o ochraně topografií polovodičových výrobk</w:t>
      </w:r>
      <w:r>
        <w:t>ů, ve znění pozdějších předpisů</w:t>
      </w:r>
      <w:r w:rsidR="00BC1961">
        <w:t>;</w:t>
      </w:r>
    </w:p>
    <w:p w14:paraId="0ABA1D9F" w14:textId="78C9FC77" w:rsidR="00177725" w:rsidRPr="00177725" w:rsidRDefault="00177725" w:rsidP="00ED50B4">
      <w:pPr>
        <w:pStyle w:val="Odstavecseseznamem"/>
        <w:numPr>
          <w:ilvl w:val="0"/>
          <w:numId w:val="5"/>
        </w:numPr>
      </w:pPr>
      <w:r>
        <w:t>z</w:t>
      </w:r>
      <w:r w:rsidRPr="00177725">
        <w:t>ákon č. 478/1992 Sb., o užitných vzorec</w:t>
      </w:r>
      <w:r>
        <w:t>h, ve znění pozdějších předpisů</w:t>
      </w:r>
      <w:r w:rsidR="00BC1961">
        <w:t>;</w:t>
      </w:r>
    </w:p>
    <w:p w14:paraId="210F1B2E" w14:textId="25E6C81E" w:rsidR="00177725" w:rsidRPr="00177725" w:rsidRDefault="00177725" w:rsidP="00ED50B4">
      <w:pPr>
        <w:pStyle w:val="Odstavecseseznamem"/>
        <w:numPr>
          <w:ilvl w:val="0"/>
          <w:numId w:val="5"/>
        </w:numPr>
      </w:pPr>
      <w:r w:rsidRPr="00177725">
        <w:t xml:space="preserve">zákon č. 207/2000 Sb., o ochraně průmyslových vzorů a o změně zákona č. 527/1990 Sb., </w:t>
      </w:r>
      <w:r w:rsidR="00272780" w:rsidRPr="00177725">
        <w:t>o</w:t>
      </w:r>
      <w:r w:rsidR="00272780">
        <w:t> </w:t>
      </w:r>
      <w:r w:rsidRPr="00177725">
        <w:t>vynálezech, průmyslových vzorech a zlepšovacích návrzích, ve znění pozdějších předpisů</w:t>
      </w:r>
      <w:r w:rsidR="00BC1961">
        <w:t>;</w:t>
      </w:r>
    </w:p>
    <w:p w14:paraId="5B9272F3" w14:textId="2FBCE14A" w:rsidR="00177725" w:rsidRPr="00177725" w:rsidRDefault="00177725" w:rsidP="00ED50B4">
      <w:pPr>
        <w:pStyle w:val="Odstavecseseznamem"/>
        <w:numPr>
          <w:ilvl w:val="0"/>
          <w:numId w:val="5"/>
        </w:numPr>
      </w:pPr>
      <w:r w:rsidRPr="00177725">
        <w:t>zákon č. 452/2001 Sb., o ochraně označení původu a zeměpisných označení a o změně zákona o ochraně spotřebitele, ve znění zákona č. 131/2003 Sb. a zákona č. 501/2004 Sb</w:t>
      </w:r>
      <w:r w:rsidR="009E6550">
        <w:t>.;</w:t>
      </w:r>
      <w:r w:rsidRPr="00177725">
        <w:t xml:space="preserve"> </w:t>
      </w:r>
    </w:p>
    <w:p w14:paraId="1C50B9CF" w14:textId="5BBDCE3B" w:rsidR="00177725" w:rsidRPr="00177725" w:rsidRDefault="00177725" w:rsidP="00ED50B4">
      <w:pPr>
        <w:pStyle w:val="Odstavecseseznamem"/>
        <w:numPr>
          <w:ilvl w:val="0"/>
          <w:numId w:val="5"/>
        </w:numPr>
      </w:pPr>
      <w:r w:rsidRPr="00177725">
        <w:t xml:space="preserve">zákon č. 441/2003 Sb., o ochranných známkách a o změně zákona č. 6/2002 Sb., o soudech, soudcích, přísedících a státní správě soudů a o změně některých dalších zákonů (zákon </w:t>
      </w:r>
      <w:r w:rsidR="00272780" w:rsidRPr="00177725">
        <w:t>o</w:t>
      </w:r>
      <w:r w:rsidR="00272780">
        <w:t> </w:t>
      </w:r>
      <w:r w:rsidRPr="00177725">
        <w:t xml:space="preserve">soudech a soudcích), ve znění pozdějších předpisů, (zákon o ochranných známkách), ve znění </w:t>
      </w:r>
      <w:r w:rsidR="00272780">
        <w:t>pozdějších předpisů</w:t>
      </w:r>
      <w:r w:rsidR="009E6550">
        <w:t>;</w:t>
      </w:r>
    </w:p>
    <w:p w14:paraId="5303EF5F" w14:textId="09E63E15" w:rsidR="00177725" w:rsidRPr="00177725" w:rsidRDefault="00177725" w:rsidP="00ED50B4">
      <w:pPr>
        <w:pStyle w:val="Odstavecseseznamem"/>
        <w:numPr>
          <w:ilvl w:val="0"/>
          <w:numId w:val="5"/>
        </w:numPr>
      </w:pPr>
      <w:r>
        <w:t>z</w:t>
      </w:r>
      <w:r w:rsidRPr="00177725">
        <w:t>ákon č. 408/2000 Sb., o ochraně práv k</w:t>
      </w:r>
      <w:r>
        <w:t> </w:t>
      </w:r>
      <w:r w:rsidRPr="00177725">
        <w:t>odrůdám</w:t>
      </w:r>
      <w:r>
        <w:t>,</w:t>
      </w:r>
      <w:r w:rsidRPr="00177725">
        <w:rPr>
          <w:szCs w:val="24"/>
          <w:lang w:eastAsia="cs-CZ"/>
        </w:rPr>
        <w:t xml:space="preserve"> ve znění pozdějších předpisů</w:t>
      </w:r>
      <w:r w:rsidR="009E6550">
        <w:rPr>
          <w:szCs w:val="24"/>
          <w:lang w:eastAsia="cs-CZ"/>
        </w:rPr>
        <w:t>.</w:t>
      </w:r>
    </w:p>
    <w:p w14:paraId="6C118680" w14:textId="4F710286" w:rsidR="00785D03" w:rsidRPr="002D78DE" w:rsidRDefault="00785D03" w:rsidP="00785D03">
      <w:pPr>
        <w:pStyle w:val="Nadpis2"/>
      </w:pPr>
      <w:r w:rsidRPr="002D78DE">
        <w:t>Základní zásady a účel předpisů</w:t>
      </w:r>
    </w:p>
    <w:p w14:paraId="0ADFE158" w14:textId="77777777" w:rsidR="00234158" w:rsidRDefault="00234158" w:rsidP="00813620"/>
    <w:p w14:paraId="4629C223" w14:textId="5DC2B6BB" w:rsidR="00360A1F" w:rsidRDefault="008E73DC" w:rsidP="00813620">
      <w:r>
        <w:t>Jak vyplývá z výše uvedeného přehledu souvisejících právních předpisů, je soudobá úprava velmi kusá a upravuje pouze jedno</w:t>
      </w:r>
      <w:r w:rsidR="00564309">
        <w:t>t</w:t>
      </w:r>
      <w:r>
        <w:t xml:space="preserve">livé dílčí segmenty kolektivní ochrany. </w:t>
      </w:r>
      <w:r w:rsidR="00371AA4">
        <w:t xml:space="preserve">Některá tato </w:t>
      </w:r>
      <w:r w:rsidR="00360A1F">
        <w:t>dílčí pravidla</w:t>
      </w:r>
      <w:r>
        <w:t xml:space="preserve"> </w:t>
      </w:r>
      <w:r w:rsidR="00360A1F">
        <w:t>nebudou</w:t>
      </w:r>
      <w:r>
        <w:t xml:space="preserve"> zákonem o hr</w:t>
      </w:r>
      <w:r w:rsidR="00564309">
        <w:t>o</w:t>
      </w:r>
      <w:r>
        <w:t xml:space="preserve">madných žalobách v zásadě </w:t>
      </w:r>
      <w:r w:rsidR="00360A1F">
        <w:t xml:space="preserve">nijak </w:t>
      </w:r>
      <w:r>
        <w:t>dotčen</w:t>
      </w:r>
      <w:r w:rsidR="00360A1F">
        <w:t>a</w:t>
      </w:r>
      <w:r w:rsidR="00371AA4">
        <w:t>; n</w:t>
      </w:r>
      <w:r>
        <w:t>aopak</w:t>
      </w:r>
      <w:r w:rsidR="00371AA4">
        <w:t>,</w:t>
      </w:r>
      <w:r>
        <w:t xml:space="preserve"> počítá se s jejich zachováním.</w:t>
      </w:r>
      <w:r w:rsidR="00371AA4">
        <w:t xml:space="preserve"> Zvláštní úprava zdržovacích žalob, která je implementací evropské právní úpravy (směrnice</w:t>
      </w:r>
      <w:r w:rsidR="00371AA4" w:rsidRPr="00371AA4">
        <w:t xml:space="preserve"> </w:t>
      </w:r>
      <w:r w:rsidR="00C95B49">
        <w:t xml:space="preserve">Evropského parlamentu a Rady </w:t>
      </w:r>
      <w:r w:rsidR="00371AA4" w:rsidRPr="00371AA4">
        <w:t>2009/22/ES o žalobách na zdržení se jednání v oblasti ochrany zájmů spotřebitelů</w:t>
      </w:r>
      <w:r w:rsidR="00371AA4">
        <w:t>) by měla být naproti tomu inkorporována do zákona o hromadných žalobách, a to v návaznosti na případný další vývoj v této oblasti (</w:t>
      </w:r>
      <w:r w:rsidR="00FC2159">
        <w:t>blíže k tomu zprávu Evropské komise SWD(2017) 209 final ze dne 23.</w:t>
      </w:r>
      <w:r w:rsidR="00C95B49">
        <w:t xml:space="preserve"> </w:t>
      </w:r>
      <w:r w:rsidR="00FC2159">
        <w:t>5.</w:t>
      </w:r>
      <w:r w:rsidR="00C95B49">
        <w:t xml:space="preserve"> </w:t>
      </w:r>
      <w:r w:rsidR="00FC2159">
        <w:t>2017, analyzující mj. výše cit. směrnici z roku 2009</w:t>
      </w:r>
      <w:r w:rsidR="00FC2159">
        <w:rPr>
          <w:rStyle w:val="Znakapoznpodarou"/>
        </w:rPr>
        <w:footnoteReference w:id="14"/>
      </w:r>
      <w:r w:rsidR="00FC2159">
        <w:t>).</w:t>
      </w:r>
    </w:p>
    <w:p w14:paraId="4A50975C" w14:textId="77777777" w:rsidR="00360A1F" w:rsidRDefault="00360A1F" w:rsidP="00813620"/>
    <w:p w14:paraId="49D4A371" w14:textId="08930255" w:rsidR="00234158" w:rsidRPr="004E4115" w:rsidRDefault="008E73DC" w:rsidP="00813620">
      <w:r>
        <w:t xml:space="preserve">Cílem navrhované právní úpravy je přijmout jediný zákon, který </w:t>
      </w:r>
      <w:r w:rsidR="00564309">
        <w:t>souhrnně</w:t>
      </w:r>
      <w:r>
        <w:t xml:space="preserve"> a komplexně upraví oblast</w:t>
      </w:r>
      <w:r w:rsidR="00360A1F">
        <w:t>i</w:t>
      </w:r>
      <w:r>
        <w:t xml:space="preserve"> vztahů</w:t>
      </w:r>
      <w:r w:rsidR="009504CF">
        <w:t>, na které</w:t>
      </w:r>
      <w:r>
        <w:t xml:space="preserve"> není doposud pamatováno</w:t>
      </w:r>
      <w:r w:rsidR="00360A1F">
        <w:t xml:space="preserve"> anebo je na ně pamatováno nedostatečně</w:t>
      </w:r>
      <w:r>
        <w:t xml:space="preserve">.  </w:t>
      </w:r>
      <w:r w:rsidR="009504CF">
        <w:t xml:space="preserve">Vymezení těchto oblastí je dáno samotnou obecností zamýšlených hromadných žalob. Zákon </w:t>
      </w:r>
      <w:r w:rsidR="009F1969">
        <w:t>o </w:t>
      </w:r>
      <w:r w:rsidR="009504CF">
        <w:t xml:space="preserve">hromadných žalobách se bude vztahovat na všechny </w:t>
      </w:r>
      <w:r w:rsidR="005F04D9">
        <w:t>nároky, které je dnes možné uplatňovat podle obecného předpisu pro civilní řízení soudní</w:t>
      </w:r>
      <w:r w:rsidR="009504CF">
        <w:t xml:space="preserve">, </w:t>
      </w:r>
      <w:r w:rsidR="00BF7149">
        <w:t xml:space="preserve">vyjma těch, které budou </w:t>
      </w:r>
      <w:r w:rsidR="00360A1F">
        <w:t xml:space="preserve">výslovně vyloučeny (jde </w:t>
      </w:r>
      <w:r w:rsidR="009504CF">
        <w:t>zejména o oblasti obchodního práva</w:t>
      </w:r>
      <w:r w:rsidR="00360A1F">
        <w:t xml:space="preserve"> a </w:t>
      </w:r>
      <w:r w:rsidR="00BF7149">
        <w:t xml:space="preserve">správního práva, </w:t>
      </w:r>
      <w:r w:rsidR="009504CF">
        <w:t xml:space="preserve">které by vzhledem k jejich značným specifikům nebylo vhodné zařazovat do obecné </w:t>
      </w:r>
      <w:r w:rsidR="00BF7149">
        <w:t>úpravy</w:t>
      </w:r>
      <w:r w:rsidR="00FE0E5A">
        <w:t>)</w:t>
      </w:r>
      <w:r w:rsidR="00BF7149">
        <w:t xml:space="preserve">. Právní úprava tak dopadne na vztahy soukromoprávní povahy, </w:t>
      </w:r>
      <w:r w:rsidR="00FE0E5A">
        <w:t>v</w:t>
      </w:r>
      <w:r w:rsidR="00BF7149">
        <w:t> nichž vznikají uplatnitelné nároky jakéhokoliv typu</w:t>
      </w:r>
      <w:r w:rsidR="00175672">
        <w:t xml:space="preserve"> – na určení, negatorní či na plnění</w:t>
      </w:r>
      <w:r w:rsidR="000632DF">
        <w:t xml:space="preserve"> – </w:t>
      </w:r>
      <w:r w:rsidR="00971A3E">
        <w:t>a které se projednávají v soudním řízení sporném</w:t>
      </w:r>
      <w:r w:rsidR="00175672">
        <w:t>.</w:t>
      </w:r>
      <w:r w:rsidR="00971A3E">
        <w:t xml:space="preserve"> </w:t>
      </w:r>
      <w:r w:rsidR="00C95B49">
        <w:t xml:space="preserve">Naproti tomu vyloučeny </w:t>
      </w:r>
      <w:r w:rsidR="00971A3E">
        <w:t>budou věci, které se projednávají v řízení nesporném.</w:t>
      </w:r>
      <w:r w:rsidR="00175672">
        <w:t xml:space="preserve"> Účelem je dostatečné poskytnutí ochrany pro oblasti </w:t>
      </w:r>
      <w:r w:rsidR="00FE0E5A">
        <w:t xml:space="preserve">jako </w:t>
      </w:r>
      <w:r w:rsidR="00175672">
        <w:t>ochran</w:t>
      </w:r>
      <w:r w:rsidR="00FE0E5A">
        <w:t>a</w:t>
      </w:r>
      <w:r w:rsidR="00175672">
        <w:t xml:space="preserve"> spotřebitelů</w:t>
      </w:r>
      <w:r w:rsidR="00FE0E5A">
        <w:t xml:space="preserve"> či</w:t>
      </w:r>
      <w:r w:rsidR="00175672">
        <w:t xml:space="preserve"> životního prostředí,</w:t>
      </w:r>
      <w:r w:rsidR="00FE0E5A">
        <w:t xml:space="preserve"> oblast</w:t>
      </w:r>
      <w:r w:rsidR="00175672">
        <w:t xml:space="preserve"> lékařsk</w:t>
      </w:r>
      <w:r w:rsidR="00FE0E5A">
        <w:t>á nebo</w:t>
      </w:r>
      <w:r w:rsidR="00175672">
        <w:t xml:space="preserve"> pracovně právní</w:t>
      </w:r>
      <w:r w:rsidR="00FE0E5A">
        <w:t xml:space="preserve"> apod.</w:t>
      </w:r>
      <w:r w:rsidR="00175672">
        <w:t xml:space="preserve"> </w:t>
      </w:r>
    </w:p>
    <w:p w14:paraId="223319EA" w14:textId="77777777" w:rsidR="000076E7" w:rsidRDefault="000076E7" w:rsidP="000076E7">
      <w:pPr>
        <w:pStyle w:val="Nadpis1"/>
      </w:pPr>
      <w:r w:rsidRPr="002D78DE">
        <w:t>Zhodnocení současné právní úpravy</w:t>
      </w:r>
    </w:p>
    <w:p w14:paraId="59A074DE" w14:textId="2618A8FE" w:rsidR="00431C10" w:rsidRDefault="00431C10" w:rsidP="000076E7"/>
    <w:p w14:paraId="55F73FF3" w14:textId="07C1379B" w:rsidR="00431C10" w:rsidRDefault="00431C10" w:rsidP="00431C10">
      <w:r>
        <w:t xml:space="preserve">Problematika kolektivního uplatňování práv jednotlivců je problematikou relativně novou, reagující na vývoj společnosti </w:t>
      </w:r>
      <w:r w:rsidR="00A86870">
        <w:t xml:space="preserve">zejména ve 20. a 21. století, jakkoliv počátky lze spatřovat již v dobách průmyslové revoluce, kdy došlo ke změně způsobu výroby (blíže viz kapitolu 1). </w:t>
      </w:r>
      <w:r>
        <w:t xml:space="preserve"> Přestože v rovině hmotněprávní je na takové výzvy moderní doby úspěšně pamatováno, je nutné nastavit i odpovídající procesní mechanismy tak, aby práva vyznačující se „hromadností“ byla efektivně uplatňována.</w:t>
      </w:r>
    </w:p>
    <w:p w14:paraId="095D20AD" w14:textId="77777777" w:rsidR="00431C10" w:rsidRDefault="00431C10" w:rsidP="00431C10"/>
    <w:p w14:paraId="54BB46B1" w14:textId="7338D2CA" w:rsidR="00431C10" w:rsidRDefault="00431C10" w:rsidP="00431C10">
      <w:pPr>
        <w:rPr>
          <w:color w:val="000000"/>
        </w:rPr>
      </w:pPr>
      <w:r>
        <w:t>Projev snahy o nalezení odpovídajících procesních mechanismů lze pozorovat i na úrovni Evropské Unie (dále též „EU“), která tyto skutečnosti již promítla směrnicí Evropského parlamentu a Rady č. 98/27/ES, jež</w:t>
      </w:r>
      <w:r w:rsidRPr="0051291A">
        <w:t xml:space="preserve"> </w:t>
      </w:r>
      <w:r>
        <w:t xml:space="preserve">zavedla v přeshraničním styku možnost ochrany hromadných negatorních zájmů spotřebitelské veřejnosti. Dále následovaly konzultační řízení i rezoluce Evropského parlamentu ze dne 2. 2. 2012. Snahy Evropské unie na poli kolektivní ochrany práv, které lze do značné míry vnímat jako nezbytný procesní doplněk hospodářské a sociální politiky Unie v oblastech jako je ochrana spotřebitele, ochrana před nekalou soutěží či ochrana životního prostředí, vyvrcholily přijetím doporučení Evropské Komise č. </w:t>
      </w:r>
      <w:r w:rsidRPr="005F74FA">
        <w:t>2013/396/EU</w:t>
      </w:r>
      <w:r>
        <w:t xml:space="preserve"> ze dne 11. 6. 2013. Toto doporučení hovoří o konkrétních oblastech (</w:t>
      </w:r>
      <w:r>
        <w:rPr>
          <w:color w:val="000000"/>
        </w:rPr>
        <w:t xml:space="preserve">ochrana spotřebitele, hospodářská soutěž, ochrana životního prostředí, ochrana osobních údajů, finanční služby a ochrana investic), ve kterých prosazování kolektivní právní ochrany má smysl. </w:t>
      </w:r>
    </w:p>
    <w:p w14:paraId="2F93D6D5" w14:textId="77777777" w:rsidR="00431C10" w:rsidRDefault="00431C10" w:rsidP="00431C10">
      <w:pPr>
        <w:rPr>
          <w:color w:val="000000"/>
        </w:rPr>
      </w:pPr>
    </w:p>
    <w:p w14:paraId="55A57DBF" w14:textId="0126248B" w:rsidR="00431C10" w:rsidRDefault="00431C10" w:rsidP="00431C10">
      <w:pPr>
        <w:rPr>
          <w:color w:val="000000"/>
        </w:rPr>
      </w:pPr>
      <w:r>
        <w:t xml:space="preserve">EU svojí činností nabádá členské státy, aby vytvořily a přijaly systémy kolektivní právní ochrany, v souladu se svými vnitrostátními předpisy a právními tradicemi, neboť si je vědoma skutečnosti, že bez odpovídající procesní úpravy není možné dosáhnout plného úspěchu při prosazování zájmů Unie. Současně je ze strany EU pamatováno na zachování </w:t>
      </w:r>
      <w:r>
        <w:rPr>
          <w:color w:val="000000"/>
        </w:rPr>
        <w:t>základních procesních práv účastníků řízení a ochranu před zneužitím.</w:t>
      </w:r>
    </w:p>
    <w:p w14:paraId="2F54A663" w14:textId="77777777" w:rsidR="00431C10" w:rsidRPr="00444284" w:rsidRDefault="00431C10" w:rsidP="00431C10"/>
    <w:p w14:paraId="6A9063DF" w14:textId="5BE5BBEC" w:rsidR="00431C10" w:rsidRDefault="00431C10" w:rsidP="00431C10">
      <w:r>
        <w:t xml:space="preserve">Přestože lze v jednotlivých právních předpisech nalézt některé dílčí aspekty této ochrany, nejedná se o úpravu komplexní. Současná </w:t>
      </w:r>
      <w:r w:rsidR="00C95B49">
        <w:t>legislativa</w:t>
      </w:r>
      <w:r>
        <w:t xml:space="preserve"> v České republice tak neposkytuje kolektivní ochranu individuálních práv na takové úrovni, která </w:t>
      </w:r>
      <w:r w:rsidR="00C95B49">
        <w:t>se</w:t>
      </w:r>
      <w:r>
        <w:t xml:space="preserve"> od moderního právního státu</w:t>
      </w:r>
      <w:r w:rsidR="00C95B49">
        <w:t xml:space="preserve"> očekává</w:t>
      </w:r>
      <w:r>
        <w:t>. Pro b</w:t>
      </w:r>
      <w:r w:rsidRPr="00E734DD">
        <w:t>ližší informace o</w:t>
      </w:r>
      <w:r>
        <w:t> </w:t>
      </w:r>
      <w:r w:rsidRPr="00E734DD">
        <w:t>jednotlivých problémech a popisu existujícího právního stavu viz kapitolu 1.2 a 1.3 závěrečné zprávy RIA.</w:t>
      </w:r>
    </w:p>
    <w:p w14:paraId="54D118B1" w14:textId="2C0B1EB2" w:rsidR="001A6DB4" w:rsidRDefault="001A6DB4" w:rsidP="000076E7"/>
    <w:p w14:paraId="64CF941A" w14:textId="5495A270" w:rsidR="001A6DB4" w:rsidRDefault="001A6DB4" w:rsidP="000076E7">
      <w:r>
        <w:t>Násl</w:t>
      </w:r>
      <w:r w:rsidR="00431C10">
        <w:t xml:space="preserve">edující část obsahuje jednak </w:t>
      </w:r>
      <w:r>
        <w:t>shrnutí nedostatků existující právní úpravy (</w:t>
      </w:r>
      <w:r w:rsidR="00A86870">
        <w:t>3</w:t>
      </w:r>
      <w:r>
        <w:t>.1), dále shrnutí problémů spojených s neexistencí komplexní právní</w:t>
      </w:r>
      <w:r w:rsidR="00A86870">
        <w:t xml:space="preserve"> úpravy (3</w:t>
      </w:r>
      <w:r w:rsidR="00431C10">
        <w:t xml:space="preserve">.2) a konečně analýzu </w:t>
      </w:r>
      <w:r>
        <w:t xml:space="preserve">jednotlivých dílčích problémů, které byly v souvislosti s chybějící </w:t>
      </w:r>
      <w:r w:rsidR="00D4184C">
        <w:t xml:space="preserve">úpravou hromadné žaloby </w:t>
      </w:r>
      <w:r w:rsidR="00A86870">
        <w:t>identifikovány (3</w:t>
      </w:r>
      <w:r>
        <w:t>.3).</w:t>
      </w:r>
    </w:p>
    <w:p w14:paraId="4DBD94DD" w14:textId="77777777" w:rsidR="000076E7" w:rsidRPr="001419C8" w:rsidRDefault="000076E7" w:rsidP="00CB74FB"/>
    <w:p w14:paraId="7D04C76F" w14:textId="77777777" w:rsidR="000076E7" w:rsidRDefault="000076E7" w:rsidP="000076E7">
      <w:pPr>
        <w:pStyle w:val="Nadpis2"/>
      </w:pPr>
      <w:r>
        <w:t>Rozbor stávajícího stavu</w:t>
      </w:r>
    </w:p>
    <w:p w14:paraId="04D85791" w14:textId="77777777" w:rsidR="000076E7" w:rsidRDefault="000076E7" w:rsidP="000076E7"/>
    <w:p w14:paraId="2B8B7302" w14:textId="39587D55" w:rsidR="000076E7" w:rsidRDefault="000076E7" w:rsidP="000076E7">
      <w:r>
        <w:t>Pokud jde o rozbor existující legislativy, největší měrou by se na kolektivní ochraně práv měly podílet spotřebitelské organizace podle zákona o ochraně spotřebitele. Ze zákona jsou tyto organizace oprávněny podávat</w:t>
      </w:r>
      <w:r w:rsidRPr="00B927F9">
        <w:t xml:space="preserve"> </w:t>
      </w:r>
      <w:r>
        <w:t xml:space="preserve">negatorní žaloby (§ 25 odst. 2 zákona o ochraně spotřebitele). </w:t>
      </w:r>
    </w:p>
    <w:p w14:paraId="4F87F82C" w14:textId="77777777" w:rsidR="000076E7" w:rsidRDefault="000076E7" w:rsidP="000076E7"/>
    <w:p w14:paraId="4A4365C8" w14:textId="0ACD3CA4" w:rsidR="000076E7" w:rsidRDefault="000076E7" w:rsidP="000076E7">
      <w:r>
        <w:t>Z</w:t>
      </w:r>
      <w:r w:rsidR="00E51D74">
        <w:t xml:space="preserve"> ministerstvem provedeného </w:t>
      </w:r>
      <w:r>
        <w:t xml:space="preserve">průzkumu však </w:t>
      </w:r>
      <w:r w:rsidR="00E51D74">
        <w:t>vyplynulo</w:t>
      </w:r>
      <w:r>
        <w:t xml:space="preserve">, že tato ochrana spotřebitelů je z několika následujících důvodů problematická a v zásadě zcela nefunkční. </w:t>
      </w:r>
      <w:r w:rsidR="00C0732F">
        <w:t>Ž</w:t>
      </w:r>
      <w:r>
        <w:t>aloba na zdržení se protiprávního jednání</w:t>
      </w:r>
      <w:r w:rsidR="00C0732F">
        <w:t xml:space="preserve"> předně</w:t>
      </w:r>
      <w:r>
        <w:t xml:space="preserve"> nedokáže adekvátně reagovat na všechny okolnosti, které porušují práva spotřebitelů. Nelze tak po škůdcích vymáhat náhradu škody či jiné peněžité plnění. V této oblasti je tak ochrana spotřebitelů značně ztížena. Současně </w:t>
      </w:r>
      <w:r w:rsidR="00E51D74">
        <w:t xml:space="preserve">je pro spotřebitelské organizace </w:t>
      </w:r>
      <w:r>
        <w:t xml:space="preserve">při uplatňování negatorní žaloby náročné formulovat zdržovací petit, neboť ze strany žalovaného dochází v průběhu řízení několikrát k modifikaci jeho činnosti tak, aby bylo </w:t>
      </w:r>
      <w:r w:rsidR="00E51D74">
        <w:t xml:space="preserve">vyhovění žalobě </w:t>
      </w:r>
      <w:r>
        <w:t xml:space="preserve">zabráněno. Spotřebitelské organizace se tak potýkají s velmi </w:t>
      </w:r>
      <w:r w:rsidR="00E51D74">
        <w:t xml:space="preserve">nízkým </w:t>
      </w:r>
      <w:r>
        <w:t xml:space="preserve">procentem úspešnosti jimi podaných žalob. Dalším </w:t>
      </w:r>
      <w:r w:rsidR="00E51D74">
        <w:t xml:space="preserve">projevem nedostatečnosti </w:t>
      </w:r>
      <w:r>
        <w:t xml:space="preserve">současné úpravy je také značná délka soudního řízení. Financování sporu představuje další a nejzásadnější úskalí pro spotřebitelské organizace, neboť jejich potenciální neúspěch ve věci a hrazení nákladů protistraně by pro většinu spotřebitelských organizací </w:t>
      </w:r>
      <w:r w:rsidR="00F00707">
        <w:t xml:space="preserve">byly </w:t>
      </w:r>
      <w:r>
        <w:t>likvidační.</w:t>
      </w:r>
    </w:p>
    <w:p w14:paraId="16A475F0" w14:textId="77777777" w:rsidR="000076E7" w:rsidRDefault="000076E7" w:rsidP="000076E7"/>
    <w:p w14:paraId="3E4D2838" w14:textId="14D2084F" w:rsidR="000076E7" w:rsidRDefault="000076E7" w:rsidP="000076E7">
      <w:r>
        <w:t xml:space="preserve">Z uvedeného je patrné, že ač současná právní úprava poskytuje </w:t>
      </w:r>
      <w:r w:rsidR="003E3997">
        <w:t xml:space="preserve">jistou omezenou procesně právní ochranu, </w:t>
      </w:r>
      <w:r>
        <w:t xml:space="preserve">tyto prostředky </w:t>
      </w:r>
      <w:r w:rsidR="003E3997">
        <w:t>v praxi</w:t>
      </w:r>
      <w:r>
        <w:t xml:space="preserve"> selhávají. To zavdává příčinu pro vytváření „nezdravého podnikatelského prostředí“, ve kterém škůdci nemají potřebu ustat ve svém protiprávním jednání, neboť samotní poškození nemají zájem své nároky </w:t>
      </w:r>
      <w:r w:rsidR="00C0732F">
        <w:t xml:space="preserve">jakkoliv </w:t>
      </w:r>
      <w:r>
        <w:t>uplatňovat a spotřebitelské organizace nemají možnost hájit zájmy spotřebitelů co do nároků na plnění.</w:t>
      </w:r>
    </w:p>
    <w:p w14:paraId="35337C98" w14:textId="77777777" w:rsidR="000076E7" w:rsidRDefault="000076E7" w:rsidP="000076E7"/>
    <w:p w14:paraId="133FA784" w14:textId="05A0D711" w:rsidR="000076E7" w:rsidRDefault="00A86870" w:rsidP="000076E7">
      <w:r>
        <w:t>V</w:t>
      </w:r>
      <w:r w:rsidR="000076E7">
        <w:t xml:space="preserve">ýše uvedeným </w:t>
      </w:r>
      <w:r>
        <w:t>nedostatkům</w:t>
      </w:r>
      <w:r w:rsidR="000076E7">
        <w:t xml:space="preserve"> se podrobně věnuje kapitola 1.2.1</w:t>
      </w:r>
      <w:r w:rsidR="00E734DD">
        <w:t>.2</w:t>
      </w:r>
      <w:r w:rsidR="000076E7">
        <w:t xml:space="preserve"> závěrečné zprávy z hodnocení dopadů regulace.</w:t>
      </w:r>
    </w:p>
    <w:p w14:paraId="0C0A33B2" w14:textId="77777777" w:rsidR="000076E7" w:rsidRDefault="000076E7" w:rsidP="000076E7"/>
    <w:p w14:paraId="7E6DE4BD" w14:textId="77777777" w:rsidR="000076E7" w:rsidRDefault="000076E7" w:rsidP="000076E7">
      <w:pPr>
        <w:pStyle w:val="Nadpis2"/>
      </w:pPr>
      <w:r>
        <w:t>Rozbor stavu v oblasti doposud neupravené</w:t>
      </w:r>
    </w:p>
    <w:p w14:paraId="2AEDA869" w14:textId="77777777" w:rsidR="005D3F18" w:rsidRDefault="005D3F18" w:rsidP="00CB74FB"/>
    <w:p w14:paraId="58ED25E3" w14:textId="20B4D7CD" w:rsidR="000076E7" w:rsidRDefault="000076E7" w:rsidP="000076E7">
      <w:r>
        <w:t>K veškerým identifikovaným problémům neexistence komplexní právní úpravy kolektivního řízení je věnována kapitola 1</w:t>
      </w:r>
      <w:r w:rsidR="00E734DD">
        <w:t>.2.1.1 a kapitoly 1.2.2 až 1.2.6</w:t>
      </w:r>
      <w:r>
        <w:t xml:space="preserve"> závěrečné zprávy z hodnocení dopadů regulace. Mají-li však být zmíněny hlavní oblasti dopadu absence jednotné právní úpravy, lze je spatřovat v následujících nedostatcích.</w:t>
      </w:r>
    </w:p>
    <w:p w14:paraId="75630FB6" w14:textId="77777777" w:rsidR="00E734DD" w:rsidRDefault="00E734DD" w:rsidP="000076E7"/>
    <w:p w14:paraId="6EB01D5B" w14:textId="4FB21192" w:rsidR="00E734DD" w:rsidRDefault="00E734DD" w:rsidP="00E734DD">
      <w:r>
        <w:t xml:space="preserve">Absence adekvátní právní úpravy se projevuje </w:t>
      </w:r>
      <w:r w:rsidR="00146BD9">
        <w:t xml:space="preserve">v </w:t>
      </w:r>
      <w:r>
        <w:t xml:space="preserve">různých </w:t>
      </w:r>
      <w:r w:rsidR="00146BD9">
        <w:t>oblastech</w:t>
      </w:r>
      <w:r>
        <w:t xml:space="preserve">, avšak nejvíce patrné jsou nedostatky v oblasti ochrany spotřebitele, kdy ze strany samotných spotřebitelů </w:t>
      </w:r>
      <w:r w:rsidR="000632DF">
        <w:t>nedochází k vymáhání práv, která jsou jim přiznávána</w:t>
      </w:r>
      <w:r>
        <w:t xml:space="preserve">. Přestože je spotřebitel subjektem, který požívá </w:t>
      </w:r>
      <w:r w:rsidR="00146BD9">
        <w:t>ve vztazích s podnikatelem podle hmotného práva</w:t>
      </w:r>
      <w:r>
        <w:t xml:space="preserve"> zvýšené ochrany, lze konstatovat, že </w:t>
      </w:r>
      <w:r w:rsidR="00146BD9">
        <w:t xml:space="preserve">za současného </w:t>
      </w:r>
      <w:r>
        <w:t xml:space="preserve">stavu </w:t>
      </w:r>
      <w:r w:rsidR="00146BD9">
        <w:t xml:space="preserve">nemají </w:t>
      </w:r>
      <w:r>
        <w:t>spotřebitelé zájem svá práva</w:t>
      </w:r>
      <w:r w:rsidR="00C0732F">
        <w:t xml:space="preserve"> bránit</w:t>
      </w:r>
      <w:r>
        <w:t xml:space="preserve">, neboť uplatňování jejich nároků není dostatečně podpořeno efektivní </w:t>
      </w:r>
      <w:r w:rsidR="00C0732F">
        <w:t>procesní</w:t>
      </w:r>
      <w:r>
        <w:t xml:space="preserve"> úpravou. Dochází tak k situaci, kdy spotřebitelé kvůli zhoršenému přístupu k justici</w:t>
      </w:r>
      <w:r w:rsidR="00146BD9" w:rsidRPr="00146BD9">
        <w:t xml:space="preserve"> </w:t>
      </w:r>
      <w:r w:rsidR="00146BD9">
        <w:t xml:space="preserve">své nároky neuplatňují. To je dáno především </w:t>
      </w:r>
      <w:r>
        <w:t>značnými náklady</w:t>
      </w:r>
      <w:r w:rsidR="00146BD9">
        <w:t xml:space="preserve"> spojenými s vedením</w:t>
      </w:r>
      <w:r>
        <w:t xml:space="preserve"> řízení, které by povětšinou převyšovaly </w:t>
      </w:r>
      <w:r w:rsidR="00146BD9">
        <w:t xml:space="preserve">přínos z případného úspěchu ve </w:t>
      </w:r>
      <w:r>
        <w:t xml:space="preserve">sporu. </w:t>
      </w:r>
    </w:p>
    <w:p w14:paraId="544948D1" w14:textId="77777777" w:rsidR="00E734DD" w:rsidRDefault="00E734DD" w:rsidP="00E734DD"/>
    <w:p w14:paraId="07944007" w14:textId="2E787738" w:rsidR="00E734DD" w:rsidRDefault="00E734DD" w:rsidP="00E734DD">
      <w:r>
        <w:t>Dalšími dotčenými oblastmi, na které nová právní úprava cílí, jsou ty, pro něž je typický vznik velkého počtu nároků ze stejného nebo obdobného protiprávního jednání</w:t>
      </w:r>
      <w:r w:rsidR="00146BD9">
        <w:t xml:space="preserve"> či stavu</w:t>
      </w:r>
      <w:r>
        <w:t xml:space="preserve">. Typicky se bude jednat </w:t>
      </w:r>
      <w:r w:rsidR="00146BD9">
        <w:t>o </w:t>
      </w:r>
      <w:r>
        <w:t xml:space="preserve">oblasti ochrany životního prostředí, medicínské, pracovně právní či hospodářské soutěže apod. Svou povahou se jedná většinou o relativně </w:t>
      </w:r>
      <w:r w:rsidR="00146BD9">
        <w:t xml:space="preserve">nízké </w:t>
      </w:r>
      <w:r>
        <w:t>či bagatelní nároky u většího počtu poškozených, které v dnešní době nejsou zcela anebo dostatečně uplatňovány.</w:t>
      </w:r>
    </w:p>
    <w:p w14:paraId="1A7B4F0C" w14:textId="77777777" w:rsidR="00E734DD" w:rsidRDefault="00E734DD" w:rsidP="00E734DD"/>
    <w:p w14:paraId="740E988E" w14:textId="22F55A35" w:rsidR="000076E7" w:rsidRDefault="00E734DD" w:rsidP="000076E7">
      <w:r>
        <w:t xml:space="preserve">V případech, kdy se nicméně poškození na soud obrátí, objevují se jiná rizika. </w:t>
      </w:r>
      <w:r w:rsidR="000076E7">
        <w:t>Předně je zde dán</w:t>
      </w:r>
      <w:r>
        <w:t>a</w:t>
      </w:r>
      <w:r w:rsidR="000076E7">
        <w:t xml:space="preserve"> </w:t>
      </w:r>
      <w:r>
        <w:t>hrozba</w:t>
      </w:r>
      <w:r w:rsidR="00C0732F">
        <w:t xml:space="preserve"> přetíženosti soudů</w:t>
      </w:r>
      <w:r w:rsidR="000076E7">
        <w:t xml:space="preserve"> nápadem </w:t>
      </w:r>
      <w:r w:rsidR="00C0732F">
        <w:t xml:space="preserve">individuálně </w:t>
      </w:r>
      <w:r w:rsidR="000076E7">
        <w:t xml:space="preserve">uplatňovaných hromadných nároků. Jinými slovy řečeno, poškození budou své nároky uplatňovat pouze samostatně, ve svém individuálním řízení, přestože by se o těchto nárocích </w:t>
      </w:r>
      <w:r w:rsidR="00C95B49">
        <w:t xml:space="preserve">dalo reálně </w:t>
      </w:r>
      <w:r w:rsidR="000076E7">
        <w:t xml:space="preserve">vést jedno kolektivní řízení. </w:t>
      </w:r>
    </w:p>
    <w:p w14:paraId="6EFF670F" w14:textId="77777777" w:rsidR="000076E7" w:rsidRDefault="000076E7" w:rsidP="000076E7"/>
    <w:p w14:paraId="5721A4CE" w14:textId="2938A887" w:rsidR="000076E7" w:rsidRDefault="000076E7" w:rsidP="000076E7">
      <w:r>
        <w:t xml:space="preserve">Navazující úskalí tkví v hrozící nejednotnosti </w:t>
      </w:r>
      <w:r w:rsidR="00C0732F">
        <w:t>soudního rozhodování</w:t>
      </w:r>
      <w:r>
        <w:t xml:space="preserve">, kdy v obdobných případech </w:t>
      </w:r>
      <w:r w:rsidR="00C0732F">
        <w:t>hrozí</w:t>
      </w:r>
      <w:r>
        <w:t>, že soudy budou postupovat odlišně.</w:t>
      </w:r>
    </w:p>
    <w:p w14:paraId="40BC6481" w14:textId="77777777" w:rsidR="000076E7" w:rsidRDefault="000076E7" w:rsidP="000076E7"/>
    <w:p w14:paraId="16687166" w14:textId="0DA59222" w:rsidR="000076E7" w:rsidRDefault="000076E7" w:rsidP="000076E7">
      <w:r>
        <w:t>Tyto jednotlivé problémy ve svém důsledku mohou narušit právní jistotu v</w:t>
      </w:r>
      <w:r w:rsidR="00146BD9">
        <w:t>e vztahu k</w:t>
      </w:r>
      <w:r>
        <w:t> soudní</w:t>
      </w:r>
      <w:r w:rsidR="00146BD9">
        <w:t>mu</w:t>
      </w:r>
      <w:r>
        <w:t xml:space="preserve"> rozhodování </w:t>
      </w:r>
      <w:r w:rsidR="00146BD9">
        <w:t>a </w:t>
      </w:r>
      <w:r w:rsidR="00971A3E">
        <w:t>míru jeho předvídatelnosti. Nad</w:t>
      </w:r>
      <w:r>
        <w:t xml:space="preserve">to je potřeba poznamenat, že vedení několika individuálních řízení o obdobných nárocích bude mít též dopad na efektivitu, hospodárnost </w:t>
      </w:r>
      <w:r w:rsidR="00146BD9">
        <w:t>a </w:t>
      </w:r>
      <w:r>
        <w:t>procesní ekonomii soudních řízení.</w:t>
      </w:r>
    </w:p>
    <w:p w14:paraId="3F368DE0" w14:textId="77777777" w:rsidR="005D3F18" w:rsidRDefault="005D3F18" w:rsidP="000076E7"/>
    <w:p w14:paraId="11284F60" w14:textId="003759A5" w:rsidR="001A6DB4" w:rsidRDefault="001A6DB4" w:rsidP="001A6DB4">
      <w:pPr>
        <w:pStyle w:val="Nadpis2"/>
      </w:pPr>
      <w:r>
        <w:t>K dílčím nedostatkům, k</w:t>
      </w:r>
      <w:r w:rsidR="004278FD">
        <w:t>teré byly ve stávající úpravě i</w:t>
      </w:r>
      <w:r>
        <w:t>de</w:t>
      </w:r>
      <w:r w:rsidR="004278FD">
        <w:t>n</w:t>
      </w:r>
      <w:r>
        <w:t>tifikovány</w:t>
      </w:r>
    </w:p>
    <w:p w14:paraId="2825237B" w14:textId="77777777" w:rsidR="001A6DB4" w:rsidRDefault="001A6DB4" w:rsidP="001A6DB4"/>
    <w:p w14:paraId="28E2170D" w14:textId="5FD1E38D" w:rsidR="004278FD" w:rsidRDefault="004278FD" w:rsidP="00A076A6">
      <w:r>
        <w:t xml:space="preserve">Nejrozsáhleji se neexistence </w:t>
      </w:r>
      <w:r w:rsidR="001A6DB4">
        <w:t>procesního mechanismu, který by osobám na území České republiky poskytoval odpovídající možnost k uplatnění jejich práv,</w:t>
      </w:r>
      <w:r>
        <w:t xml:space="preserve"> projevuje v následujících oblastech:</w:t>
      </w:r>
    </w:p>
    <w:p w14:paraId="183332F8" w14:textId="77777777" w:rsidR="004278FD" w:rsidRDefault="004278FD" w:rsidP="004278FD"/>
    <w:p w14:paraId="237BD3E7" w14:textId="6EFA836F" w:rsidR="001A6DB4" w:rsidRPr="004278FD" w:rsidRDefault="001A6DB4" w:rsidP="00CB74FB">
      <w:pPr>
        <w:pStyle w:val="Nadpis3"/>
        <w:numPr>
          <w:ilvl w:val="0"/>
          <w:numId w:val="21"/>
        </w:numPr>
      </w:pPr>
      <w:r w:rsidRPr="004278FD">
        <w:t>Postavení spotřebitele</w:t>
      </w:r>
    </w:p>
    <w:p w14:paraId="607D050E" w14:textId="7DB098AE" w:rsidR="001A6DB4" w:rsidRDefault="004278FD" w:rsidP="001A6DB4">
      <w:r>
        <w:t xml:space="preserve">Oblast ochrany spotřebitele je chybějící kolektivní žalobou zasažena nejvíce. Nedostatky </w:t>
      </w:r>
      <w:r w:rsidR="001A6DB4">
        <w:t>se projevuj</w:t>
      </w:r>
      <w:r>
        <w:t>í</w:t>
      </w:r>
      <w:r w:rsidR="001A6DB4">
        <w:t xml:space="preserve"> jak v nedostatečném uplatňování práv samotnými spotřebiteli, tak </w:t>
      </w:r>
      <w:r>
        <w:t xml:space="preserve">je lze spatřovat i </w:t>
      </w:r>
      <w:r w:rsidR="001A6DB4">
        <w:t>v existujícím systému ochrany spotřebitelů prostřednictvím spotřebitelských organizací.</w:t>
      </w:r>
    </w:p>
    <w:p w14:paraId="3737D682" w14:textId="77777777" w:rsidR="001A6DB4" w:rsidRDefault="001A6DB4" w:rsidP="001A6DB4"/>
    <w:p w14:paraId="742D0CB2" w14:textId="7ADE55D3" w:rsidR="001A6DB4" w:rsidRPr="00A076A6" w:rsidRDefault="001A6DB4" w:rsidP="00ED50B4">
      <w:pPr>
        <w:pStyle w:val="Odstavecseseznamem"/>
        <w:numPr>
          <w:ilvl w:val="0"/>
          <w:numId w:val="8"/>
        </w:numPr>
        <w:rPr>
          <w:b/>
        </w:rPr>
      </w:pPr>
      <w:r w:rsidRPr="00A076A6">
        <w:rPr>
          <w:b/>
        </w:rPr>
        <w:t>Nezájem samotných spotřebitelů k vymáhání svých nároků</w:t>
      </w:r>
    </w:p>
    <w:p w14:paraId="7F4CEFD6" w14:textId="77777777" w:rsidR="001A6DB4" w:rsidRDefault="001A6DB4" w:rsidP="001A6DB4"/>
    <w:p w14:paraId="4599E997" w14:textId="5A876916" w:rsidR="001A6DB4" w:rsidRDefault="001A6DB4" w:rsidP="001A6DB4">
      <w:r>
        <w:t>Spotřebitelé ve většině případů neprojevují zájem o uplatňování svých individuálních bagatelních nároků. Právo Evropské unie i národní legislativa spotřebitelům přiznávají celou škálu práv, kter</w:t>
      </w:r>
      <w:r w:rsidR="000632DF">
        <w:t>á</w:t>
      </w:r>
      <w:r>
        <w:t xml:space="preserve"> nepřísluší jiným skupinám osob. Tato práva mají spotřebitele ochránit, neboť se vychází z premisy, že spotřebitel je slabší stranou. Uvedená práva však v praxi spotřebitelé nevymáhají, neboť náklady, které jsou s tímto vymáháním spojeny, do značné míry převyšují případný zisk, který by spotřebitelé z vítězného sporu utržili. Nejde tedy o to, že by spotřebitelé </w:t>
      </w:r>
      <w:r w:rsidR="00C95B49">
        <w:t>neměli o nahrazení škody zájem</w:t>
      </w:r>
      <w:r>
        <w:t xml:space="preserve">. Raději však od jeho uplatňování upustí, protože se jim to </w:t>
      </w:r>
      <w:r w:rsidR="00C95B49">
        <w:t>zásadně</w:t>
      </w:r>
      <w:r>
        <w:t xml:space="preserve"> nevyplatí. Ve svém důsledku tak jde o práva, která existují pouze v knihách, nikoliv v praxi.</w:t>
      </w:r>
    </w:p>
    <w:p w14:paraId="3CA321A5" w14:textId="77777777" w:rsidR="001A6DB4" w:rsidRDefault="001A6DB4" w:rsidP="001A6DB4"/>
    <w:p w14:paraId="594E7DF9" w14:textId="77777777" w:rsidR="001A6DB4" w:rsidRDefault="001A6DB4" w:rsidP="001A6DB4">
      <w:r>
        <w:t>Jak ostatně uvádí spotřebitelské organizace</w:t>
      </w:r>
      <w:r>
        <w:rPr>
          <w:rStyle w:val="Znakapoznpodarou"/>
        </w:rPr>
        <w:footnoteReference w:id="15"/>
      </w:r>
      <w:r>
        <w:t>, které se ochraně spotřebitelů dlouhodobě věnují, našly by hromadné žaloby uplatnění primárně v oblasti spotřebitelského práva. Hromadné nároky z týchž či obdobných právních skutečností se vyskytují zejména v oblasti telekomunikačních služeb (operátor-zákazník), finančních služeb a ve věcech spotřebitelských úvěrů. Dále spory zákazníků s cestovními kancelářemi, v nichž by se jednalo o zamítnuté reklamace či uplatňování slevy z ceny zájezdu, nebo pracovněprávní spory bývalých zaměstnanců o zaplacení mezd a odstupného. Uplatnění by hromadné žaloby jistě nalezly i ve sporech spotřebitelů týkajících se odstoupení od kupních smluv uzavřených na předváděcích akcích nebo při prodeji mimo obchodní prostory. Ve všech těchto oblastech nyní chybí nástroj, který by motivoval spotřebitele k uplatňování jejich hmotných práv.</w:t>
      </w:r>
    </w:p>
    <w:p w14:paraId="33439ACA" w14:textId="77777777" w:rsidR="001A6DB4" w:rsidRDefault="001A6DB4" w:rsidP="001A6DB4"/>
    <w:p w14:paraId="43960F59" w14:textId="77777777" w:rsidR="001A6DB4" w:rsidRDefault="001A6DB4" w:rsidP="001A6DB4">
      <w:pPr>
        <w:keepNext w:val="0"/>
      </w:pPr>
      <w:r>
        <w:t>Osob, které jsou takto dotčeny jedním protiprávním jednáním, je mnoho. Dle odhadu spotřebitelských organizací se může řádově jednat o desítky až tisíce osob, které jsou nyní obětí nekalých praktik ze strany podnikatelů a které rezignují na uplatňování práv v individuálním řízení. To je dáno zejména výší jednotlivých nároků, které se liší podle druhu sporu. Typicky budou nároky dosahovat výše stovek korun (spory s mobilními operátory, bankovní poplatky). U odpovědnosti za vady nebo jiných nároků vůči cestovním kancelářím však půjde zpravidla o částky dosahující tisíců korun. U podvodných smluv může jít i o nároky v řádu desítek tisíc korun.</w:t>
      </w:r>
    </w:p>
    <w:p w14:paraId="6ED7AC9C" w14:textId="77777777" w:rsidR="001A6DB4" w:rsidRDefault="001A6DB4" w:rsidP="001A6DB4">
      <w:pPr>
        <w:keepNext w:val="0"/>
      </w:pPr>
    </w:p>
    <w:p w14:paraId="6305D05C" w14:textId="77777777" w:rsidR="001A6DB4" w:rsidRDefault="001A6DB4" w:rsidP="001A6DB4">
      <w:pPr>
        <w:keepNext w:val="0"/>
      </w:pPr>
      <w:r>
        <w:t xml:space="preserve">Uvedené je však nutné posuzovat komplexně. Celková výše nároku dosahuje již mnohem vyšších částek. Spotřebitelské organizace odhadly, že výše všech nároků ve vztahu ke konkrétní nekalé praktice by ve svém souhrnu mohla dosahovat desítek až stovek tisíc a často i několik (desítek) milionů. Celospolečenský dopad je tak obrovský. </w:t>
      </w:r>
    </w:p>
    <w:p w14:paraId="5DAFABE4" w14:textId="77777777" w:rsidR="005F04D9" w:rsidRDefault="005F04D9" w:rsidP="001A6DB4">
      <w:pPr>
        <w:keepNext w:val="0"/>
      </w:pPr>
    </w:p>
    <w:p w14:paraId="28F2DB6E" w14:textId="77777777" w:rsidR="005F04D9" w:rsidRDefault="005F04D9" w:rsidP="005F04D9">
      <w:r>
        <w:t>Jako příklad lze uvést jednání realitního zprostředkovatele PROLUX CONSULTING INt. s. r. o., který zneužil nezkušenosti spotřebitelů a vylákal z nich podvodnou praktikou neoprávněně finanční prostředky, čímž jim způsobil škodu. Celkově bylo dle údajů spotřebitelské organizace Společná obrana, z.s.</w:t>
      </w:r>
      <w:r>
        <w:rPr>
          <w:rStyle w:val="Znakapoznpodarou"/>
        </w:rPr>
        <w:footnoteReference w:id="16"/>
      </w:r>
      <w:r>
        <w:t xml:space="preserve"> poškozeno na 5.000 klientů a celková výše škody dosáhla 20.000.000,- Kč, na jednoho klienta tedy vychází škoda v průměru 4.000,- Kč.</w:t>
      </w:r>
    </w:p>
    <w:p w14:paraId="07D8C3C3" w14:textId="77777777" w:rsidR="005F04D9" w:rsidRDefault="005F04D9" w:rsidP="005F04D9"/>
    <w:p w14:paraId="21DAB72E" w14:textId="77777777" w:rsidR="005F04D9" w:rsidRDefault="005F04D9" w:rsidP="005F04D9">
      <w:r>
        <w:t>Dalším příkladem je klamání zákazníků automobilového koncernu Volkswagen v tzv. kauze Dieselgate. Dle dostupných informací bylo v České republice zakoupeno na 160.000 kusů automobilů, v nichž byl nainstalován software na umělé snižování oxidu dusíku.</w:t>
      </w:r>
      <w:r>
        <w:rPr>
          <w:rStyle w:val="Znakapoznpodarou"/>
        </w:rPr>
        <w:footnoteReference w:id="17"/>
      </w:r>
      <w:r>
        <w:t xml:space="preserve"> V Německu například bylo takovýchto aut značky VW prodáno na 2,6 milionu.</w:t>
      </w:r>
      <w:r>
        <w:rPr>
          <w:rStyle w:val="Znakapoznpodarou"/>
        </w:rPr>
        <w:footnoteReference w:id="18"/>
      </w:r>
      <w:r w:rsidRPr="00D45362">
        <w:t xml:space="preserve"> </w:t>
      </w:r>
      <w:r>
        <w:t>Celková škoda vlastníků aut v České republice je odhadována na 21 miliard korun.</w:t>
      </w:r>
      <w:r>
        <w:rPr>
          <w:rStyle w:val="Znakapoznpodarou"/>
        </w:rPr>
        <w:footnoteReference w:id="19"/>
      </w:r>
    </w:p>
    <w:p w14:paraId="711744A4" w14:textId="77777777" w:rsidR="001A6DB4" w:rsidRDefault="001A6DB4" w:rsidP="001A6DB4">
      <w:pPr>
        <w:keepNext w:val="0"/>
      </w:pPr>
    </w:p>
    <w:p w14:paraId="24B14503" w14:textId="29A9C3CC" w:rsidR="001A6DB4" w:rsidRPr="00A076A6" w:rsidRDefault="001A6DB4" w:rsidP="00ED50B4">
      <w:pPr>
        <w:pStyle w:val="Odstavecseseznamem"/>
        <w:numPr>
          <w:ilvl w:val="0"/>
          <w:numId w:val="8"/>
        </w:numPr>
        <w:rPr>
          <w:b/>
        </w:rPr>
      </w:pPr>
      <w:r w:rsidRPr="00A076A6">
        <w:rPr>
          <w:b/>
        </w:rPr>
        <w:t>Selhání nástrojů spotřebitelských organizací na poli soudní ochrany spotřebitelů</w:t>
      </w:r>
    </w:p>
    <w:p w14:paraId="3FB13A43" w14:textId="77777777" w:rsidR="001A6DB4" w:rsidRDefault="001A6DB4" w:rsidP="001A6DB4">
      <w:pPr>
        <w:keepNext w:val="0"/>
      </w:pPr>
    </w:p>
    <w:p w14:paraId="0D1502B2" w14:textId="2C729B47" w:rsidR="001A6DB4" w:rsidRDefault="00370F55" w:rsidP="001A6DB4">
      <w:pPr>
        <w:keepNext w:val="0"/>
      </w:pPr>
      <w:r>
        <w:t>Kvůli</w:t>
      </w:r>
      <w:r w:rsidR="001A6DB4">
        <w:t xml:space="preserve"> skutečnostem vymezeným výše je dnes ochrana spotřebitelů do značné míry v rukou spotřebitelských organizací, které mají ze zákona oprávnění v určitých situacích žalovat na zdržení se protiprávního jednání (§ 25 odst. 2 zákona o ochraně spotřebitele). Z dotazů na všechny spotřebitelské organizace, které by se mohly či měly této činnosti věnovat, je však zřejmé, že systém založený na reprezentativních negatorních žalobách nedokáže plnit svůj účel.</w:t>
      </w:r>
    </w:p>
    <w:p w14:paraId="7A151EC8" w14:textId="77777777" w:rsidR="001A6DB4" w:rsidRDefault="001A6DB4" w:rsidP="001A6DB4">
      <w:pPr>
        <w:keepNext w:val="0"/>
      </w:pPr>
    </w:p>
    <w:p w14:paraId="64884F97" w14:textId="18A39112" w:rsidR="001A6DB4" w:rsidRDefault="001A6DB4" w:rsidP="001A6DB4">
      <w:pPr>
        <w:keepNext w:val="0"/>
      </w:pPr>
      <w:r>
        <w:t xml:space="preserve">Spotřebitelské organizace předně narážejí na </w:t>
      </w:r>
      <w:r w:rsidRPr="00592B6C">
        <w:rPr>
          <w:b/>
        </w:rPr>
        <w:t>přílišnou délku soudního řízení</w:t>
      </w:r>
      <w:r w:rsidR="005F04D9">
        <w:rPr>
          <w:b/>
        </w:rPr>
        <w:t xml:space="preserve">, </w:t>
      </w:r>
      <w:r w:rsidR="005F04D9">
        <w:t>což má v případě řízení na zdržení se, kde je rychlé vydání rozhodnutí nutností, fatální důsledky</w:t>
      </w:r>
      <w:r>
        <w:t xml:space="preserve">. S délkou řízení souvisí i </w:t>
      </w:r>
      <w:r w:rsidRPr="00592B6C">
        <w:rPr>
          <w:b/>
        </w:rPr>
        <w:t>malá efektivita</w:t>
      </w:r>
      <w:r>
        <w:t xml:space="preserve">. Zmínit lze i problém </w:t>
      </w:r>
      <w:r w:rsidRPr="00592B6C">
        <w:rPr>
          <w:b/>
        </w:rPr>
        <w:t>obtížné formulace zdržovacího</w:t>
      </w:r>
      <w:r>
        <w:t xml:space="preserve"> petitu, neboť žalovaný stíhá několikrát modifikovat svoji činnost v průběhu řízení</w:t>
      </w:r>
      <w:r w:rsidR="005F04D9">
        <w:t xml:space="preserve">. </w:t>
      </w:r>
      <w:r>
        <w:t xml:space="preserve">Zcela zásadním problémem, který nejvíce limituje institut žaloby podané spotřebitelským sdružením, je </w:t>
      </w:r>
      <w:r w:rsidRPr="00592B6C">
        <w:rPr>
          <w:b/>
        </w:rPr>
        <w:t>otázka financování</w:t>
      </w:r>
      <w:r>
        <w:t>. Pro mnohé spotřebitelské organizace by případný neúspěch ve věci a placení nákladů řízení znamenal ekonomický (a tím i faktický) zánik.</w:t>
      </w:r>
    </w:p>
    <w:p w14:paraId="5C623C87" w14:textId="77777777" w:rsidR="001A6DB4" w:rsidRDefault="001A6DB4" w:rsidP="001A6DB4">
      <w:pPr>
        <w:keepNext w:val="0"/>
      </w:pPr>
    </w:p>
    <w:p w14:paraId="66873839" w14:textId="743F674A" w:rsidR="001A6DB4" w:rsidRDefault="001A6DB4" w:rsidP="001A6DB4">
      <w:pPr>
        <w:keepNext w:val="0"/>
      </w:pPr>
      <w:r>
        <w:t>Jak uvedla spotřebitelská sdružení, všechny výše uvedené okolnosti vedou k tomu, že organizace podávají velmi malé množství žalob. Většina organizací doposud nepodala žalobu žádnou nebo pouze jednu. Organizace, které podaly žalob více,</w:t>
      </w:r>
      <w:r w:rsidRPr="009C04DA">
        <w:t xml:space="preserve"> </w:t>
      </w:r>
      <w:r>
        <w:t>jsou</w:t>
      </w:r>
      <w:r w:rsidRPr="009C04DA">
        <w:t xml:space="preserve"> </w:t>
      </w:r>
      <w:r>
        <w:t>výjimkou.</w:t>
      </w:r>
      <w:r>
        <w:rPr>
          <w:b/>
        </w:rPr>
        <w:t xml:space="preserve"> </w:t>
      </w:r>
      <w:r>
        <w:t>Všechny dotazované spotřebitelské organizace, které uvedly, že žaloby podávaly, přitom hodnotí svoji úspešnost jako velmi malou. Žaloby byly často soudem zamítnuty, vzaty zpět žalobcem nebo o nich stál</w:t>
      </w:r>
      <w:r w:rsidR="008A73B4">
        <w:t>e není pravomocně rozhodnuto.</w:t>
      </w:r>
      <w:r>
        <w:t xml:space="preserve"> Dle tvrzení spotřebitelských organizací probíhá řízení zpravidla od jednoho do tří let. V případě </w:t>
      </w:r>
      <w:r w:rsidR="000632DF">
        <w:t xml:space="preserve">některých žalob trvalo řízení </w:t>
      </w:r>
      <w:r>
        <w:t>několik měsíců. Je-li podáno odvolání, pohybuje se doba do pěti let.</w:t>
      </w:r>
    </w:p>
    <w:p w14:paraId="6C84CE14" w14:textId="77777777" w:rsidR="001A6DB4" w:rsidRDefault="001A6DB4" w:rsidP="001A6DB4">
      <w:pPr>
        <w:keepNext w:val="0"/>
      </w:pPr>
    </w:p>
    <w:p w14:paraId="3DE2BA45" w14:textId="0095C856" w:rsidR="001A6DB4" w:rsidRDefault="001A6DB4" w:rsidP="001A6DB4">
      <w:pPr>
        <w:keepNext w:val="0"/>
      </w:pPr>
      <w:r>
        <w:t xml:space="preserve">Uvedené závěry jen dokládají </w:t>
      </w:r>
      <w:r w:rsidRPr="00592B6C">
        <w:rPr>
          <w:b/>
        </w:rPr>
        <w:t xml:space="preserve">statistky </w:t>
      </w:r>
      <w:r w:rsidRPr="00592B6C">
        <w:t>shromažďované</w:t>
      </w:r>
      <w:r>
        <w:t xml:space="preserve"> ministerstvem k řízení podle § 25 odst. 2 zákona o ochraně spotřebitele, z nichž vyplývá, že reprezentativní žaloba skutečně není odpovídajícím způsobem využívána</w:t>
      </w:r>
      <w:r w:rsidR="000632DF">
        <w:t>,</w:t>
      </w:r>
      <w:r>
        <w:t xml:space="preserve"> a nemůže tedy objektivně naplnit svůj účel.</w:t>
      </w:r>
    </w:p>
    <w:p w14:paraId="6460C7EF" w14:textId="77777777" w:rsidR="00DB48E8" w:rsidRDefault="00DB48E8" w:rsidP="001A6DB4">
      <w:pPr>
        <w:keepNext w:val="0"/>
      </w:pPr>
    </w:p>
    <w:p w14:paraId="5024E87E" w14:textId="275287F3" w:rsidR="00DB48E8" w:rsidRDefault="00DB48E8" w:rsidP="001A6DB4">
      <w:pPr>
        <w:keepNext w:val="0"/>
      </w:pPr>
      <w:r w:rsidRPr="00A76DFE">
        <w:rPr>
          <w:noProof/>
          <w:lang w:eastAsia="cs-CZ"/>
        </w:rPr>
        <w:drawing>
          <wp:inline distT="0" distB="0" distL="0" distR="0" wp14:anchorId="24362C94" wp14:editId="5D9C2315">
            <wp:extent cx="6119495" cy="12115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1211580"/>
                    </a:xfrm>
                    <a:prstGeom prst="rect">
                      <a:avLst/>
                    </a:prstGeom>
                    <a:noFill/>
                    <a:ln>
                      <a:noFill/>
                    </a:ln>
                  </pic:spPr>
                </pic:pic>
              </a:graphicData>
            </a:graphic>
          </wp:inline>
        </w:drawing>
      </w:r>
    </w:p>
    <w:p w14:paraId="3E10BD36" w14:textId="77777777" w:rsidR="001A6DB4" w:rsidRDefault="001A6DB4" w:rsidP="001A6DB4">
      <w:pPr>
        <w:keepNext w:val="0"/>
      </w:pPr>
      <w:r>
        <w:t xml:space="preserve"> </w:t>
      </w:r>
    </w:p>
    <w:p w14:paraId="27136D57" w14:textId="47526D2F" w:rsidR="001A6DB4" w:rsidRDefault="001A6DB4" w:rsidP="001A6DB4">
      <w:pPr>
        <w:keepNext w:val="0"/>
      </w:pPr>
      <w:r>
        <w:t xml:space="preserve">V roce 2016 bylo </w:t>
      </w:r>
      <w:r w:rsidR="00370F55">
        <w:t xml:space="preserve">sice </w:t>
      </w:r>
      <w:r>
        <w:t xml:space="preserve">skončeno 18 řízení, nicméně ze statistiky plyne, že minimálně prvních 8 z nich nebylo skončeno meritorním rozhodnutím, neboť soud rozhodl do 2 měsíců od podání žaloby. Zřejmě ani v dalších 5 nebylo vydáno meritorní rozhodnutí, když řízení skončilo do 3 měsíců. Zbývající řízení skončila buď do 1 roku (dvě řízení), anebo trvala více jak roky 2 (tři řízení). V roce 2015 byla pravomocně skončena 2 řízení, přičemž jedno trvalo 2-3 měsíce a druhé 6-12 měsíců. V roce 2014 bylo pravomocné rozhodnutí vydáno v 5 řízeních, kdy jedno trvalo 3-4 měsíce, dvě 1-2 roky a dvě více jak 2 roky. V roce 2013 bylo vydáno 1 pravomocné rozhodnutí o zdržení, přičemž délka řízení byla 1-2 roky (od nápadu do vydání pravomocného rozhodnutí).  </w:t>
      </w:r>
    </w:p>
    <w:p w14:paraId="2F567AB9" w14:textId="77777777" w:rsidR="001A6DB4" w:rsidRDefault="001A6DB4" w:rsidP="001A6DB4">
      <w:pPr>
        <w:keepNext w:val="0"/>
      </w:pPr>
    </w:p>
    <w:p w14:paraId="23AED610" w14:textId="77777777" w:rsidR="001A6DB4" w:rsidRDefault="001A6DB4" w:rsidP="001A6DB4">
      <w:pPr>
        <w:keepNext w:val="0"/>
      </w:pPr>
      <w:r>
        <w:t>Lze shrnout, že spotřebitelé nedostatečně hájí svá práva za pomoci individuálních žalob a spotřebitelská sdružení nejsou s to tuto jejich apatii účelně nahradit. Práva spotřebitelů tak nejsou v odpovídající míře uplatňována před soudem.</w:t>
      </w:r>
    </w:p>
    <w:p w14:paraId="0556E8E6" w14:textId="6AAE8551" w:rsidR="001A6DB4" w:rsidRPr="00DB48E8" w:rsidRDefault="001A6DB4" w:rsidP="00CB74FB">
      <w:pPr>
        <w:pStyle w:val="Nadpis3"/>
        <w:numPr>
          <w:ilvl w:val="0"/>
          <w:numId w:val="21"/>
        </w:numPr>
        <w:spacing w:before="240" w:after="60" w:line="360" w:lineRule="auto"/>
        <w:rPr>
          <w:i w:val="0"/>
        </w:rPr>
      </w:pPr>
      <w:r w:rsidRPr="00DB48E8">
        <w:rPr>
          <w:i w:val="0"/>
        </w:rPr>
        <w:t>Ochrana životního prostředí</w:t>
      </w:r>
    </w:p>
    <w:p w14:paraId="74CAA480" w14:textId="77777777" w:rsidR="008A73B4" w:rsidRDefault="008A73B4" w:rsidP="008A73B4">
      <w:pPr>
        <w:keepNext w:val="0"/>
      </w:pPr>
      <w:r>
        <w:t>Spotřebitelé nejsou jedinou skupinou, u níž nedochází k dostatečnému vymáhání práv. Chybějící nástroj civilního řízení se projevuje také v oblasti životního prostředí a jeho ochrany. I zde totiž vznikají drobné nároky, nároky, které lze velmi těžko prokázat či nároky, kterých je mnoho a mají stejný nebo obdobný skutkový a právní základ. Obrátit se individuálně na soud může být přitom pro dotčeného velmi psychicky, časově i finančně náročné. Osoby poškozené ekologickými zásahy tak ve většině případů na soudní ochranu rezignují, čímž dávají zdánlivý signál škůdci, že jeho jednání jim nevadí. Zásah do životního prostředí však typicky zasahuje stovky, tisíce až desetitisíce jedinců, v souhrnu tak produkuje celospolečenskou újmu velkého rozsahu. Bylo by proto více než záhodno, aby se individuální nároky z poškození životního prostředí promítnuté do souhrnné újmy uplatňovaly více.</w:t>
      </w:r>
    </w:p>
    <w:p w14:paraId="70CE6C47" w14:textId="0316E83A" w:rsidR="001A6DB4" w:rsidRPr="00DB48E8" w:rsidRDefault="001A6DB4" w:rsidP="00CB74FB">
      <w:pPr>
        <w:pStyle w:val="Nadpis3"/>
        <w:numPr>
          <w:ilvl w:val="0"/>
          <w:numId w:val="21"/>
        </w:numPr>
        <w:spacing w:before="240" w:after="60" w:line="360" w:lineRule="auto"/>
        <w:rPr>
          <w:i w:val="0"/>
        </w:rPr>
      </w:pPr>
      <w:r w:rsidRPr="00DB48E8">
        <w:rPr>
          <w:i w:val="0"/>
        </w:rPr>
        <w:t>Další možné oblasti</w:t>
      </w:r>
      <w:r w:rsidR="00DB48E8">
        <w:rPr>
          <w:i w:val="0"/>
        </w:rPr>
        <w:t>, v nichž úprava kolektivních žalob chybí</w:t>
      </w:r>
    </w:p>
    <w:p w14:paraId="3A1CDFB2" w14:textId="32CA9140" w:rsidR="001A6DB4" w:rsidRDefault="001A6DB4" w:rsidP="001A6DB4">
      <w:pPr>
        <w:keepNext w:val="0"/>
      </w:pPr>
      <w:r>
        <w:t>Sníženou efektivitu a vymahatelnost práva lze obecně spatřovat ve všech společenských a ekonomických oblastech, kde jedním nebo týmž opakovaným protiprávním jednáním dochází ke vzniku většího počtu nároků, které jsou ze své povahy buď bagatelní či přinejmenším relativně nízké, anebo těžko prokazatelné apod. Jde o oblasti jako je hospodářská soutěž, zdravotnictví, pracovní vztahy, nekalá soutěž či finanční trhy. I zde jsou na individuální uplatňování práva kladeny vysoké nároky, což ve svém důsledku činí tuto formu uplatňování práva pro poškozené přinejmenším neatraktivní. Uplatňování těchto práv je po stránce časové i důkazní velmi náročné, je velice nákladné a případné náklady řízení mnohdy převyšují zisk ze sporu. Lze proto identifikovat systémový problém, kdy se jedinci dotčení protisoutěžním nebo nekalo-soutěžním jednáním</w:t>
      </w:r>
      <w:r w:rsidR="00C95B49">
        <w:t xml:space="preserve"> anebo</w:t>
      </w:r>
      <w:r>
        <w:t xml:space="preserve"> jednáním, při němž dochází k porušování práv pacientů či zaměstnanců jedné korporace, soudně nebrání a na svoji ochranu rezignují. </w:t>
      </w:r>
    </w:p>
    <w:p w14:paraId="00BE8BE8" w14:textId="7B473AD0" w:rsidR="001A6DB4" w:rsidRPr="00DB48E8" w:rsidRDefault="001A6DB4" w:rsidP="00CB74FB">
      <w:pPr>
        <w:pStyle w:val="Nadpis3"/>
        <w:numPr>
          <w:ilvl w:val="0"/>
          <w:numId w:val="21"/>
        </w:numPr>
        <w:spacing w:before="240" w:after="60" w:line="360" w:lineRule="auto"/>
        <w:rPr>
          <w:i w:val="0"/>
        </w:rPr>
      </w:pPr>
      <w:r w:rsidRPr="00DB48E8">
        <w:rPr>
          <w:i w:val="0"/>
        </w:rPr>
        <w:t>Nezdravé podnikatelské prostředí</w:t>
      </w:r>
    </w:p>
    <w:p w14:paraId="2909E766" w14:textId="77777777" w:rsidR="001A6DB4" w:rsidRDefault="001A6DB4" w:rsidP="001A6DB4">
      <w:pPr>
        <w:keepNext w:val="0"/>
      </w:pPr>
      <w:r>
        <w:t xml:space="preserve">Ve všech výše zmíněných oblastech, tedy oblastech, kde nedochází k uplatňování individuálních práv v odpovídající míře a zároveň jde o oblasti, ve kterých má činnost jednoho subjektu dopady na široký okruh osob, je možné pozorovat další jev, který lze souhrnně nazvat „nezdravým podnikatelským prostředím“. </w:t>
      </w:r>
    </w:p>
    <w:p w14:paraId="7BFEFCA8" w14:textId="77777777" w:rsidR="001A6DB4" w:rsidRDefault="001A6DB4" w:rsidP="001A6DB4">
      <w:pPr>
        <w:keepNext w:val="0"/>
      </w:pPr>
    </w:p>
    <w:p w14:paraId="002FC51D" w14:textId="4033730D" w:rsidR="001A6DB4" w:rsidRPr="000174C0" w:rsidRDefault="001A6DB4" w:rsidP="001A6DB4">
      <w:pPr>
        <w:keepNext w:val="0"/>
      </w:pPr>
      <w:r>
        <w:t xml:space="preserve">Jestliže se totiž poškozené osoby (spotřebitelé, lidé dotčení porušením životního prostředí, konkurenti atd.) nebrání protiprávnímu jednání škůdce, tento nemá důvod v protiprávní činnosti přestávat. Jde o ekonomický kalkul škůdce, kterému se jeho jednání vyplatí. Vědom si této faktické nepostižitelnosti svého jinak právem reprobovaného jednání, pokračuje škůdce v porušování práva. V právním řádu, který je jinak plný </w:t>
      </w:r>
      <w:r w:rsidR="000632DF">
        <w:rPr>
          <w:i/>
        </w:rPr>
        <w:t>hmotně</w:t>
      </w:r>
      <w:r w:rsidRPr="007E124D">
        <w:rPr>
          <w:i/>
        </w:rPr>
        <w:t>právních</w:t>
      </w:r>
      <w:r>
        <w:t xml:space="preserve"> ochranných norem, tak neexistuje účinný </w:t>
      </w:r>
      <w:r>
        <w:rPr>
          <w:i/>
        </w:rPr>
        <w:t xml:space="preserve">procesní </w:t>
      </w:r>
      <w:r>
        <w:t xml:space="preserve">prostředek, který by umožnil se proti již probíhajícímu jednání </w:t>
      </w:r>
      <w:r w:rsidR="000632DF">
        <w:t>bránit</w:t>
      </w:r>
      <w:r>
        <w:t xml:space="preserve"> a který by jako prevence </w:t>
      </w:r>
      <w:r w:rsidRPr="007E124D">
        <w:t xml:space="preserve">reálně a účinně působil proti </w:t>
      </w:r>
      <w:r>
        <w:t xml:space="preserve">možnému </w:t>
      </w:r>
      <w:r w:rsidRPr="007E124D">
        <w:t xml:space="preserve">protiprávnímu jednání </w:t>
      </w:r>
      <w:r w:rsidRPr="007E124D">
        <w:rPr>
          <w:i/>
        </w:rPr>
        <w:t>pro futuro</w:t>
      </w:r>
      <w:r w:rsidRPr="007E124D">
        <w:t>.</w:t>
      </w:r>
      <w:r w:rsidR="000632DF">
        <w:t xml:space="preserve"> Nejde přitom o nic jiného</w:t>
      </w:r>
      <w:r w:rsidR="00370F55">
        <w:t>,</w:t>
      </w:r>
      <w:r>
        <w:t xml:space="preserve"> než o projev zásady </w:t>
      </w:r>
      <w:r>
        <w:rPr>
          <w:i/>
        </w:rPr>
        <w:t xml:space="preserve">kde není žalobce, není soudce. </w:t>
      </w:r>
      <w:r>
        <w:t>Poškozena tak není jen reparační funkce deliktního práva, která byla probrána v předešlých kapitolách, ale zásadním způsobem i jeho funkce prevenční.</w:t>
      </w:r>
    </w:p>
    <w:p w14:paraId="43A9A002" w14:textId="77777777" w:rsidR="001A6DB4" w:rsidRDefault="001A6DB4" w:rsidP="001A6DB4">
      <w:pPr>
        <w:keepNext w:val="0"/>
      </w:pPr>
    </w:p>
    <w:p w14:paraId="5D6C4897" w14:textId="63F88672" w:rsidR="001A6DB4" w:rsidRDefault="001A6DB4" w:rsidP="001A6DB4">
      <w:pPr>
        <w:keepNext w:val="0"/>
      </w:pPr>
      <w:r>
        <w:t>Jde o velmi závažný důsledek, který se objevuje ve všech výše zmíněných oblastech. Ilustrativně je možné uvést automatické obnovování mobilních dat ze strany operátorů.</w:t>
      </w:r>
      <w:r w:rsidR="008A73B4">
        <w:rPr>
          <w:rStyle w:val="Znakapoznpodarou"/>
        </w:rPr>
        <w:footnoteReference w:id="20"/>
      </w:r>
      <w:r>
        <w:t xml:space="preserve"> Všichni jistě tuší, že jde o jednání, které nemá zcela oporu v platném právu a že by bylo možné se tomuto jednání účinně bránit. Zisk z případného řízení je však natolik malý a vzdálený, že raději žádný spotřebitel své právo neuplatňuje. V důsledku toho však mobilní operátoři ve své činnosti nadále pokračují. A byť by se i několik málo osob rozhodlo obrátit na soud, mobilním operátorům se nekalé praktiky „vyplatí“, neboť zisk, který z nich utrží, značně převyšuje to, co budou případně muset zaplatit na základě pravomocného rozsudku soudu.</w:t>
      </w:r>
    </w:p>
    <w:p w14:paraId="1E29A53F" w14:textId="0A4D1B67" w:rsidR="001A6DB4" w:rsidRPr="00DB48E8" w:rsidRDefault="001A6DB4" w:rsidP="00CB74FB">
      <w:pPr>
        <w:pStyle w:val="Nadpis3"/>
        <w:numPr>
          <w:ilvl w:val="0"/>
          <w:numId w:val="21"/>
        </w:numPr>
        <w:spacing w:before="240" w:after="60" w:line="360" w:lineRule="auto"/>
        <w:rPr>
          <w:i w:val="0"/>
        </w:rPr>
      </w:pPr>
      <w:r w:rsidRPr="00DB48E8">
        <w:rPr>
          <w:i w:val="0"/>
        </w:rPr>
        <w:t>Omezené možnosti státního dohledu</w:t>
      </w:r>
    </w:p>
    <w:p w14:paraId="3EB513F0" w14:textId="77777777" w:rsidR="001A6DB4" w:rsidRDefault="001A6DB4" w:rsidP="001A6DB4">
      <w:pPr>
        <w:keepNext w:val="0"/>
      </w:pPr>
      <w:r>
        <w:t>Jediným „účinným“ nástrojem v boji proti systematickému porušování práva v různých společenských a hospodářských oblastech tak v současnosti zůstává činnost orgánů státního dohledu. Jde o instituce jako Česká obchodní inspekce, Státní úřad pro kontrolu léčiv či Česká inspekce životního prostředí. Dozorové orgány státu však nemají ani nemohou mít dostatečnou kapacitu a pravomoci k tomu, aby zcela suplovaly chybějící aktivitu subjektů soukromého sektoru. Jejich činnost je k uplatňování práv jednotlivců toliko doplňková, a jak ukazuje praxe, nedokáže stávající rezignaci na soudní bránění práva jakkoliv nahradit.</w:t>
      </w:r>
    </w:p>
    <w:p w14:paraId="43CAC4EA" w14:textId="77777777" w:rsidR="001A6DB4" w:rsidRDefault="001A6DB4" w:rsidP="001A6DB4">
      <w:pPr>
        <w:keepNext w:val="0"/>
      </w:pPr>
    </w:p>
    <w:p w14:paraId="54F11FF8" w14:textId="5A2047A3" w:rsidR="001A6DB4" w:rsidRDefault="001A6DB4" w:rsidP="001A6DB4">
      <w:pPr>
        <w:keepNext w:val="0"/>
      </w:pPr>
      <w:r>
        <w:t xml:space="preserve">Nadto je nutné zdůraznit, že se zde pohybujeme v oblasti práva soukromého. Jde o soukromoprávní vztahy mezi účastníky právních poměrů, a není proto vhodné, aby do těchto oblastí stát zasahoval nad míru. Naopak, je žádoucí, aby iniciativu převzali </w:t>
      </w:r>
      <w:r w:rsidR="007455ED">
        <w:t xml:space="preserve">i </w:t>
      </w:r>
      <w:r>
        <w:t xml:space="preserve">sami nositelé práv a povinností, v tomto případě poškození z protiprávního jednání. Cílem věcného záměru by proto mělo být tuto jejich soukromoprávní aktivitu zásadním způsobem podpořit. </w:t>
      </w:r>
    </w:p>
    <w:p w14:paraId="41645A90" w14:textId="3E8F815B" w:rsidR="001A6DB4" w:rsidRPr="00DB48E8" w:rsidRDefault="00F21448" w:rsidP="00CB74FB">
      <w:pPr>
        <w:pStyle w:val="Nadpis3"/>
        <w:numPr>
          <w:ilvl w:val="0"/>
          <w:numId w:val="21"/>
        </w:numPr>
        <w:spacing w:before="240" w:after="60" w:line="360" w:lineRule="auto"/>
        <w:rPr>
          <w:i w:val="0"/>
        </w:rPr>
      </w:pPr>
      <w:r>
        <w:rPr>
          <w:i w:val="0"/>
        </w:rPr>
        <w:t>P</w:t>
      </w:r>
      <w:r w:rsidR="001A6DB4" w:rsidRPr="00DB48E8">
        <w:rPr>
          <w:i w:val="0"/>
        </w:rPr>
        <w:t>rocesní ekonomie a jednotnost soudního rozhodování</w:t>
      </w:r>
    </w:p>
    <w:p w14:paraId="41F32E9D" w14:textId="16E69D78" w:rsidR="001A6DB4" w:rsidRDefault="001A6DB4" w:rsidP="001A6DB4">
      <w:pPr>
        <w:keepNext w:val="0"/>
      </w:pPr>
      <w:r>
        <w:t>Česká republika čelí problému neochoty spotřebitelů a jiných dotčených skupin vymáhat svá práva. Přesto se v praxi vyskytují situace, kdy jednotlivci přeci jen uplatňují svá práva soudní cestou, zejména proto, že jednotlivé nároky již dosahují výše, při které se soudní řízení vyplatí</w:t>
      </w:r>
      <w:r w:rsidR="00C95B49">
        <w:t>, anebo jde o osoby, které se soudí z principu</w:t>
      </w:r>
      <w:r>
        <w:t xml:space="preserve">. Ani tento stav však není bez následků. </w:t>
      </w:r>
    </w:p>
    <w:p w14:paraId="295010E2" w14:textId="77777777" w:rsidR="001A6DB4" w:rsidRDefault="001A6DB4" w:rsidP="001A6DB4">
      <w:pPr>
        <w:keepNext w:val="0"/>
      </w:pPr>
    </w:p>
    <w:p w14:paraId="7FA46B64" w14:textId="77777777" w:rsidR="001A6DB4" w:rsidRDefault="001A6DB4" w:rsidP="001A6DB4">
      <w:pPr>
        <w:keepNext w:val="0"/>
      </w:pPr>
      <w:r>
        <w:t>Obrátí-li se totiž desítky či stovky poškozených na soud s totožným nebo obdobným nárokem, který vznikl z jednoho protiprávního jednání, vede to v praxi k nežádoucímu narušení procesní ekonomie a bezrozpornosti soudního rozhodování.</w:t>
      </w:r>
    </w:p>
    <w:p w14:paraId="61B8CB7E" w14:textId="77777777" w:rsidR="001A6DB4" w:rsidRDefault="001A6DB4" w:rsidP="001A6DB4">
      <w:pPr>
        <w:keepNext w:val="0"/>
      </w:pPr>
    </w:p>
    <w:p w14:paraId="09639DD5" w14:textId="23692709" w:rsidR="001A6DB4" w:rsidRDefault="001A6DB4" w:rsidP="001A6DB4">
      <w:pPr>
        <w:keepNext w:val="0"/>
      </w:pPr>
      <w:r>
        <w:t xml:space="preserve">Nedostatky se projevují zejména v oblasti </w:t>
      </w:r>
      <w:r w:rsidRPr="005B4D9C">
        <w:rPr>
          <w:b/>
        </w:rPr>
        <w:t>nápadu na soudy</w:t>
      </w:r>
      <w:r>
        <w:t xml:space="preserve">. Dojde-li k protiprávní činnosti s hromadným dopadem, přičemž poškození se rozhodnou uplatnit svá práva soudní cestou, jsou soudy postupně zavalovány jednotlivými žalobami žádajícími v podstatě totéž. </w:t>
      </w:r>
      <w:r w:rsidRPr="003772A8">
        <w:rPr>
          <w:b/>
        </w:rPr>
        <w:t>Stejná otázka</w:t>
      </w:r>
      <w:r>
        <w:t xml:space="preserve"> je pak řešena ve více řízeních, zatěžuje více soudců, táž skutečnost se dokazuje opakovaně atd. </w:t>
      </w:r>
      <w:r>
        <w:rPr>
          <w:b/>
        </w:rPr>
        <w:t>N</w:t>
      </w:r>
      <w:r w:rsidRPr="005B4D9C">
        <w:rPr>
          <w:b/>
        </w:rPr>
        <w:t>áklady na straně státu</w:t>
      </w:r>
      <w:r>
        <w:t xml:space="preserve"> se tím násobí. Rostou ale i </w:t>
      </w:r>
      <w:r w:rsidRPr="005B4D9C">
        <w:rPr>
          <w:b/>
        </w:rPr>
        <w:t xml:space="preserve">náklady </w:t>
      </w:r>
      <w:r>
        <w:rPr>
          <w:b/>
        </w:rPr>
        <w:t xml:space="preserve">řízení </w:t>
      </w:r>
      <w:r w:rsidRPr="005B4D9C">
        <w:rPr>
          <w:b/>
        </w:rPr>
        <w:t>na straně poškozených</w:t>
      </w:r>
      <w:r>
        <w:t xml:space="preserve"> - opakovaně se platí soudní poplatky, odměna advokáta, pravidelně i náklady na znalecké posudky či jiné důkazní prostředky. To je ostatně i jednou z příčin, proč se většinou obdobné nároky nevymáhají vůbec.</w:t>
      </w:r>
    </w:p>
    <w:p w14:paraId="4DAAADEC" w14:textId="77777777" w:rsidR="001A6DB4" w:rsidRDefault="001A6DB4" w:rsidP="001A6DB4">
      <w:pPr>
        <w:keepNext w:val="0"/>
      </w:pPr>
    </w:p>
    <w:p w14:paraId="3FD302F0" w14:textId="27B956DD" w:rsidR="000076E7" w:rsidRDefault="001A6DB4" w:rsidP="00DB48E8">
      <w:pPr>
        <w:keepNext w:val="0"/>
      </w:pPr>
      <w:r>
        <w:t xml:space="preserve">S individuálním uplatňováním téhož je pak spojeno další neméně důležité riziko - </w:t>
      </w:r>
      <w:r w:rsidRPr="005B4D9C">
        <w:rPr>
          <w:b/>
        </w:rPr>
        <w:t>nejednotnost rozhodovací praxe</w:t>
      </w:r>
      <w:r>
        <w:t xml:space="preserve">. </w:t>
      </w:r>
      <w:r w:rsidR="00C95B49">
        <w:t>To je podpořeno i skutečností, že v bagatelních věcech není přípustné odvolání a ve věcech do 50 000,- dovolání - sjednocovací úloha vyšších soudů tak je v</w:t>
      </w:r>
      <w:r w:rsidR="007455ED">
        <w:t> těchto věcech</w:t>
      </w:r>
      <w:r w:rsidR="00C95B49">
        <w:t xml:space="preserve"> značně omezena. Nejednota v rozhodování </w:t>
      </w:r>
      <w:r>
        <w:t xml:space="preserve">představuje závažné prolomení principu předvídatelnosti soudních rozhodnutí a právní jistoty. Porušení legitimního očekávání, že v podobných případech bude soud rozhodovat podobně, je přitom v přímém rozporu se zásadami, na nichž je právní řád České republiky založen (srov. rozhodnutí </w:t>
      </w:r>
      <w:r w:rsidRPr="000B4850">
        <w:t>Ústavní</w:t>
      </w:r>
      <w:r>
        <w:t>ho soudu sp. zn.</w:t>
      </w:r>
      <w:r w:rsidRPr="000B4850">
        <w:t xml:space="preserve"> II. ÚS 635/09</w:t>
      </w:r>
      <w:r>
        <w:t xml:space="preserve"> nebo </w:t>
      </w:r>
      <w:r w:rsidRPr="000B4850">
        <w:t xml:space="preserve">II. ÚS 2742/07, </w:t>
      </w:r>
      <w:r>
        <w:t xml:space="preserve">dále viz ustanovení </w:t>
      </w:r>
      <w:r w:rsidR="005D3F18">
        <w:t>§ 13 o</w:t>
      </w:r>
      <w:r w:rsidRPr="000B4850">
        <w:t xml:space="preserve">. </w:t>
      </w:r>
      <w:r>
        <w:t>z. a důvodovou zprávu k němu). Jak ukazují zkušenosti spotřebitelských organizací, v praxi k tomuto nežádoucímu jevu dochází a nejde o výjimky.</w:t>
      </w:r>
    </w:p>
    <w:p w14:paraId="2F6569D6" w14:textId="77777777" w:rsidR="00785D03" w:rsidRPr="001835D6" w:rsidRDefault="00785D03" w:rsidP="00785D03">
      <w:pPr>
        <w:pStyle w:val="Nadpis1"/>
      </w:pPr>
      <w:r w:rsidRPr="00E734DD">
        <w:t>Návrh věcného řešení</w:t>
      </w:r>
    </w:p>
    <w:p w14:paraId="6146FB8E" w14:textId="78D4469E" w:rsidR="00AE362E" w:rsidRDefault="007455ED" w:rsidP="00CB74FB">
      <w:r>
        <w:t>J</w:t>
      </w:r>
      <w:r w:rsidR="00327EA8">
        <w:t xml:space="preserve">ednotlivým návrhům </w:t>
      </w:r>
      <w:r w:rsidR="00423367" w:rsidRPr="00327EA8">
        <w:t xml:space="preserve">věcného řešení, včetně příslušných </w:t>
      </w:r>
      <w:r w:rsidR="00327EA8">
        <w:t xml:space="preserve">variant řešení, </w:t>
      </w:r>
      <w:r w:rsidR="00423367" w:rsidRPr="00327EA8">
        <w:t>jejich hodnocení</w:t>
      </w:r>
      <w:r w:rsidR="00327EA8">
        <w:t xml:space="preserve"> </w:t>
      </w:r>
      <w:r w:rsidR="00146BD9">
        <w:t>a </w:t>
      </w:r>
      <w:r w:rsidR="00327EA8">
        <w:t>výběru varianty</w:t>
      </w:r>
      <w:r w:rsidR="00423367" w:rsidRPr="00327EA8">
        <w:t xml:space="preserve">, se podrobně věnuje </w:t>
      </w:r>
      <w:r w:rsidR="00327EA8">
        <w:t xml:space="preserve">kapitola 3 </w:t>
      </w:r>
      <w:r w:rsidR="009A17D1">
        <w:t>závěrečné zprávy z hodnocení dopadů regulace</w:t>
      </w:r>
      <w:r w:rsidR="00327EA8">
        <w:t>.</w:t>
      </w:r>
      <w:r w:rsidR="00D53897">
        <w:t xml:space="preserve"> Uvedená kapitola se věnuje</w:t>
      </w:r>
      <w:r w:rsidR="00423367" w:rsidRPr="00D53897">
        <w:t xml:space="preserve"> definování variant řešení </w:t>
      </w:r>
      <w:r w:rsidR="00AE362E">
        <w:t>na základě</w:t>
      </w:r>
      <w:r w:rsidR="00D53897">
        <w:t xml:space="preserve"> </w:t>
      </w:r>
      <w:r w:rsidR="00011296">
        <w:t xml:space="preserve">navržené </w:t>
      </w:r>
      <w:r w:rsidR="00D53897">
        <w:t xml:space="preserve">metodologie. </w:t>
      </w:r>
    </w:p>
    <w:p w14:paraId="5D130F76" w14:textId="77777777" w:rsidR="00CB74FB" w:rsidRDefault="00CB74FB" w:rsidP="00CB74FB"/>
    <w:p w14:paraId="70027036" w14:textId="5AF482EE" w:rsidR="00AE362E" w:rsidRDefault="00AE362E" w:rsidP="00CB74FB">
      <w:r>
        <w:t xml:space="preserve">Součástí </w:t>
      </w:r>
      <w:r w:rsidR="00011296">
        <w:t>zmíněné</w:t>
      </w:r>
      <w:r w:rsidR="00011296" w:rsidRPr="00AE362E">
        <w:t xml:space="preserve"> </w:t>
      </w:r>
      <w:r w:rsidRPr="00AE362E">
        <w:t>kapitol</w:t>
      </w:r>
      <w:r>
        <w:t>y</w:t>
      </w:r>
      <w:r w:rsidRPr="00AE362E">
        <w:t xml:space="preserve"> </w:t>
      </w:r>
      <w:r w:rsidR="00011296">
        <w:t xml:space="preserve">závěrečné zprávy </w:t>
      </w:r>
      <w:r w:rsidR="001A654E">
        <w:t>RIA</w:t>
      </w:r>
      <w:r w:rsidR="00011296">
        <w:t xml:space="preserve"> </w:t>
      </w:r>
      <w:r w:rsidRPr="00AE362E">
        <w:t xml:space="preserve">je </w:t>
      </w:r>
      <w:r>
        <w:t xml:space="preserve">nejen </w:t>
      </w:r>
      <w:r w:rsidRPr="00AE362E">
        <w:t xml:space="preserve">návrh variant věcného řešení, </w:t>
      </w:r>
      <w:r>
        <w:t xml:space="preserve">ale </w:t>
      </w:r>
      <w:r w:rsidR="00146BD9">
        <w:t>i </w:t>
      </w:r>
      <w:r w:rsidR="001A654E">
        <w:t>vyhodnocení přínosů a nákladů jednotlivých variant</w:t>
      </w:r>
      <w:r w:rsidRPr="00AE362E">
        <w:t xml:space="preserve">. </w:t>
      </w:r>
      <w:r w:rsidR="00011296">
        <w:t xml:space="preserve">Výběr nejvhodnější varianty </w:t>
      </w:r>
      <w:r w:rsidR="001A654E">
        <w:t>je pak</w:t>
      </w:r>
      <w:r w:rsidR="00011296">
        <w:t xml:space="preserve"> prováděn z hlediska možných nákladů a přínosů </w:t>
      </w:r>
      <w:r w:rsidR="001A654E">
        <w:t xml:space="preserve">variant </w:t>
      </w:r>
      <w:r w:rsidR="00011296">
        <w:t>a také s ohledem na možnosti</w:t>
      </w:r>
      <w:r w:rsidR="001A654E">
        <w:t xml:space="preserve"> té které varianty</w:t>
      </w:r>
      <w:r w:rsidR="00011296">
        <w:t xml:space="preserve"> </w:t>
      </w:r>
      <w:r w:rsidR="001A654E">
        <w:t>dosáhnout</w:t>
      </w:r>
      <w:r w:rsidR="00011296">
        <w:t xml:space="preserve"> hlavních cílů předkládaného věcného záměru.</w:t>
      </w:r>
    </w:p>
    <w:p w14:paraId="3F45199B" w14:textId="77777777" w:rsidR="00CB74FB" w:rsidRDefault="00CB74FB" w:rsidP="00CB74FB"/>
    <w:p w14:paraId="6B18ED47" w14:textId="17C37619" w:rsidR="002C2664" w:rsidRDefault="00DC6F8A" w:rsidP="00CB74FB">
      <w:r>
        <w:t xml:space="preserve">Následuje nastínění </w:t>
      </w:r>
      <w:r w:rsidR="002C2664">
        <w:t xml:space="preserve">legislativního </w:t>
      </w:r>
      <w:r w:rsidR="00A62579">
        <w:t>(bod 4</w:t>
      </w:r>
      <w:r>
        <w:t>.1) a</w:t>
      </w:r>
      <w:r w:rsidR="00A62579">
        <w:t xml:space="preserve"> věcného řešení (bod 4</w:t>
      </w:r>
      <w:r w:rsidR="002C2664">
        <w:t>.2).</w:t>
      </w:r>
    </w:p>
    <w:p w14:paraId="38EC0BDB" w14:textId="77777777" w:rsidR="002C2664" w:rsidRPr="002C2664" w:rsidRDefault="002C2664" w:rsidP="002C2664">
      <w:pPr>
        <w:pStyle w:val="Nadpis2"/>
      </w:pPr>
      <w:r>
        <w:t>Přijetí nového samostatného zákona</w:t>
      </w:r>
    </w:p>
    <w:p w14:paraId="635369B2" w14:textId="381BA6F7" w:rsidR="002C2664" w:rsidRDefault="001A654E" w:rsidP="00CB74FB">
      <w:r>
        <w:t>Z</w:t>
      </w:r>
      <w:r w:rsidR="00D53897">
        <w:t xml:space="preserve"> vyhodnocení </w:t>
      </w:r>
      <w:r>
        <w:t>stávajícího stavu a nastíněných variant</w:t>
      </w:r>
      <w:r w:rsidR="00423367" w:rsidRPr="00D53897">
        <w:t xml:space="preserve"> vyplynulo, že nejvíce vhodnou variantou řešení je řešení spočívající v</w:t>
      </w:r>
      <w:r w:rsidR="00146BD9">
        <w:t xml:space="preserve"> přijetí</w:t>
      </w:r>
      <w:r w:rsidR="00D53897">
        <w:t xml:space="preserve"> legislativní</w:t>
      </w:r>
      <w:r w:rsidR="00146BD9">
        <w:t>ho</w:t>
      </w:r>
      <w:r w:rsidR="00D53897">
        <w:t xml:space="preserve"> </w:t>
      </w:r>
      <w:r w:rsidR="00146BD9">
        <w:t>opatření</w:t>
      </w:r>
      <w:r w:rsidR="00386946">
        <w:t>.</w:t>
      </w:r>
      <w:r w:rsidR="00F935E4">
        <w:t xml:space="preserve"> </w:t>
      </w:r>
      <w:r>
        <w:t xml:space="preserve">Z hlediska možností realizace cílů věcného záměru je pak zřejmé, že jediným možným řešením je přijetí zcela nového zákona, který by </w:t>
      </w:r>
      <w:r w:rsidR="002C2664">
        <w:t xml:space="preserve">problematiku kolektivní ochrany práv uchopil </w:t>
      </w:r>
      <w:r w:rsidR="00F8574B">
        <w:t>uceleně</w:t>
      </w:r>
      <w:r w:rsidR="002C2664">
        <w:t xml:space="preserve">. Zejména z důvodu rozsáhlosti matérie, kterou je potřeba do budoucna upravit, se přijetí </w:t>
      </w:r>
      <w:r w:rsidR="00F8574B">
        <w:t xml:space="preserve">uceleného </w:t>
      </w:r>
      <w:r w:rsidR="002C2664">
        <w:t xml:space="preserve">zákona </w:t>
      </w:r>
      <w:r w:rsidR="00F8574B">
        <w:t>o </w:t>
      </w:r>
      <w:r w:rsidR="002C2664">
        <w:t xml:space="preserve">hromadných žalobách, který bude svou povahou </w:t>
      </w:r>
      <w:r w:rsidR="002C2664" w:rsidRPr="0093614B">
        <w:rPr>
          <w:i/>
        </w:rPr>
        <w:t>lex specialis</w:t>
      </w:r>
      <w:r w:rsidR="002C2664">
        <w:t xml:space="preserve"> k ostatním právním předpisům, jeví jako nejpříhodnější. </w:t>
      </w:r>
    </w:p>
    <w:p w14:paraId="58F4184A" w14:textId="77777777" w:rsidR="00CB74FB" w:rsidRDefault="00CB74FB" w:rsidP="00CB74FB"/>
    <w:p w14:paraId="5D1C6031" w14:textId="7560D84F" w:rsidR="00386946" w:rsidRDefault="00F935E4" w:rsidP="00CB74FB">
      <w:r>
        <w:t>Za nevhodné</w:t>
      </w:r>
      <w:r w:rsidR="0093614B">
        <w:t xml:space="preserve"> </w:t>
      </w:r>
      <w:r>
        <w:t xml:space="preserve">je </w:t>
      </w:r>
      <w:r w:rsidR="002C2664">
        <w:t>naproti tomu</w:t>
      </w:r>
      <w:r>
        <w:t xml:space="preserve"> považováno promítnutí pouze určitých změn do stávajících právních předpisů prostřednictvím příslušných novel.</w:t>
      </w:r>
      <w:r w:rsidR="0093614B">
        <w:t xml:space="preserve"> </w:t>
      </w:r>
      <w:r w:rsidR="002C2664">
        <w:t>Toto řešení by zcela jistě nebylo s to dosáhnout vytyčených cílů</w:t>
      </w:r>
      <w:r w:rsidR="00CB74FB">
        <w:t>.</w:t>
      </w:r>
    </w:p>
    <w:p w14:paraId="2754A594" w14:textId="77777777" w:rsidR="00CB74FB" w:rsidRDefault="00CB74FB" w:rsidP="00CB74FB"/>
    <w:p w14:paraId="41052A9A" w14:textId="77777777" w:rsidR="008A73B4" w:rsidRDefault="00E95CF4" w:rsidP="00CB74FB">
      <w:r>
        <w:t xml:space="preserve">Byla </w:t>
      </w:r>
      <w:r w:rsidR="00DA79CD">
        <w:t xml:space="preserve">přitom </w:t>
      </w:r>
      <w:r>
        <w:t xml:space="preserve">zvolena varianta samostatného procesního předpisu. Úprava tak nebude inkorporována do obecného civilního kodexu. Důvody jsou dvojí. Jednak jde o otázku věcnou </w:t>
      </w:r>
      <w:r w:rsidR="00F8574B">
        <w:t>–</w:t>
      </w:r>
      <w:r>
        <w:t xml:space="preserve"> kolektivní řízení je velmi specifické</w:t>
      </w:r>
      <w:r w:rsidR="00F8574B">
        <w:t>,</w:t>
      </w:r>
      <w:r>
        <w:t xml:space="preserve"> a nejeví se proto jako vhodné jej upravovat v rámci obecné úpravy sporného řízení. České civilní právo procesní je dekodifikované (občanský soudní řád, zákon o zvláštních řízeních soudních, exekuční řád, insolvenční zákon) </w:t>
      </w:r>
      <w:r w:rsidR="00F8574B">
        <w:t>–</w:t>
      </w:r>
      <w:r>
        <w:t xml:space="preserve"> odpovídá to tedy </w:t>
      </w:r>
      <w:r w:rsidR="00971A3E">
        <w:t xml:space="preserve">rovněž </w:t>
      </w:r>
      <w:r>
        <w:t>dosavadní tradici a vývoji</w:t>
      </w:r>
      <w:r w:rsidR="00971A3E">
        <w:t xml:space="preserve"> procesního práva</w:t>
      </w:r>
      <w:r>
        <w:t xml:space="preserve">. </w:t>
      </w:r>
    </w:p>
    <w:p w14:paraId="1F573BB9" w14:textId="77777777" w:rsidR="00CB74FB" w:rsidRDefault="00CB74FB" w:rsidP="00CB74FB"/>
    <w:p w14:paraId="465015DC" w14:textId="7E4023F1" w:rsidR="00E95CF4" w:rsidRDefault="00E95CF4" w:rsidP="00CB74FB">
      <w:r>
        <w:t xml:space="preserve">Jednak jde o důvod veskrze praktický; </w:t>
      </w:r>
      <w:r w:rsidR="00F8574B">
        <w:t>byť se počítá s průběžnou koordinací prací na návrhu zákona o hromadných žalobách s pracemi na rekodifikaci civilního procesu, nejsou tyto práce na sobě věcně ani časově bezprostředně závislé. Není proto nutné zákon o hromadných žalobách na existenci nového civilního řádu soudního vázat.</w:t>
      </w:r>
    </w:p>
    <w:p w14:paraId="4B2B4C8B" w14:textId="5A9A5B58" w:rsidR="002C2664" w:rsidRPr="002C2664" w:rsidRDefault="002C2664" w:rsidP="002C2664">
      <w:pPr>
        <w:pStyle w:val="Nadpis2"/>
      </w:pPr>
      <w:r>
        <w:t>Návrh věcného řešení</w:t>
      </w:r>
    </w:p>
    <w:p w14:paraId="24CAA3B2" w14:textId="77777777" w:rsidR="00FC2F3B" w:rsidRDefault="00FC2F3B" w:rsidP="00CB74FB">
      <w:r>
        <w:t xml:space="preserve">Následující řádky shrnují vybrané varianty a podávají konkrétnější představu o podobě kolektivní ochrany práv podle připravovaného zákona. </w:t>
      </w:r>
    </w:p>
    <w:p w14:paraId="26E1743F" w14:textId="77777777" w:rsidR="00CB74FB" w:rsidRDefault="00CB74FB" w:rsidP="00CB74FB"/>
    <w:p w14:paraId="0CF6ADEC" w14:textId="1693B576" w:rsidR="00FC2F3B" w:rsidRDefault="00FC2F3B" w:rsidP="00CB74FB">
      <w:r>
        <w:t>Hromadnou žalobu bude</w:t>
      </w:r>
      <w:r w:rsidR="008A73B4">
        <w:t xml:space="preserve"> možné podat ve všech oblastech, v nichž lze nároky uplatňovat cestou civilního soudního řízení. A to</w:t>
      </w:r>
      <w:r>
        <w:t xml:space="preserve"> až na určité výjimky, které budou taxativně vymezeny v zákoně. Věcná působnost zákona tak nebude téměř omezena a hromadná žaloba bude žalobou obecnou. </w:t>
      </w:r>
      <w:r w:rsidR="008A73B4">
        <w:t xml:space="preserve">Žalobou </w:t>
      </w:r>
      <w:r>
        <w:t xml:space="preserve">nebude </w:t>
      </w:r>
      <w:r w:rsidR="008A73B4">
        <w:t xml:space="preserve">prozatím </w:t>
      </w:r>
      <w:r>
        <w:t xml:space="preserve">možné uplatnit </w:t>
      </w:r>
      <w:r w:rsidR="009B7023">
        <w:t>veřejná subjektivní práva</w:t>
      </w:r>
      <w:r>
        <w:t xml:space="preserve"> (zejm. </w:t>
      </w:r>
      <w:r w:rsidR="00C71284">
        <w:t xml:space="preserve">z oblasti </w:t>
      </w:r>
      <w:r>
        <w:t>správního práva).</w:t>
      </w:r>
      <w:r w:rsidR="008A73B4">
        <w:t xml:space="preserve"> Z povahy věci bude ž</w:t>
      </w:r>
      <w:r w:rsidR="00971A3E">
        <w:t xml:space="preserve">aloba rovněž vyloučena ve věcech, které se projednávají podle zásad řízení nesporného (věci, v nichž nelze uzavřít </w:t>
      </w:r>
      <w:r w:rsidR="00DA79CD">
        <w:t xml:space="preserve">soudní </w:t>
      </w:r>
      <w:r w:rsidR="00971A3E">
        <w:t>smír).</w:t>
      </w:r>
    </w:p>
    <w:p w14:paraId="32355BC5" w14:textId="77777777" w:rsidR="00CB74FB" w:rsidRDefault="00CB74FB" w:rsidP="00CB74FB"/>
    <w:p w14:paraId="6E7AEA6F" w14:textId="5A716216" w:rsidR="00FC2F3B" w:rsidRDefault="00FC2F3B" w:rsidP="00CB74FB">
      <w:r>
        <w:t>Zásada obecnosti platí i pro okruh nároků uplatnitelných prostřednictvím žaloby – žalobce nebude v tomto ohledu nikterak omezen. Bude tak možné kolektivně uplatňovat nároky jak na plnění</w:t>
      </w:r>
      <w:r w:rsidR="009B7023">
        <w:t xml:space="preserve"> (např. na náhradu škody)</w:t>
      </w:r>
      <w:r>
        <w:t xml:space="preserve">, tak na zdržení se protiprávního jednání či odstranění protiprávního stavu, a taktéž nároky určovací. Je nicméně nutné podotknout, že některé nároky nebudou </w:t>
      </w:r>
      <w:r>
        <w:rPr>
          <w:i/>
        </w:rPr>
        <w:t xml:space="preserve">eo ipso </w:t>
      </w:r>
      <w:r>
        <w:t xml:space="preserve">pro uplatňování hromadnou žalobou vhodné (kupř. nároky </w:t>
      </w:r>
      <w:r w:rsidR="009B7023">
        <w:t>z </w:t>
      </w:r>
      <w:r>
        <w:t>titulu imateriální újmy) anebo budou zcela vyloučené</w:t>
      </w:r>
      <w:r w:rsidR="00971A3E">
        <w:t xml:space="preserve"> (např. tam, kde soud není vázán návrhem žalobce stran vyřízení věci </w:t>
      </w:r>
      <w:r w:rsidR="009B7023">
        <w:t>–</w:t>
      </w:r>
      <w:r w:rsidR="00971A3E">
        <w:t xml:space="preserve"> tzv. iudicium duplex)</w:t>
      </w:r>
      <w:r>
        <w:t>.</w:t>
      </w:r>
    </w:p>
    <w:p w14:paraId="440E7377" w14:textId="77777777" w:rsidR="00CB74FB" w:rsidRDefault="00CB74FB" w:rsidP="00CB74FB"/>
    <w:p w14:paraId="7C808AE6" w14:textId="61A7B43B" w:rsidR="00FC2F3B" w:rsidRDefault="00FC2F3B" w:rsidP="00CB74FB">
      <w:r>
        <w:t xml:space="preserve">Osoby, kterým vznikl takovýto nárok, budou procesně legitimované k podání hromadné žaloby, neboť jsou to právě ony, </w:t>
      </w:r>
      <w:r w:rsidR="00E95CF4">
        <w:t xml:space="preserve">jimž </w:t>
      </w:r>
      <w:r>
        <w:t xml:space="preserve">přísluší hmotněprávní nároky. Z hlediska procesní způsobilosti se přitom použijí obecná ustanovení zákona upravujícího </w:t>
      </w:r>
      <w:r w:rsidR="009B7023">
        <w:t xml:space="preserve">civilní </w:t>
      </w:r>
      <w:r>
        <w:t xml:space="preserve">soudní řízení. Současně je však pamatováno i na spolky založené na ochranu určitých </w:t>
      </w:r>
      <w:r w:rsidR="009B7023">
        <w:t>zájmů</w:t>
      </w:r>
      <w:r>
        <w:t xml:space="preserve">, kterým je taktéž procesní legitimace k podání žaloby přiznána. I v tomto případě </w:t>
      </w:r>
      <w:r w:rsidR="009B7023">
        <w:t xml:space="preserve">však </w:t>
      </w:r>
      <w:r>
        <w:t>půjde o žalobu</w:t>
      </w:r>
      <w:r w:rsidR="00DA79CD" w:rsidRPr="00DA79CD">
        <w:t xml:space="preserve"> </w:t>
      </w:r>
      <w:r w:rsidR="00DA79CD">
        <w:t>skupinovou</w:t>
      </w:r>
      <w:r>
        <w:t>.</w:t>
      </w:r>
    </w:p>
    <w:p w14:paraId="797064B8" w14:textId="77777777" w:rsidR="00CB74FB" w:rsidRDefault="00CB74FB" w:rsidP="00CB74FB"/>
    <w:p w14:paraId="6A5D8D04" w14:textId="70727A07" w:rsidR="00FC2F3B" w:rsidRDefault="00FC2F3B" w:rsidP="00CB74FB">
      <w:r>
        <w:t xml:space="preserve">Není-li v zákoně stanoveno jinak, budou se procesní podmínky řízení posuzovat podle obecného předpisu civilního procesu. Nad rámec podmínek pro řízení individuální bude však nutné splnit </w:t>
      </w:r>
      <w:r w:rsidR="009B7023">
        <w:t>i </w:t>
      </w:r>
      <w:r>
        <w:t>další procesní podmínky stanovené toliko pro účely řízení</w:t>
      </w:r>
      <w:r w:rsidRPr="00FC2F3B">
        <w:t xml:space="preserve"> </w:t>
      </w:r>
      <w:r>
        <w:t xml:space="preserve">hromadného. </w:t>
      </w:r>
      <w:r w:rsidR="001B4174">
        <w:t xml:space="preserve">Naplnění těchto </w:t>
      </w:r>
      <w:r>
        <w:t>podmín</w:t>
      </w:r>
      <w:r w:rsidR="001B4174">
        <w:t>ek</w:t>
      </w:r>
      <w:r>
        <w:t xml:space="preserve"> bud</w:t>
      </w:r>
      <w:r w:rsidR="001B4174">
        <w:t>e</w:t>
      </w:r>
      <w:r>
        <w:t xml:space="preserve"> odůvodňovat zvláštní formu vedení řízení. Jde o následující výčet:</w:t>
      </w:r>
    </w:p>
    <w:p w14:paraId="67D4F01C" w14:textId="77777777" w:rsidR="00CB74FB" w:rsidRDefault="00CB74FB" w:rsidP="00CB74FB"/>
    <w:p w14:paraId="21F7CF36" w14:textId="72C052FB" w:rsidR="00FC2F3B" w:rsidRDefault="00FC2F3B" w:rsidP="00CB74FB">
      <w:pPr>
        <w:pStyle w:val="Odstavecseseznamem"/>
        <w:numPr>
          <w:ilvl w:val="0"/>
          <w:numId w:val="22"/>
        </w:numPr>
      </w:pPr>
      <w:r>
        <w:t xml:space="preserve">Musí být dána adekvátní početnost skupiny pro konkrétní řízení tak, že řízení </w:t>
      </w:r>
      <w:r w:rsidR="009B7023">
        <w:t>o </w:t>
      </w:r>
      <w:r>
        <w:t xml:space="preserve">individuálních nárocích by bylo nepraktické (podmínka početnosti – </w:t>
      </w:r>
      <w:r w:rsidRPr="00CB74FB">
        <w:rPr>
          <w:i/>
        </w:rPr>
        <w:t>nummerosity</w:t>
      </w:r>
      <w:r>
        <w:t xml:space="preserve">). Konkrétní </w:t>
      </w:r>
      <w:r w:rsidR="00AF06CF">
        <w:t>minimální počet členů skupiny</w:t>
      </w:r>
      <w:r>
        <w:t xml:space="preserve"> se přitom udávat nebude</w:t>
      </w:r>
      <w:r w:rsidR="001B4174">
        <w:t>,</w:t>
      </w:r>
      <w:r>
        <w:t xml:space="preserve"> a bude tak na uvážení soudu, zda v konkrétním případě </w:t>
      </w:r>
      <w:r w:rsidR="00AF06CF">
        <w:t>žalobu připustí</w:t>
      </w:r>
      <w:r>
        <w:t>.</w:t>
      </w:r>
    </w:p>
    <w:p w14:paraId="3AD50EA7" w14:textId="77777777" w:rsidR="00FC2F3B" w:rsidRDefault="00FC2F3B" w:rsidP="00CB74FB">
      <w:pPr>
        <w:pStyle w:val="Odstavecseseznamem"/>
        <w:numPr>
          <w:ilvl w:val="0"/>
          <w:numId w:val="22"/>
        </w:numPr>
      </w:pPr>
      <w:r>
        <w:t xml:space="preserve">Pro celou skupinu jsou skutkové a právní otázky společné (podmínka společné povahy – </w:t>
      </w:r>
      <w:r w:rsidRPr="00CB74FB">
        <w:rPr>
          <w:i/>
        </w:rPr>
        <w:t>commonality</w:t>
      </w:r>
      <w:r>
        <w:t>).</w:t>
      </w:r>
    </w:p>
    <w:p w14:paraId="1A9FF3D0" w14:textId="77777777" w:rsidR="00FC2F3B" w:rsidRDefault="00FC2F3B" w:rsidP="00CB74FB">
      <w:pPr>
        <w:pStyle w:val="Odstavecseseznamem"/>
        <w:numPr>
          <w:ilvl w:val="0"/>
          <w:numId w:val="22"/>
        </w:numPr>
      </w:pPr>
      <w:r>
        <w:t xml:space="preserve">Uplatňující se nároky prostřednictvím zástupce skupiny musejí být obdobného charakteru jako nároky všech členů skupiny (podmínka typizovanosti – </w:t>
      </w:r>
      <w:r w:rsidRPr="00CB74FB">
        <w:rPr>
          <w:i/>
        </w:rPr>
        <w:t>typicality</w:t>
      </w:r>
      <w:r>
        <w:t>).</w:t>
      </w:r>
    </w:p>
    <w:p w14:paraId="05592F8F" w14:textId="573C4B83" w:rsidR="00FC2F3B" w:rsidRDefault="00FC2F3B" w:rsidP="00CB74FB">
      <w:pPr>
        <w:pStyle w:val="Odstavecseseznamem"/>
        <w:numPr>
          <w:ilvl w:val="0"/>
          <w:numId w:val="22"/>
        </w:numPr>
      </w:pPr>
      <w:r>
        <w:t xml:space="preserve">Skupina musí být reprezentována členem skupiny, který není ve střetu zájmů, </w:t>
      </w:r>
      <w:r w:rsidR="009B7023">
        <w:t>a </w:t>
      </w:r>
      <w:r>
        <w:t>zastoupena advokátem, jehož zkušenosti a schopnosti odpovídají náročnosti kolektivního sporu. Také zde musí být zřejmé, že nedochází mezi ním a členy skupiny</w:t>
      </w:r>
      <w:r w:rsidR="009B7023">
        <w:t xml:space="preserve"> či žalovaným</w:t>
      </w:r>
      <w:r>
        <w:t xml:space="preserve"> ke střetu zájmů (podmínka odpovídajícího zastoupení – </w:t>
      </w:r>
      <w:r w:rsidRPr="00CB74FB">
        <w:rPr>
          <w:i/>
        </w:rPr>
        <w:t>adequancy of representation</w:t>
      </w:r>
      <w:r>
        <w:t>).</w:t>
      </w:r>
    </w:p>
    <w:p w14:paraId="49822EE1" w14:textId="65A0B568" w:rsidR="00FC2F3B" w:rsidRDefault="00FC2F3B" w:rsidP="00CB74FB">
      <w:pPr>
        <w:pStyle w:val="Odstavecseseznamem"/>
        <w:numPr>
          <w:ilvl w:val="0"/>
          <w:numId w:val="22"/>
        </w:numPr>
      </w:pPr>
      <w:r w:rsidRPr="00C86A67">
        <w:t>Povaha a rozsah skupiny a předmětu sporu musí být takový, že hromadné řízení se zdá být nejlepším m</w:t>
      </w:r>
      <w:r>
        <w:t>ožným způsobem projednání věci (</w:t>
      </w:r>
      <w:r w:rsidRPr="00CB74FB">
        <w:rPr>
          <w:i/>
        </w:rPr>
        <w:t>vhodnost</w:t>
      </w:r>
      <w:r>
        <w:t>).</w:t>
      </w:r>
    </w:p>
    <w:p w14:paraId="3BA51EFF" w14:textId="48A30024" w:rsidR="008A73B4" w:rsidRDefault="008A73B4" w:rsidP="00CB74FB">
      <w:pPr>
        <w:pStyle w:val="Odstavecseseznamem"/>
        <w:numPr>
          <w:ilvl w:val="0"/>
          <w:numId w:val="22"/>
        </w:numPr>
      </w:pPr>
      <w:r>
        <w:t>Konečně žaloba nebude přípustná, bude-li zřejmé, že jde pouze o zneužití práva.</w:t>
      </w:r>
    </w:p>
    <w:p w14:paraId="2846E150" w14:textId="77777777" w:rsidR="00CB74FB" w:rsidRPr="00C86A67" w:rsidRDefault="00CB74FB" w:rsidP="00CB74FB">
      <w:pPr>
        <w:pStyle w:val="Odstavecseseznamem"/>
        <w:ind w:left="720"/>
      </w:pPr>
    </w:p>
    <w:p w14:paraId="51D724E6" w14:textId="77777777" w:rsidR="008A73B4" w:rsidRDefault="00FC2F3B" w:rsidP="00CB74FB">
      <w:r>
        <w:t xml:space="preserve">Úprava hromadných žalob bude primárně založena na principu </w:t>
      </w:r>
      <w:r w:rsidRPr="00120450">
        <w:rPr>
          <w:i/>
        </w:rPr>
        <w:t>opt-out</w:t>
      </w:r>
      <w:r>
        <w:t xml:space="preserve">, kdy </w:t>
      </w:r>
      <w:r w:rsidR="001B4174">
        <w:t xml:space="preserve">budou </w:t>
      </w:r>
      <w:r>
        <w:t xml:space="preserve">na řízení </w:t>
      </w:r>
      <w:r w:rsidR="009B7023">
        <w:t>a </w:t>
      </w:r>
      <w:r>
        <w:t xml:space="preserve">jeho výsledku ze zákona účastny všechny osoby mající v téže věci obdobný nárok, tj. osoby naplňující podmínky </w:t>
      </w:r>
      <w:r w:rsidR="00AF06CF">
        <w:t>členství ve skupině,</w:t>
      </w:r>
      <w:r>
        <w:t xml:space="preserve"> jak je vymezil soud ve svém certifikačním rozhodnutí (viz dále). </w:t>
      </w:r>
    </w:p>
    <w:p w14:paraId="423E787A" w14:textId="77777777" w:rsidR="00CB74FB" w:rsidRDefault="00CB74FB" w:rsidP="00CB74FB"/>
    <w:p w14:paraId="224D54D7" w14:textId="45AF72E1" w:rsidR="00FC2F3B" w:rsidRDefault="00FC2F3B" w:rsidP="00CB74FB">
      <w:r>
        <w:t xml:space="preserve">Jestliže nechtějí být tyto osoby výsledkem kolektivního sporu zavázány, mají právo z řízení vystoupit, tzv. se </w:t>
      </w:r>
      <w:r w:rsidRPr="00A60F69">
        <w:rPr>
          <w:i/>
        </w:rPr>
        <w:t>opt-outovat</w:t>
      </w:r>
      <w:r>
        <w:t xml:space="preserve"> a uplatňovat svůj nárok individuálně. Současně </w:t>
      </w:r>
      <w:r w:rsidR="009B7023">
        <w:t xml:space="preserve">však </w:t>
      </w:r>
      <w:r>
        <w:t xml:space="preserve">bude ponechána možnost ve výjimečných případech využít režimu </w:t>
      </w:r>
      <w:r w:rsidRPr="00142D5C">
        <w:rPr>
          <w:i/>
        </w:rPr>
        <w:t>opt-in</w:t>
      </w:r>
      <w:r>
        <w:t xml:space="preserve">. A to zejména </w:t>
      </w:r>
      <w:r w:rsidR="00C27992">
        <w:t>v případě nároků s vyšší hodnotou předmětu</w:t>
      </w:r>
      <w:r w:rsidR="009B7023">
        <w:t xml:space="preserve"> plnění</w:t>
      </w:r>
      <w:r>
        <w:t xml:space="preserve"> a </w:t>
      </w:r>
      <w:r w:rsidR="009B7023">
        <w:t xml:space="preserve">nároků </w:t>
      </w:r>
      <w:r>
        <w:t xml:space="preserve">relativně malé skupiny, kde by režim </w:t>
      </w:r>
      <w:r w:rsidRPr="00142D5C">
        <w:rPr>
          <w:i/>
        </w:rPr>
        <w:t>opt-out</w:t>
      </w:r>
      <w:r>
        <w:t xml:space="preserve"> nebyl tím nejvhodnější a nejrozumnějším způsobem vedení řízení. Soud přitom musí vzít v potaz názor </w:t>
      </w:r>
      <w:r w:rsidR="009B7023">
        <w:t>a </w:t>
      </w:r>
      <w:r>
        <w:t>přání žalobce.</w:t>
      </w:r>
    </w:p>
    <w:p w14:paraId="71A0C5EC" w14:textId="77777777" w:rsidR="00CB74FB" w:rsidRDefault="00CB74FB" w:rsidP="00CB74FB"/>
    <w:p w14:paraId="5C753AB9" w14:textId="76D70E15" w:rsidR="00FC2F3B" w:rsidRDefault="00FC2F3B" w:rsidP="00CB74FB">
      <w:r>
        <w:t xml:space="preserve">Řízení před soudem bude oproti klasickému pojetí odlišné. V první fázi dojde k tzv. certifikačnímu řízení, v němž bude soud posuzovat splnění procesních podmínek pro vedení kolektivního řízení, a také, zda se nejedná o </w:t>
      </w:r>
      <w:r w:rsidRPr="005132B3">
        <w:t>svévol</w:t>
      </w:r>
      <w:r>
        <w:t>ný nebo zřejmě bezúspěšný návrh</w:t>
      </w:r>
      <w:r w:rsidR="008A73B4">
        <w:t xml:space="preserve"> (zneužití na úkor skupiny/žalovaného)</w:t>
      </w:r>
      <w:r>
        <w:t xml:space="preserve">. Podmínkou pro </w:t>
      </w:r>
      <w:r w:rsidR="00521008">
        <w:t>certifikaci</w:t>
      </w:r>
      <w:r>
        <w:t xml:space="preserve"> budou jednak obecné procesní podmínky, jednak procesní podmínky stanovené speciálně pro účely hromadné žaloby (k tomu výše).</w:t>
      </w:r>
    </w:p>
    <w:p w14:paraId="3FD5D443" w14:textId="77777777" w:rsidR="00CB74FB" w:rsidRDefault="00CB74FB" w:rsidP="00CB74FB"/>
    <w:p w14:paraId="1D313E8B" w14:textId="06DE1A79" w:rsidR="00FC2F3B" w:rsidRDefault="00FC2F3B" w:rsidP="00CB74FB">
      <w:r>
        <w:t xml:space="preserve">Certifikační řízení bude </w:t>
      </w:r>
      <w:r w:rsidR="00521008">
        <w:t xml:space="preserve">skončeno </w:t>
      </w:r>
      <w:r>
        <w:t xml:space="preserve">buď vydáním certifikačního usnesení, </w:t>
      </w:r>
      <w:r w:rsidRPr="00976DBA">
        <w:t>ve kterém bude uvedena zejména identifikace stran řízení, vymezení rozsahu skupiny, předmětu řízení, způsob uveřejnění a lhůta</w:t>
      </w:r>
      <w:r>
        <w:t xml:space="preserve"> pro </w:t>
      </w:r>
      <w:r w:rsidRPr="00A60F69">
        <w:rPr>
          <w:i/>
        </w:rPr>
        <w:t>opt-out</w:t>
      </w:r>
      <w:r>
        <w:t xml:space="preserve"> nebo </w:t>
      </w:r>
      <w:r w:rsidRPr="00A60F69">
        <w:rPr>
          <w:i/>
        </w:rPr>
        <w:t>opt-in</w:t>
      </w:r>
      <w:r>
        <w:t xml:space="preserve"> (podle zvoleného režimu), </w:t>
      </w:r>
      <w:r w:rsidR="00521008">
        <w:t>a</w:t>
      </w:r>
      <w:r>
        <w:t>nebo dojde k zastavení řízení o</w:t>
      </w:r>
      <w:r w:rsidR="005D3F18">
        <w:t> </w:t>
      </w:r>
      <w:r>
        <w:t xml:space="preserve">hromadné žalobě pro nesplnění výše uvedených podmínek. Proti certifikačnímu usnesení bude opravný prostředek přípustný. V případě zastavení řízení </w:t>
      </w:r>
      <w:r w:rsidR="00521008">
        <w:t>o </w:t>
      </w:r>
      <w:r>
        <w:t>hromadné žalobě bude možné následné podání žaloby individuální.</w:t>
      </w:r>
    </w:p>
    <w:p w14:paraId="6AED32D6" w14:textId="5633F901" w:rsidR="00FC2F3B" w:rsidRDefault="00FC2F3B" w:rsidP="00CB74FB">
      <w:r>
        <w:t xml:space="preserve">Pokud jde o promlčecí lhůty, v případě, že bude certifikační rozhodnutí kladné, staví se promlčecí </w:t>
      </w:r>
      <w:r w:rsidR="00AF06CF">
        <w:t>lhůta</w:t>
      </w:r>
      <w:r>
        <w:t xml:space="preserve"> již ke dni podání hromadné žaloby</w:t>
      </w:r>
      <w:r w:rsidR="00521008">
        <w:t>, a to ve vztahu k nárokům všech členů skupiny</w:t>
      </w:r>
      <w:r>
        <w:t xml:space="preserve">. V případě, že certifikační rozhodnutí soudu bude negativní, uplatní se pravidlo obdobné § 652 obč. z. </w:t>
      </w:r>
      <w:r w:rsidR="00521008">
        <w:t>–</w:t>
      </w:r>
      <w:r>
        <w:t xml:space="preserve"> promlčecí lhůta</w:t>
      </w:r>
      <w:r w:rsidR="00D0726F">
        <w:t xml:space="preserve"> nároků</w:t>
      </w:r>
      <w:r>
        <w:t xml:space="preserve"> všech potenciálních členů skupiny neskončí dříve než 6 měsíců ode dne zamítavého certifikačního usnesení. Toto opatření má ochránit </w:t>
      </w:r>
      <w:r w:rsidR="00D0726F">
        <w:t>oprávněné</w:t>
      </w:r>
      <w:r>
        <w:t>, kteří byli v dobré víře, že certifikace bude udělena</w:t>
      </w:r>
      <w:r w:rsidR="00D0726F">
        <w:t xml:space="preserve">, </w:t>
      </w:r>
      <w:r>
        <w:t>a otáleli tak s podáním vlastní individuální žaloby, mezitím však došlo k uplynutí promlčecí lhůty</w:t>
      </w:r>
      <w:r w:rsidR="00521008">
        <w:t xml:space="preserve"> vztahující se k</w:t>
      </w:r>
      <w:r>
        <w:t xml:space="preserve"> jejich nároku.</w:t>
      </w:r>
    </w:p>
    <w:p w14:paraId="015BF61C" w14:textId="77777777" w:rsidR="00CB74FB" w:rsidRDefault="00CB74FB" w:rsidP="00CB74FB"/>
    <w:p w14:paraId="28C42B76" w14:textId="408A2B90" w:rsidR="00FC2F3B" w:rsidRDefault="00D0726F" w:rsidP="00CB74FB">
      <w:r>
        <w:t>Z důvodu</w:t>
      </w:r>
      <w:r w:rsidR="00FC2F3B">
        <w:t xml:space="preserve"> značných specifik charakteristických pro kolektivní řízení a</w:t>
      </w:r>
      <w:r>
        <w:t xml:space="preserve"> pro</w:t>
      </w:r>
      <w:r w:rsidR="00FC2F3B">
        <w:t xml:space="preserve"> jeho složitost bude řízení o hromadných žalobách probíhat před krajskými soudy</w:t>
      </w:r>
      <w:r w:rsidR="00AF06CF">
        <w:t xml:space="preserve"> nebo jinými k tomu speciálně určenými soudy (např. vybrané krajské soudy, vybrané okresní soudy)</w:t>
      </w:r>
      <w:r w:rsidR="00FC2F3B">
        <w:t xml:space="preserve">. Okresní soudy jakožto soudy obecné nejsou pro projednání takto </w:t>
      </w:r>
      <w:r w:rsidR="00AF06CF">
        <w:t>procesně složitých kauz vhodné.</w:t>
      </w:r>
    </w:p>
    <w:p w14:paraId="3FFD47FE" w14:textId="77777777" w:rsidR="00CB74FB" w:rsidRDefault="00CB74FB" w:rsidP="00CB74FB"/>
    <w:p w14:paraId="08C4211E" w14:textId="2C97FD3E" w:rsidR="00FC2F3B" w:rsidRDefault="00FC2F3B" w:rsidP="00CB74FB">
      <w:r>
        <w:t xml:space="preserve">Jedním ze stěžejních bodů úpravy bude i otázka uveřejňování právě probíhajících sporů, která je vzhledem k nastolenému režimu </w:t>
      </w:r>
      <w:r w:rsidRPr="002B4408">
        <w:rPr>
          <w:i/>
        </w:rPr>
        <w:t>opt-out</w:t>
      </w:r>
      <w:r>
        <w:t xml:space="preserve"> velmi podstatná. Uveřejnění všech potřebných informací ohledně konkrétních sporů bude do zahájení řízení probíhat</w:t>
      </w:r>
      <w:r w:rsidR="00D0726F">
        <w:t xml:space="preserve"> prostřednictvím</w:t>
      </w:r>
      <w:r>
        <w:t xml:space="preserve"> zástupce skupiny, resp. jeho advokát</w:t>
      </w:r>
      <w:r w:rsidR="00D0726F">
        <w:t>a</w:t>
      </w:r>
      <w:r w:rsidR="008A73B4">
        <w:t>. Poté, co bude řízení zahájeno, zapojí se do uveřejňování</w:t>
      </w:r>
      <w:r>
        <w:t xml:space="preserve"> </w:t>
      </w:r>
      <w:r w:rsidR="008C10EB">
        <w:t xml:space="preserve">také </w:t>
      </w:r>
      <w:r>
        <w:t xml:space="preserve">soud, který zejm. dohlédne na to, aby nedocházelo ke zneužívání </w:t>
      </w:r>
      <w:r w:rsidR="00D0726F">
        <w:t>či nedůvodnému</w:t>
      </w:r>
      <w:r>
        <w:t> poškoz</w:t>
      </w:r>
      <w:r w:rsidR="00D0726F">
        <w:t>ování</w:t>
      </w:r>
      <w:r>
        <w:t xml:space="preserve"> žalovaného</w:t>
      </w:r>
      <w:r w:rsidR="00D0726F">
        <w:t xml:space="preserve">. Uveřejňování </w:t>
      </w:r>
      <w:r>
        <w:t xml:space="preserve">bude </w:t>
      </w:r>
      <w:r w:rsidR="00D0726F">
        <w:t>probíhat</w:t>
      </w:r>
      <w:r w:rsidR="008A73B4">
        <w:t xml:space="preserve"> prostřednictvím jednoho centrálního místa (např. webová stránka)</w:t>
      </w:r>
      <w:r w:rsidR="00D0726F">
        <w:t>, jehož prostřednictvím bude rovněž doručováno členům skupiny</w:t>
      </w:r>
      <w:r w:rsidR="008C10EB">
        <w:t xml:space="preserve"> - toto uveřejňování bude zprostředkovávat soud</w:t>
      </w:r>
      <w:r>
        <w:t>. O dalším vhodném způsobu rozhodne soud a pověří jím zástupce skupiny, potažmo jeho advokáta (např. uveřejnění v mediích,</w:t>
      </w:r>
      <w:r w:rsidR="008C10EB">
        <w:t xml:space="preserve"> na sociálních sítích,</w:t>
      </w:r>
      <w:r>
        <w:t xml:space="preserve"> na speci</w:t>
      </w:r>
      <w:r w:rsidR="008C10EB">
        <w:t>álních webových stránkách apod.)</w:t>
      </w:r>
      <w:r>
        <w:t>. Tím bude zabezpečena nejvyšší míra možnosti získání potřebných informací ze strany veřejnosti a potenciálních poškozených.</w:t>
      </w:r>
      <w:r w:rsidR="007A552E">
        <w:t xml:space="preserve"> Zde bude případně </w:t>
      </w:r>
      <w:r w:rsidR="00C27992">
        <w:t xml:space="preserve">možné </w:t>
      </w:r>
      <w:r w:rsidR="007A552E">
        <w:t xml:space="preserve">i zohlednit, že někteří ze členů skupiny jsou cizinci či pobývají v zahraničí </w:t>
      </w:r>
      <w:r w:rsidR="00E026C1">
        <w:t>–</w:t>
      </w:r>
      <w:r w:rsidR="007A552E">
        <w:t xml:space="preserve"> </w:t>
      </w:r>
      <w:r w:rsidR="00E026C1">
        <w:t xml:space="preserve">bude na soudu, aby zvolil a žalobci/jeho </w:t>
      </w:r>
      <w:r w:rsidR="00AC5467">
        <w:t>advokátovi</w:t>
      </w:r>
      <w:r w:rsidR="00E026C1">
        <w:t xml:space="preserve"> uložil takový způsob uveřejňování, který zajistí informovanost i těchto členů skupiny.</w:t>
      </w:r>
    </w:p>
    <w:p w14:paraId="72BFC179" w14:textId="77777777" w:rsidR="00CB74FB" w:rsidRDefault="00CB74FB" w:rsidP="00CB74FB"/>
    <w:p w14:paraId="673727CE" w14:textId="521A940D" w:rsidR="00FC2F3B" w:rsidRDefault="00FC2F3B" w:rsidP="00CB74FB">
      <w:r>
        <w:t>Další průběh řízení bude do značné míry určen typem uplatňovaných nároků, velikostí skupiny atd. Subsidiárně se použijí ustanovení občanského soudního řádu</w:t>
      </w:r>
      <w:r w:rsidR="0077284F">
        <w:t xml:space="preserve"> s tím, že specifika upraví zvláštní zákon </w:t>
      </w:r>
      <w:r w:rsidR="00E026C1">
        <w:t xml:space="preserve">o hromadných žalobách </w:t>
      </w:r>
      <w:r w:rsidR="0077284F">
        <w:t>(vztah subsidiarity)</w:t>
      </w:r>
      <w:r>
        <w:t>.</w:t>
      </w:r>
      <w:r w:rsidR="0077284F">
        <w:t xml:space="preserve"> Zvlášť bude řešena zejm. otázka uveřejňování, postavení účastníků, role advokáta a zástupce skupiny</w:t>
      </w:r>
      <w:r w:rsidR="00D0726F">
        <w:t>, doručování</w:t>
      </w:r>
      <w:r w:rsidR="0077284F">
        <w:t xml:space="preserve"> apod.</w:t>
      </w:r>
      <w:r>
        <w:t xml:space="preserve"> </w:t>
      </w:r>
      <w:r w:rsidR="00E026C1">
        <w:t>Soud bude také moci vytvářet podskupiny v rámci celé skupiny. Následné projednání nároků členů jednotlivých podskupin bude na sobě více či méně závislé, záležet bude na okolnostech. Podskupiny mohou tvořit kupř. osoby s různými typy bankovního účtu, osoby s omezeným a neomezeným tarifem, osoby s různými formami a rozsahem pracovního poměru atd.</w:t>
      </w:r>
    </w:p>
    <w:p w14:paraId="416E4155" w14:textId="77777777" w:rsidR="00CB74FB" w:rsidRDefault="00CB74FB" w:rsidP="00CB74FB"/>
    <w:p w14:paraId="49FEF49C" w14:textId="5B07C2A5" w:rsidR="00FC2F3B" w:rsidRDefault="00FC2F3B" w:rsidP="00CB74FB">
      <w:r>
        <w:t xml:space="preserve">Průběh řízení bude také do značné míry ovlivněn cílem kolektivního řízení, kterým je důkladné projednání případu tak, aby bylo postaveno najisto, zda nároky skupiny vůči žalobci existují </w:t>
      </w:r>
      <w:r w:rsidR="00521008">
        <w:t>a </w:t>
      </w:r>
      <w:r>
        <w:t xml:space="preserve">v jakém rozsahu. Předmětem řízení v tomto ohledu je tedy celá suma nároků, v případě opt-out všech, v případě opt-in těch přihlášených. Průběh a obsah řízení se nicméně bude odvíjet od projednání nároku zástupce skupiny, jeho výsledky </w:t>
      </w:r>
      <w:r w:rsidR="0077284F">
        <w:t>pak</w:t>
      </w:r>
      <w:r>
        <w:t xml:space="preserve"> bude možné vztáhnout na ostatní členy skupiny, které soud identifikoval v certifikačním usnesení.</w:t>
      </w:r>
    </w:p>
    <w:p w14:paraId="3DCD35D1" w14:textId="77777777" w:rsidR="00CB74FB" w:rsidRDefault="00CB74FB" w:rsidP="00CB74FB"/>
    <w:p w14:paraId="387D8DCD" w14:textId="2111B107" w:rsidR="00955D14" w:rsidRDefault="00955D14" w:rsidP="00CB74FB">
      <w:r>
        <w:t>Postavení členů skupiny, kteří nestojí za podanou žalobou, bude specifické. Budou sice účastníky řízení, neboť předmětem projednání bude také jejich nárok, se soudem budou nicméně moci komunikovat pouze prostřednictvím zástupce skupiny či jeho advokáta. Výjimkou budou úkony, které každý účastník může činit pouze sám, kupř. právo být slyšen. Účastníci, kteří nebudou v roli zástupce, nebudou moci činit tzv. dispoziční úkony (vzít žalobu zpět</w:t>
      </w:r>
      <w:r w:rsidR="00192657">
        <w:t>, podat odvolání proti certifikačnímu usnesení</w:t>
      </w:r>
      <w:r w:rsidR="008C10EB">
        <w:t xml:space="preserve"> apod.) - k tomu jim bude sloužit možnost z řízení vystoupit.</w:t>
      </w:r>
    </w:p>
    <w:p w14:paraId="049667E6" w14:textId="77777777" w:rsidR="00CB74FB" w:rsidRDefault="00CB74FB" w:rsidP="00CB74FB"/>
    <w:p w14:paraId="2A6582E2" w14:textId="360B299F" w:rsidR="00D0726F" w:rsidRDefault="00FC2F3B" w:rsidP="00CB74FB">
      <w:r>
        <w:t>Pokud jde o vztah kolektivního řízení k individuálním řízením v téže věci, přiklání se pojetí věcného záměru k</w:t>
      </w:r>
      <w:r w:rsidR="0077284F">
        <w:t> nezávislosti těchto řízení</w:t>
      </w:r>
      <w:r>
        <w:t xml:space="preserve">. </w:t>
      </w:r>
      <w:r w:rsidR="0077284F">
        <w:t xml:space="preserve">Jestliže tak osoba z řízení vystoupí, může následně uplatňovat své nároky nezávisle na probíhajícím hromadném řízení. V případě, že řízení bylo zahájeno před podáním hromadné žaloby, soud toto řízení přeruší do doby, než případně osoba z hromadného řízení opt-outuje. </w:t>
      </w:r>
      <w:r w:rsidR="00AF06CF">
        <w:t xml:space="preserve">Vystoupí-li pak z hromadného řízení, bude soud v individuálním řízení pokračovat. </w:t>
      </w:r>
      <w:r w:rsidR="0077284F">
        <w:t>B</w:t>
      </w:r>
      <w:r>
        <w:t xml:space="preserve">ude-li po zahájení hromadného řízení podána individuální žaloba, </w:t>
      </w:r>
      <w:r w:rsidR="00192657">
        <w:t>uplatní se vyvratitelná domněnka, že jde</w:t>
      </w:r>
      <w:r>
        <w:t xml:space="preserve"> o opt-out z hromadného řízení. </w:t>
      </w:r>
    </w:p>
    <w:p w14:paraId="191C9549" w14:textId="77777777" w:rsidR="00CB74FB" w:rsidRDefault="00CB74FB" w:rsidP="00CB74FB"/>
    <w:p w14:paraId="54FAD84A" w14:textId="5F896C43" w:rsidR="00FC2F3B" w:rsidRDefault="00D0726F" w:rsidP="00CB74FB">
      <w:r>
        <w:t>Jakkoliv nebude výsledek hromadného řízení pro soud</w:t>
      </w:r>
      <w:r w:rsidR="00192657">
        <w:t xml:space="preserve"> v individuálním řízení</w:t>
      </w:r>
      <w:r>
        <w:t xml:space="preserve"> závazný, </w:t>
      </w:r>
      <w:r w:rsidR="0077284F">
        <w:t>měl</w:t>
      </w:r>
      <w:r w:rsidR="00AF06CF">
        <w:t xml:space="preserve"> by soud</w:t>
      </w:r>
      <w:r w:rsidR="0077284F">
        <w:t xml:space="preserve"> </w:t>
      </w:r>
      <w:r w:rsidR="00FC2F3B">
        <w:t xml:space="preserve">výsledek kolektivního řízení </w:t>
      </w:r>
      <w:r w:rsidR="0077284F">
        <w:t xml:space="preserve">vzít </w:t>
      </w:r>
      <w:r w:rsidR="00FC2F3B">
        <w:t>v</w:t>
      </w:r>
      <w:r w:rsidR="0077284F">
        <w:t xml:space="preserve"> potaz, a to </w:t>
      </w:r>
      <w:r w:rsidR="00FC2F3B">
        <w:t xml:space="preserve">přinejmenším do té míry, aby se svým postupem neodůvodněně nevzepřel požadavku legitimního očekávání </w:t>
      </w:r>
      <w:r w:rsidR="00192657">
        <w:t>a </w:t>
      </w:r>
      <w:r w:rsidR="00FC2F3B">
        <w:t>jednotnosti rozhodování soudů.</w:t>
      </w:r>
      <w:r w:rsidR="008C10EB">
        <w:t xml:space="preserve"> Za tímto účelem bude soud moci individuální řízení přerušit a vyčkat na rozhodnutí o skupinovém nároku, uzná-li to za vhodné.</w:t>
      </w:r>
    </w:p>
    <w:p w14:paraId="7897C3DE" w14:textId="77777777" w:rsidR="00CB74FB" w:rsidRDefault="00CB74FB" w:rsidP="00CB74FB"/>
    <w:p w14:paraId="364883FF" w14:textId="2307480A" w:rsidR="00FC2F3B" w:rsidRDefault="00FC2F3B" w:rsidP="00CB74FB">
      <w:r>
        <w:t xml:space="preserve">Účastník individuálního řízení bude mít v případě uplatnění režimu opt-in možnost se do skupinového řízení přihlásit, aniž by se vystavoval riziku náhrady nákladů </w:t>
      </w:r>
      <w:r w:rsidR="00192657">
        <w:t>pro neúspěch ve věci jako v individuálním řízení</w:t>
      </w:r>
      <w:r>
        <w:t xml:space="preserve">. </w:t>
      </w:r>
      <w:r w:rsidR="0077284F">
        <w:t xml:space="preserve">Jinak může i nadále pokračovat ve svém </w:t>
      </w:r>
      <w:r w:rsidR="00955D14">
        <w:t xml:space="preserve">individuálním </w:t>
      </w:r>
      <w:r w:rsidR="0077284F">
        <w:t>řízení.</w:t>
      </w:r>
    </w:p>
    <w:p w14:paraId="71421E3F" w14:textId="77777777" w:rsidR="00CB74FB" w:rsidRDefault="00CB74FB" w:rsidP="00CB74FB"/>
    <w:p w14:paraId="7524EB54" w14:textId="0FDD74F8" w:rsidR="00FC2F3B" w:rsidRDefault="00FC2F3B" w:rsidP="00CB74FB">
      <w:r>
        <w:t xml:space="preserve">V řízení o hromadné žalobě bude </w:t>
      </w:r>
      <w:r w:rsidR="0077284F">
        <w:t>přípustné uzavření</w:t>
      </w:r>
      <w:r>
        <w:t xml:space="preserve"> smír</w:t>
      </w:r>
      <w:r w:rsidR="0077284F">
        <w:t>u</w:t>
      </w:r>
      <w:r>
        <w:t xml:space="preserve">. </w:t>
      </w:r>
      <w:r w:rsidR="0077284F">
        <w:t xml:space="preserve">Strany na základě dohody předloží </w:t>
      </w:r>
      <w:r>
        <w:t>návrh na schválení smíru</w:t>
      </w:r>
      <w:r w:rsidR="0077284F">
        <w:t xml:space="preserve"> soudu</w:t>
      </w:r>
      <w:r>
        <w:t xml:space="preserve">. Navržený smír bude soudem přezkoumán, a to jak z hlediska souladnosti s hmotným právem, tak i </w:t>
      </w:r>
      <w:r w:rsidR="0077284F">
        <w:t xml:space="preserve">toho, zda odpovídá </w:t>
      </w:r>
      <w:r w:rsidR="00192657">
        <w:t xml:space="preserve">společnému zájmu </w:t>
      </w:r>
      <w:r>
        <w:t>všech členů skupiny. Pouze takto přezkoumaný smír může soud schválit. Pro případ, že jednotliví členové s takovým smírem souhlasit nebudou, budou moci i v této fázi z řízení vystoupit</w:t>
      </w:r>
      <w:r w:rsidR="00955D14">
        <w:t>, k čemuž jim soud poskytne odpovídající lhůtu. S</w:t>
      </w:r>
      <w:r>
        <w:t xml:space="preserve">chválený smír se tak na ně </w:t>
      </w:r>
      <w:r w:rsidR="00D0726F">
        <w:t xml:space="preserve">vztahovat </w:t>
      </w:r>
      <w:r>
        <w:t>nebude.</w:t>
      </w:r>
    </w:p>
    <w:p w14:paraId="108F47CF" w14:textId="77777777" w:rsidR="00CB74FB" w:rsidRDefault="00CB74FB" w:rsidP="00CB74FB"/>
    <w:p w14:paraId="2464D906" w14:textId="27262B3A" w:rsidR="00FC2F3B" w:rsidRDefault="00FC2F3B" w:rsidP="00CB74FB">
      <w:r>
        <w:t xml:space="preserve">V případě existence rozsudku/schváleného smíru bude tento </w:t>
      </w:r>
      <w:r>
        <w:rPr>
          <w:i/>
        </w:rPr>
        <w:t xml:space="preserve">de iure </w:t>
      </w:r>
      <w:r>
        <w:t xml:space="preserve">působit jen ve vztahu ke skupině, o jejíchž právech soud rozhoduje. Tj. překážka věci pravomocně rozhodnuté bude existovat v případě opt-outu pouze u těch osob, které nevyužily svého práva z řízení vystoupit, v případě opt-in vůči osobám, které se do řízení přihlásily. Rozsudek bude obsahovat celkovou částku, kterou je žalovaný povinen složit na vybrané místo </w:t>
      </w:r>
      <w:r w:rsidR="007065D6">
        <w:t>–</w:t>
      </w:r>
      <w:r>
        <w:t xml:space="preserve"> a určení tohoto místa dle uvážení soudu (svěřenský fond, do úschovy advokáta, do soudní úschovy, jiným vhodným způsobem). </w:t>
      </w:r>
      <w:r w:rsidR="00C27992">
        <w:t>Výkonu rozhodnutí/exekuce v případě nesplnění celé částky se bude přitom oprávněn domáhat pouze advokát, který byl pověřen správou fondu.</w:t>
      </w:r>
    </w:p>
    <w:p w14:paraId="63C2797C" w14:textId="77777777" w:rsidR="00CB74FB" w:rsidRDefault="00CB74FB" w:rsidP="00CB74FB"/>
    <w:p w14:paraId="4BE6770C" w14:textId="60192A61" w:rsidR="00FC2F3B" w:rsidRDefault="00FC2F3B" w:rsidP="00CB74FB">
      <w:r>
        <w:t>Poté, co žalovaný složí peníze do úschovy/na jiné vhodné místo, budou mít členové skupiny soudem určenou lhůtu na přihlášení svých nároků. To, zda přihlášen</w:t>
      </w:r>
      <w:r w:rsidR="00D0726F">
        <w:t>é osoby</w:t>
      </w:r>
      <w:r>
        <w:t xml:space="preserve"> splňují podmínky definované soudem, bude posuzovat advokát. V případě kladného </w:t>
      </w:r>
      <w:r w:rsidR="00F37609">
        <w:t>p</w:t>
      </w:r>
      <w:r w:rsidR="00616D9E">
        <w:t>o</w:t>
      </w:r>
      <w:r w:rsidR="00F37609">
        <w:t>souzení</w:t>
      </w:r>
      <w:r>
        <w:t xml:space="preserve"> jim bude </w:t>
      </w:r>
      <w:r w:rsidR="00C27992">
        <w:t xml:space="preserve">z fondu </w:t>
      </w:r>
      <w:r>
        <w:t xml:space="preserve">vyplacena částka. </w:t>
      </w:r>
      <w:r w:rsidR="00955D14">
        <w:t xml:space="preserve">Advokát bude </w:t>
      </w:r>
      <w:r w:rsidR="00D0726F">
        <w:t xml:space="preserve">při této své činnosti </w:t>
      </w:r>
      <w:r w:rsidR="00955D14">
        <w:t xml:space="preserve">podléhat </w:t>
      </w:r>
      <w:r w:rsidR="00AF06CF">
        <w:t>dohledu soudu, tomu bude muset rovněž</w:t>
      </w:r>
      <w:r w:rsidR="00955D14">
        <w:t xml:space="preserve"> v určené lhůtě předložit vyúčtování ke schválení, které soud uveřejní </w:t>
      </w:r>
      <w:r w:rsidR="008C10EB">
        <w:t>na příslušné centralizované platformě.</w:t>
      </w:r>
      <w:r w:rsidR="00955D14">
        <w:t xml:space="preserve"> Nebude-li osoba spokojená s vyřízením své přihlášky, může se bránit u soudu </w:t>
      </w:r>
      <w:r w:rsidR="008C10EB">
        <w:t>zvláštním opravným prostředkem ve zjednodušeném řízení - příslušný bude soud, který projednával hromadnou žalobu</w:t>
      </w:r>
      <w:r w:rsidR="00C27992">
        <w:t xml:space="preserve">. </w:t>
      </w:r>
    </w:p>
    <w:p w14:paraId="36BB671C" w14:textId="77777777" w:rsidR="00CB74FB" w:rsidRDefault="00CB74FB" w:rsidP="00CB74FB"/>
    <w:p w14:paraId="6371E637" w14:textId="68161021" w:rsidR="00FC2F3B" w:rsidRDefault="00955D14" w:rsidP="00CB74FB">
      <w:r>
        <w:t>V případě, že ze složené</w:t>
      </w:r>
      <w:r w:rsidR="00FC2F3B">
        <w:t xml:space="preserve"> částky nebude celá suma </w:t>
      </w:r>
      <w:r>
        <w:t>vyplacena</w:t>
      </w:r>
      <w:r w:rsidR="00FC2F3B">
        <w:t xml:space="preserve">, </w:t>
      </w:r>
      <w:r>
        <w:t xml:space="preserve">použije se podobně jako v případě soudní úschovy (§ 301 z.ř.s.) pravidlo, že po </w:t>
      </w:r>
      <w:r w:rsidR="00D0726F">
        <w:t xml:space="preserve">stanovené </w:t>
      </w:r>
      <w:r>
        <w:t>době peníze připadnou státu.</w:t>
      </w:r>
    </w:p>
    <w:p w14:paraId="4E6F6793" w14:textId="77777777" w:rsidR="00CB74FB" w:rsidRPr="00B33A93" w:rsidRDefault="00CB74FB" w:rsidP="00CB74FB"/>
    <w:p w14:paraId="10E172BC" w14:textId="595CBF4D" w:rsidR="00FF00CD" w:rsidRDefault="00FC2F3B" w:rsidP="00CB74FB">
      <w:r>
        <w:t xml:space="preserve">Kolektivní spor bude financován ze soukromých zdrojů </w:t>
      </w:r>
      <w:r w:rsidR="00AC5467">
        <w:t>advokáta</w:t>
      </w:r>
      <w:r>
        <w:t xml:space="preserve"> skupiny. Advokát tak ponese veškeré náklady řízení, zahrnující zaplacení soudního poplatku, hrazení průběžných nákladů řízení a v případě neúspěchu ve věci i hrazení nákladů protistraně. S tímto souvisí </w:t>
      </w:r>
      <w:r w:rsidR="007065D6">
        <w:t>i </w:t>
      </w:r>
      <w:r>
        <w:t xml:space="preserve">odlišná úprava odměny advokáta </w:t>
      </w:r>
      <w:r w:rsidR="007065D6">
        <w:t>–</w:t>
      </w:r>
      <w:r>
        <w:t xml:space="preserve"> </w:t>
      </w:r>
      <w:r w:rsidR="007065D6">
        <w:t xml:space="preserve">namísto běžné odměny </w:t>
      </w:r>
      <w:r w:rsidR="00901E6C">
        <w:t>dle advokátního tarifu</w:t>
      </w:r>
      <w:r>
        <w:t xml:space="preserve"> bude advokátovi přiznána odměna z přisouzené částky, která bude stanovena jako procentuální podíl na </w:t>
      </w:r>
      <w:r w:rsidR="007065D6">
        <w:t xml:space="preserve">přiznaném </w:t>
      </w:r>
      <w:r>
        <w:t xml:space="preserve">plnění. Takováto úprava má své opodstatnění. Předně se předejde situaci, kdy poškození nebudou chtít kvůli případné hrozbě náhrady nákladů řízení uplatňovat své nároky. </w:t>
      </w:r>
      <w:r w:rsidR="00901E6C">
        <w:t>Za druhé, t</w:t>
      </w:r>
      <w:r>
        <w:t>akto nastavené financování zajistí, že vedeny budou pouze spory, které se zakládají na existujících a vymahatelných nárocích.</w:t>
      </w:r>
      <w:r w:rsidR="00901E6C">
        <w:t xml:space="preserve"> Za třetí je pravděpodobné, že v případě neúspěchu hromadné žaloby se žalovaný může spíše uspokojit za vynaložené náklady řízení na advokátovi než na žalobci samotném.</w:t>
      </w:r>
      <w:r w:rsidR="00901E6C" w:rsidRPr="00901E6C">
        <w:t xml:space="preserve"> </w:t>
      </w:r>
      <w:r w:rsidR="008C10EB">
        <w:t xml:space="preserve">Jde tedy jak o ochranu členů skupiny, tak o ochranu žalovaného. </w:t>
      </w:r>
      <w:r w:rsidR="00FF00CD">
        <w:t xml:space="preserve">V případě částečného úspěchu ve věci se bude při výpočtu náhrady nákladů </w:t>
      </w:r>
      <w:r w:rsidR="007065D6">
        <w:t xml:space="preserve">přiměřeně </w:t>
      </w:r>
      <w:r w:rsidR="00FF00CD">
        <w:t>postupovat podle obecného procesního předpisu.</w:t>
      </w:r>
    </w:p>
    <w:p w14:paraId="22E55A68" w14:textId="77777777" w:rsidR="00CB74FB" w:rsidRDefault="00CB74FB" w:rsidP="00CB74FB"/>
    <w:p w14:paraId="64C3278E" w14:textId="1821DC91" w:rsidR="008C10EB" w:rsidRDefault="008C10EB" w:rsidP="00CB74FB">
      <w:r>
        <w:t>Advokát tedy ponese jak náklady samotného řízení, vč. soudního poplatku, tak v případě neúspěchu i náklady protistrany. Aby mělo projednání formou kolektivní žaloby určité výhody i pro žalovaného, nebude žalovaný v případě neúspěchu muset nahrazovat náklady advokátovi skupiny. Advokát si veškeré své výdaje pokryje z odměny, kterou získá z vymoženého plnění.</w:t>
      </w:r>
    </w:p>
    <w:p w14:paraId="53C9FFC0" w14:textId="77777777" w:rsidR="00CB74FB" w:rsidRDefault="00901E6C" w:rsidP="00CB74FB">
      <w:r>
        <w:t>Za břímě, které ponese, bude advokát v případě úspěchu adekvátně odměněn procen</w:t>
      </w:r>
    </w:p>
    <w:p w14:paraId="2399CA89" w14:textId="07655CE5" w:rsidR="00FC2F3B" w:rsidRDefault="00901E6C" w:rsidP="00CB74FB">
      <w:r>
        <w:t>tuální částkou z </w:t>
      </w:r>
      <w:r w:rsidR="007065D6">
        <w:t xml:space="preserve">přiznaného </w:t>
      </w:r>
      <w:r>
        <w:t xml:space="preserve">plnění </w:t>
      </w:r>
      <w:r w:rsidR="007065D6">
        <w:t>–</w:t>
      </w:r>
      <w:r>
        <w:t xml:space="preserve"> půjde o odměnu nadstandardní</w:t>
      </w:r>
      <w:r w:rsidR="008C10EB">
        <w:t xml:space="preserve"> (10-30%)</w:t>
      </w:r>
      <w:r>
        <w:t xml:space="preserve">. </w:t>
      </w:r>
      <w:r w:rsidR="00ED50B4" w:rsidRPr="00ED50B4">
        <w:t>Uvedené procento je nastaveno tak, aby v případě, že advokát bude mít alespoň v 1/3 případů úspěch, vedení kolektivních řízení se mu vyplatí.</w:t>
      </w:r>
      <w:r w:rsidR="00ED50B4">
        <w:t xml:space="preserve"> </w:t>
      </w:r>
      <w:r>
        <w:t>Navíc se nebrání tomu, aby si advokát výměnou za případný podíl na zisku získal zdroje financování dohodou se členy skupiny, s jinými nezainteresovanými osobami, ochránil se pojištěním apod.</w:t>
      </w:r>
      <w:r w:rsidR="001D16EA">
        <w:t xml:space="preserve"> V případě, že nepůjde o žalobu na plnění, použijí se obecná pravidla pro výpočet odměny advokáta.</w:t>
      </w:r>
    </w:p>
    <w:p w14:paraId="56A95F22" w14:textId="77777777" w:rsidR="00CB74FB" w:rsidRDefault="00CB74FB" w:rsidP="00CB74FB"/>
    <w:p w14:paraId="415AFB3C" w14:textId="7FD70A57" w:rsidR="00ED50B4" w:rsidRDefault="00FC2F3B" w:rsidP="00CB74FB">
      <w:r>
        <w:t>Pokud jde o placení soudního poplatku, bude hrazen ve dvou fázích. Prvně bude poplatková povinnost spojena s certifikačním řízením. Za toto „předřízení“ bude stanoven jednot</w:t>
      </w:r>
      <w:r w:rsidR="00901E6C">
        <w:t>ný poplatek v určité pevné výši, která nebude mít rdousící efekt, zároveň však bude odrazovat</w:t>
      </w:r>
      <w:r w:rsidR="00D0726F">
        <w:t xml:space="preserve"> od zneužití</w:t>
      </w:r>
      <w:r w:rsidR="00901E6C">
        <w:t>.</w:t>
      </w:r>
      <w:r>
        <w:t xml:space="preserve"> Pakliže soud shledá, že jsou naplněny podmínky pro vedení kolektivního řízení a vydá certifikační rozhodnutí, bude žalobce následně hradit soudní poplatek, který bude vyměřen až na základě konkrétní velikosti skupiny a uplatňovaného nároku. </w:t>
      </w:r>
      <w:r w:rsidR="00901E6C">
        <w:t>T</w:t>
      </w:r>
      <w:r>
        <w:t xml:space="preserve">ento následný poplatek </w:t>
      </w:r>
      <w:r w:rsidR="00901E6C">
        <w:t xml:space="preserve">bude </w:t>
      </w:r>
      <w:r>
        <w:t>vyjádřen procentuálně. Zde je potřeba poznamenat, že procento bude mírně sníženo oproti běžnému soudnímu poplatku a taktéž bude stanoven limit, který by soudní poplatek nesměl přesáhnout.</w:t>
      </w:r>
      <w:r w:rsidR="00ED50B4">
        <w:t xml:space="preserve"> Níže uvádíme příklad</w:t>
      </w:r>
      <w:r w:rsidR="00AF48CC">
        <w:t>y</w:t>
      </w:r>
      <w:r w:rsidR="00ED50B4">
        <w:t>:</w:t>
      </w:r>
    </w:p>
    <w:p w14:paraId="3AB3800E" w14:textId="77777777" w:rsidR="00CB74FB" w:rsidRDefault="00CB74FB" w:rsidP="00AF48CC">
      <w:pPr>
        <w:rPr>
          <w:b/>
          <w:i/>
        </w:rPr>
      </w:pPr>
    </w:p>
    <w:p w14:paraId="4B8C1330" w14:textId="77777777" w:rsidR="00AF14CB" w:rsidRPr="00AF14CB" w:rsidRDefault="00AF14CB" w:rsidP="00AF14CB">
      <w:pPr>
        <w:rPr>
          <w:b/>
          <w:i/>
        </w:rPr>
      </w:pPr>
      <w:r w:rsidRPr="00AF14CB">
        <w:rPr>
          <w:b/>
          <w:i/>
        </w:rPr>
        <w:t>Modelový příklad č. 1 - neobjednané služby mobilního operátora:</w:t>
      </w:r>
    </w:p>
    <w:p w14:paraId="57C8EE3B" w14:textId="77777777" w:rsidR="00AF14CB" w:rsidRPr="00AF14CB" w:rsidRDefault="00AF14CB" w:rsidP="00AF14CB">
      <w:pPr>
        <w:rPr>
          <w:i/>
        </w:rPr>
      </w:pPr>
      <w:r w:rsidRPr="00AF14CB">
        <w:rPr>
          <w:i/>
        </w:rPr>
        <w:t>Mobilní operátor X protiprávně účtoval svým zákazníkům neobjednanou službu. Škoda jednoho zákazníka činí 50,-Kč. Tato praktika se opakovala 3x, tudíž každý ze zákazníků, u něhož došlo k využití neobjednané služby, utrpěl škodu v celkové výši 150,- Kč. Předpokládejme, že celkový počet zákazníků u mobilního operátora je 1.000.000, škodu utrpělo 300.000 z nich. Celková výše škody všech zákazníků je tedy 45.000.000,- Kč.</w:t>
      </w:r>
    </w:p>
    <w:p w14:paraId="52682673" w14:textId="77777777" w:rsidR="00AF14CB" w:rsidRPr="00AF14CB" w:rsidRDefault="00AF14CB" w:rsidP="00AF14CB">
      <w:pPr>
        <w:keepNext w:val="0"/>
        <w:rPr>
          <w:i/>
        </w:rPr>
      </w:pPr>
    </w:p>
    <w:p w14:paraId="0097DB87" w14:textId="77777777" w:rsidR="00AF14CB" w:rsidRPr="00AF14CB" w:rsidRDefault="00AF14CB" w:rsidP="00AF14CB">
      <w:pPr>
        <w:keepNext w:val="0"/>
        <w:rPr>
          <w:i/>
        </w:rPr>
      </w:pPr>
      <w:r w:rsidRPr="00AF14CB">
        <w:rPr>
          <w:i/>
        </w:rPr>
        <w:t>Náklady na jedno řízení lze odhadnout následovně</w:t>
      </w:r>
      <w:r w:rsidRPr="00AF14CB">
        <w:rPr>
          <w:rStyle w:val="Znakapoznpodarou"/>
          <w:i/>
        </w:rPr>
        <w:footnoteReference w:id="21"/>
      </w:r>
      <w:r w:rsidRPr="00AF14CB">
        <w:rPr>
          <w:i/>
        </w:rPr>
        <w:t xml:space="preserve">: </w:t>
      </w:r>
    </w:p>
    <w:p w14:paraId="5CCD8409" w14:textId="77777777" w:rsidR="00AF14CB" w:rsidRPr="00AF14CB" w:rsidRDefault="00AF14CB" w:rsidP="00AF14CB">
      <w:pPr>
        <w:pStyle w:val="Odstavecseseznamem"/>
        <w:keepNext w:val="0"/>
        <w:numPr>
          <w:ilvl w:val="0"/>
          <w:numId w:val="12"/>
        </w:numPr>
        <w:rPr>
          <w:i/>
        </w:rPr>
      </w:pPr>
      <w:r w:rsidRPr="00AF14CB">
        <w:rPr>
          <w:i/>
        </w:rPr>
        <w:t>100.000,-Kč za organizaci skupiny, sepis žaloby a konzultaci se zástupcem skupiny;</w:t>
      </w:r>
    </w:p>
    <w:p w14:paraId="534F3DBD" w14:textId="77777777" w:rsidR="00AF14CB" w:rsidRPr="00AF14CB" w:rsidRDefault="00AF14CB" w:rsidP="00AF14CB">
      <w:pPr>
        <w:pStyle w:val="Odstavecseseznamem"/>
        <w:keepNext w:val="0"/>
        <w:numPr>
          <w:ilvl w:val="0"/>
          <w:numId w:val="12"/>
        </w:numPr>
        <w:rPr>
          <w:i/>
        </w:rPr>
      </w:pPr>
      <w:r w:rsidRPr="00AF14CB">
        <w:rPr>
          <w:i/>
        </w:rPr>
        <w:t>50.000,-Kč + 900.000 soudní poplatek</w:t>
      </w:r>
      <w:r w:rsidRPr="00AF14CB">
        <w:rPr>
          <w:rStyle w:val="Znakapoznpodarou"/>
          <w:i/>
        </w:rPr>
        <w:footnoteReference w:id="22"/>
      </w:r>
      <w:r w:rsidRPr="00AF14CB">
        <w:rPr>
          <w:i/>
        </w:rPr>
        <w:t>;</w:t>
      </w:r>
    </w:p>
    <w:p w14:paraId="22005341" w14:textId="77777777" w:rsidR="00AF14CB" w:rsidRPr="00AF14CB" w:rsidRDefault="00AF14CB" w:rsidP="00AF14CB">
      <w:pPr>
        <w:pStyle w:val="Odstavecseseznamem"/>
        <w:keepNext w:val="0"/>
        <w:numPr>
          <w:ilvl w:val="0"/>
          <w:numId w:val="12"/>
        </w:numPr>
        <w:rPr>
          <w:i/>
        </w:rPr>
      </w:pPr>
      <w:r w:rsidRPr="00AF14CB">
        <w:rPr>
          <w:i/>
        </w:rPr>
        <w:t>100.000,-Kč za vytvoření webových stránek a informování prostřednictvím veřejných sdělovacích prostředků;</w:t>
      </w:r>
    </w:p>
    <w:p w14:paraId="0186A50E" w14:textId="77777777" w:rsidR="00AF14CB" w:rsidRPr="00AF14CB" w:rsidRDefault="00AF14CB" w:rsidP="00AF14CB">
      <w:pPr>
        <w:pStyle w:val="Odstavecseseznamem"/>
        <w:keepNext w:val="0"/>
        <w:numPr>
          <w:ilvl w:val="0"/>
          <w:numId w:val="12"/>
        </w:numPr>
        <w:rPr>
          <w:i/>
        </w:rPr>
      </w:pPr>
      <w:r w:rsidRPr="00AF14CB">
        <w:rPr>
          <w:i/>
        </w:rPr>
        <w:t>100.000,-Kč za administraci vyplacení částek, pokud by byla tato administrace na advokátovi.</w:t>
      </w:r>
    </w:p>
    <w:p w14:paraId="2576C5A8" w14:textId="77777777" w:rsidR="00AF14CB" w:rsidRPr="00AF14CB" w:rsidRDefault="00AF14CB" w:rsidP="00AF14CB">
      <w:pPr>
        <w:keepNext w:val="0"/>
        <w:rPr>
          <w:i/>
        </w:rPr>
      </w:pPr>
      <w:r w:rsidRPr="00AF14CB">
        <w:rPr>
          <w:i/>
        </w:rPr>
        <w:t>Celkové náklady pro advokáta by tedy odhadem činily 1.250.000,-Kč. Odměna by činila v konkrétním případě 4.500.000 - 13.500.000 milionů.</w:t>
      </w:r>
    </w:p>
    <w:p w14:paraId="58898104" w14:textId="77777777" w:rsidR="00AF14CB" w:rsidRPr="00AF14CB" w:rsidRDefault="00AF14CB" w:rsidP="00AF14CB">
      <w:pPr>
        <w:keepNext w:val="0"/>
        <w:rPr>
          <w:i/>
        </w:rPr>
      </w:pPr>
    </w:p>
    <w:p w14:paraId="2E276AA1" w14:textId="77777777" w:rsidR="00AF14CB" w:rsidRPr="00AF14CB" w:rsidRDefault="00AF14CB" w:rsidP="00AF14CB">
      <w:pPr>
        <w:keepNext w:val="0"/>
        <w:rPr>
          <w:i/>
        </w:rPr>
      </w:pPr>
      <w:r w:rsidRPr="00AF14CB">
        <w:rPr>
          <w:i/>
        </w:rPr>
        <w:t>V případě prohry advokáta by tento musel uhradit náhradu nákladů protistraně, která by při výpočtu podle vyhlášky Ministerstva spravedlnosti č. 177/1996 Sb., o odměnách advokátů a náhradách advokátů za poskytování právních služeb (advokátní tarif), byla následující:</w:t>
      </w:r>
    </w:p>
    <w:p w14:paraId="39328180" w14:textId="77777777" w:rsidR="00AF14CB" w:rsidRPr="00AF14CB" w:rsidRDefault="00AF14CB" w:rsidP="00AF14CB">
      <w:pPr>
        <w:pStyle w:val="Odstavecseseznamem"/>
        <w:keepNext w:val="0"/>
        <w:numPr>
          <w:ilvl w:val="0"/>
          <w:numId w:val="13"/>
        </w:numPr>
        <w:rPr>
          <w:i/>
        </w:rPr>
      </w:pPr>
      <w:r w:rsidRPr="00AF14CB">
        <w:rPr>
          <w:i/>
        </w:rPr>
        <w:t xml:space="preserve">Náhrada za odměnu advokáta: hodnota jednoho úkonu v případě předmětu sporu o hodnotě 45.000.000 je 62.300,-Kč/úkon, takovýchto úkonů v případě plnohodnotného řízení předpokládejme 15, tj. 934.500,- Kč. K tomu je nutné připočíst 15 x režijní paušál + připočíst 21% DPH. Celkem: (934.500 + 15x300) x 1,21 = 1.136.190,-Kč. </w:t>
      </w:r>
    </w:p>
    <w:p w14:paraId="619ECB43" w14:textId="77777777" w:rsidR="00AF14CB" w:rsidRPr="00AF14CB" w:rsidRDefault="00AF14CB" w:rsidP="00AF14CB">
      <w:pPr>
        <w:pStyle w:val="Odstavecseseznamem"/>
        <w:keepNext w:val="0"/>
        <w:numPr>
          <w:ilvl w:val="0"/>
          <w:numId w:val="13"/>
        </w:numPr>
        <w:rPr>
          <w:i/>
        </w:rPr>
      </w:pPr>
      <w:r w:rsidRPr="00AF14CB">
        <w:rPr>
          <w:i/>
        </w:rPr>
        <w:t>Dále předpokládejme cca 20.000,-Kč na dalších nákladech.</w:t>
      </w:r>
    </w:p>
    <w:p w14:paraId="23E8B949" w14:textId="77777777" w:rsidR="00AF14CB" w:rsidRPr="00AF14CB" w:rsidRDefault="00AF14CB" w:rsidP="00AF14CB">
      <w:pPr>
        <w:pStyle w:val="Odstavecseseznamem"/>
        <w:keepNext w:val="0"/>
        <w:numPr>
          <w:ilvl w:val="0"/>
          <w:numId w:val="13"/>
        </w:numPr>
        <w:rPr>
          <w:i/>
        </w:rPr>
      </w:pPr>
      <w:r w:rsidRPr="00AF14CB">
        <w:rPr>
          <w:i/>
        </w:rPr>
        <w:t>Celkem tedy hrozí v případě neúspěchu riziko náhrady nákladů 1.156.190,-Kč - pro zjednodušení zaokrouhleno na 1.200.000,-Kč.</w:t>
      </w:r>
    </w:p>
    <w:p w14:paraId="3218E73C" w14:textId="77777777" w:rsidR="00AF14CB" w:rsidRPr="00AF14CB" w:rsidRDefault="00AF14CB" w:rsidP="00AF14CB">
      <w:pPr>
        <w:keepNext w:val="0"/>
        <w:rPr>
          <w:i/>
        </w:rPr>
      </w:pPr>
    </w:p>
    <w:p w14:paraId="006BA7BE" w14:textId="77777777" w:rsidR="00AF14CB" w:rsidRPr="00AF14CB" w:rsidRDefault="00AF14CB" w:rsidP="00AF14CB">
      <w:pPr>
        <w:keepNext w:val="0"/>
        <w:rPr>
          <w:i/>
        </w:rPr>
      </w:pPr>
      <w:r w:rsidRPr="00AF14CB">
        <w:rPr>
          <w:i/>
        </w:rPr>
        <w:t>V případě, že by advokát takovýchto sporů vedl 10 a uspěl ve 3 z nich, poměr náklady/výnosy by byl následující:</w:t>
      </w:r>
    </w:p>
    <w:p w14:paraId="3D0EC751" w14:textId="77777777" w:rsidR="00AF14CB" w:rsidRPr="00AF14CB" w:rsidRDefault="00AF14CB" w:rsidP="00AF14CB">
      <w:pPr>
        <w:pStyle w:val="Odstavecseseznamem"/>
        <w:keepNext w:val="0"/>
        <w:numPr>
          <w:ilvl w:val="0"/>
          <w:numId w:val="14"/>
        </w:numPr>
        <w:rPr>
          <w:i/>
        </w:rPr>
      </w:pPr>
      <w:r w:rsidRPr="00AF14CB">
        <w:rPr>
          <w:i/>
        </w:rPr>
        <w:t xml:space="preserve">Za 7 prohraných sporů by utrpěl finanční ztrátu ve výši 7x 1.250.000 vlastních nákladů + 7x 1.200.000 nákladů protistrany, tj. celkem </w:t>
      </w:r>
      <w:r w:rsidRPr="00AF14CB">
        <w:rPr>
          <w:b/>
          <w:i/>
        </w:rPr>
        <w:t>ztrátu 17.150.00,-Kč</w:t>
      </w:r>
      <w:r w:rsidRPr="00AF14CB">
        <w:rPr>
          <w:i/>
        </w:rPr>
        <w:t>.</w:t>
      </w:r>
    </w:p>
    <w:p w14:paraId="7B01371B" w14:textId="77777777" w:rsidR="00AF14CB" w:rsidRPr="00AF14CB" w:rsidRDefault="00AF14CB" w:rsidP="00AF14CB">
      <w:pPr>
        <w:pStyle w:val="Odstavecseseznamem"/>
        <w:keepNext w:val="0"/>
        <w:numPr>
          <w:ilvl w:val="0"/>
          <w:numId w:val="14"/>
        </w:numPr>
        <w:rPr>
          <w:i/>
        </w:rPr>
      </w:pPr>
      <w:r w:rsidRPr="00AF14CB">
        <w:rPr>
          <w:i/>
        </w:rPr>
        <w:t xml:space="preserve">Za 3 úspěšné spory by naopak vydělal 4.500.000 - 13.500.000,-Kč mínus náklady na administraci sporu - tj. 3.250.000 - 12.250.000,- Kč, to celé vynásobeno třikrát, tj. </w:t>
      </w:r>
      <w:r w:rsidRPr="00AF14CB">
        <w:rPr>
          <w:b/>
          <w:i/>
        </w:rPr>
        <w:t>9.750.000 až 36.750.000,- Kč</w:t>
      </w:r>
      <w:r w:rsidRPr="00AF14CB">
        <w:rPr>
          <w:i/>
        </w:rPr>
        <w:t>.</w:t>
      </w:r>
    </w:p>
    <w:p w14:paraId="78ABF374" w14:textId="77777777" w:rsidR="00AF14CB" w:rsidRPr="00AF14CB" w:rsidRDefault="00AF14CB" w:rsidP="00AF14CB">
      <w:pPr>
        <w:keepNext w:val="0"/>
        <w:rPr>
          <w:i/>
        </w:rPr>
      </w:pPr>
    </w:p>
    <w:p w14:paraId="77A79183" w14:textId="77777777" w:rsidR="00AF14CB" w:rsidRPr="00AF14CB" w:rsidRDefault="00AF14CB" w:rsidP="00AF14CB">
      <w:pPr>
        <w:keepNext w:val="0"/>
        <w:rPr>
          <w:i/>
        </w:rPr>
      </w:pPr>
      <w:r w:rsidRPr="00AF14CB">
        <w:rPr>
          <w:i/>
        </w:rPr>
        <w:t xml:space="preserve">V případě úspěšnosti v 1/3 případů by tak advokát vydělal až cca 20.000.000,- Kč. Je na soudu, aby v tomto případě přiznal částku k vyšší hranici procentní sazby, aby se advokátovi vedení kolektivních řízení vyplatilo. </w:t>
      </w:r>
    </w:p>
    <w:p w14:paraId="17085318" w14:textId="77777777" w:rsidR="00AF48CC" w:rsidRPr="00AF48CC" w:rsidRDefault="00AF48CC" w:rsidP="00AF48CC">
      <w:pPr>
        <w:keepNext w:val="0"/>
        <w:rPr>
          <w:i/>
        </w:rPr>
      </w:pPr>
    </w:p>
    <w:p w14:paraId="356889C0" w14:textId="77777777" w:rsidR="00AF48CC" w:rsidRPr="00AF48CC" w:rsidRDefault="00AF48CC" w:rsidP="00AF48CC">
      <w:pPr>
        <w:keepNext w:val="0"/>
        <w:rPr>
          <w:b/>
          <w:i/>
        </w:rPr>
      </w:pPr>
      <w:r w:rsidRPr="00AF48CC">
        <w:rPr>
          <w:b/>
          <w:i/>
        </w:rPr>
        <w:t>Modelový příklad č. 2 - vadné prsní implantáty:</w:t>
      </w:r>
    </w:p>
    <w:p w14:paraId="06794FEA" w14:textId="77777777" w:rsidR="00AF48CC" w:rsidRPr="00AF48CC" w:rsidRDefault="00AF48CC" w:rsidP="00AF48CC">
      <w:pPr>
        <w:keepNext w:val="0"/>
        <w:rPr>
          <w:i/>
        </w:rPr>
      </w:pPr>
      <w:r w:rsidRPr="00AF48CC">
        <w:rPr>
          <w:i/>
        </w:rPr>
        <w:t>Dle údajů rakouské spotřebitelské organizace bylo vadnými prsními implantáty z Francie poškozeno 69 žen, soud všem přiznal odškodnění v celkové výši 360.000 Euro, tj. cca 9.360.000,-Kč.</w:t>
      </w:r>
      <w:r w:rsidRPr="00AF48CC">
        <w:rPr>
          <w:rStyle w:val="Znakapoznpodarou"/>
          <w:i/>
        </w:rPr>
        <w:footnoteReference w:id="23"/>
      </w:r>
    </w:p>
    <w:p w14:paraId="76FB6A38" w14:textId="77777777" w:rsidR="00AF48CC" w:rsidRPr="00AF48CC" w:rsidRDefault="00AF48CC" w:rsidP="00AF48CC">
      <w:pPr>
        <w:keepNext w:val="0"/>
        <w:rPr>
          <w:i/>
        </w:rPr>
      </w:pPr>
    </w:p>
    <w:p w14:paraId="2626D89C" w14:textId="77777777" w:rsidR="00AF48CC" w:rsidRPr="00AF48CC" w:rsidRDefault="00AF48CC" w:rsidP="00AF48CC">
      <w:pPr>
        <w:keepNext w:val="0"/>
        <w:rPr>
          <w:i/>
        </w:rPr>
      </w:pPr>
      <w:r w:rsidRPr="00AF48CC">
        <w:rPr>
          <w:i/>
        </w:rPr>
        <w:t>Předpokládejme následující náklady na administraci skupinové žaloby, přičemž některé budou vzhledem k velikosti skupiny a žalované částky nižší:</w:t>
      </w:r>
    </w:p>
    <w:p w14:paraId="3B50B2A9" w14:textId="77777777" w:rsidR="00AF48CC" w:rsidRPr="00AF48CC" w:rsidRDefault="00AF48CC" w:rsidP="00AF48CC">
      <w:pPr>
        <w:keepNext w:val="0"/>
        <w:rPr>
          <w:i/>
        </w:rPr>
      </w:pPr>
    </w:p>
    <w:p w14:paraId="21E2DD01" w14:textId="77777777" w:rsidR="00AF48CC" w:rsidRPr="00AF48CC" w:rsidRDefault="00AF48CC" w:rsidP="00AF48CC">
      <w:pPr>
        <w:pStyle w:val="Odstavecseseznamem"/>
        <w:keepNext w:val="0"/>
        <w:numPr>
          <w:ilvl w:val="0"/>
          <w:numId w:val="12"/>
        </w:numPr>
        <w:rPr>
          <w:i/>
        </w:rPr>
      </w:pPr>
      <w:r w:rsidRPr="00AF48CC">
        <w:rPr>
          <w:i/>
        </w:rPr>
        <w:t>50.000,-Kč za organizaci skupiny, sepis žaloby a konzultaci se zástupcem skupiny;</w:t>
      </w:r>
    </w:p>
    <w:p w14:paraId="17454083" w14:textId="77777777" w:rsidR="00AF48CC" w:rsidRPr="00AF48CC" w:rsidRDefault="00AF48CC" w:rsidP="00AF48CC">
      <w:pPr>
        <w:pStyle w:val="Odstavecseseznamem"/>
        <w:keepNext w:val="0"/>
        <w:numPr>
          <w:ilvl w:val="0"/>
          <w:numId w:val="12"/>
        </w:numPr>
        <w:rPr>
          <w:i/>
        </w:rPr>
      </w:pPr>
      <w:r w:rsidRPr="00AF48CC">
        <w:rPr>
          <w:i/>
        </w:rPr>
        <w:t>50.000,-Kč + 187.200 soudní poplatek</w:t>
      </w:r>
      <w:r w:rsidRPr="00AF48CC">
        <w:rPr>
          <w:rStyle w:val="Znakapoznpodarou"/>
          <w:i/>
        </w:rPr>
        <w:footnoteReference w:id="24"/>
      </w:r>
      <w:r w:rsidRPr="00AF48CC">
        <w:rPr>
          <w:i/>
        </w:rPr>
        <w:t>;</w:t>
      </w:r>
    </w:p>
    <w:p w14:paraId="56C8B090" w14:textId="77777777" w:rsidR="00AF48CC" w:rsidRPr="00AF48CC" w:rsidRDefault="00AF48CC" w:rsidP="00AF48CC">
      <w:pPr>
        <w:pStyle w:val="Odstavecseseznamem"/>
        <w:keepNext w:val="0"/>
        <w:numPr>
          <w:ilvl w:val="0"/>
          <w:numId w:val="12"/>
        </w:numPr>
        <w:rPr>
          <w:i/>
        </w:rPr>
      </w:pPr>
      <w:r w:rsidRPr="00AF48CC">
        <w:rPr>
          <w:i/>
        </w:rPr>
        <w:t>100.000,-Kč za vytvoření webových stránek a informování prostřednictvím veřejných sdělovacích prostředků;</w:t>
      </w:r>
    </w:p>
    <w:p w14:paraId="6C2A6F62" w14:textId="77777777" w:rsidR="00AF48CC" w:rsidRPr="00AF48CC" w:rsidRDefault="00AF48CC" w:rsidP="00AF48CC">
      <w:pPr>
        <w:pStyle w:val="Odstavecseseznamem"/>
        <w:keepNext w:val="0"/>
        <w:numPr>
          <w:ilvl w:val="0"/>
          <w:numId w:val="12"/>
        </w:numPr>
        <w:rPr>
          <w:i/>
        </w:rPr>
      </w:pPr>
      <w:r w:rsidRPr="00AF48CC">
        <w:rPr>
          <w:i/>
        </w:rPr>
        <w:t>50.000,-Kč za administraci vyplacení částek, pokud by byla tato administrace na advokátovi.</w:t>
      </w:r>
    </w:p>
    <w:p w14:paraId="32FFF219" w14:textId="77777777" w:rsidR="00AF48CC" w:rsidRPr="00AF48CC" w:rsidRDefault="00AF48CC" w:rsidP="00AF48CC">
      <w:pPr>
        <w:pStyle w:val="Odstavecseseznamem"/>
        <w:keepNext w:val="0"/>
        <w:numPr>
          <w:ilvl w:val="0"/>
          <w:numId w:val="12"/>
        </w:numPr>
        <w:rPr>
          <w:i/>
        </w:rPr>
      </w:pPr>
      <w:r w:rsidRPr="00AF48CC">
        <w:rPr>
          <w:i/>
        </w:rPr>
        <w:t>Celkem by tedy advokát za administraci celé žaloby zaplatil odhadem 437.200,- Kč.</w:t>
      </w:r>
    </w:p>
    <w:p w14:paraId="1FF7675A" w14:textId="77777777" w:rsidR="00AF48CC" w:rsidRPr="00AF48CC" w:rsidRDefault="00AF48CC" w:rsidP="00AF48CC">
      <w:pPr>
        <w:keepNext w:val="0"/>
        <w:ind w:left="720"/>
        <w:rPr>
          <w:i/>
        </w:rPr>
      </w:pPr>
    </w:p>
    <w:p w14:paraId="714498FF" w14:textId="77777777" w:rsidR="00AF48CC" w:rsidRPr="00AF48CC" w:rsidRDefault="00AF48CC" w:rsidP="00AF48CC">
      <w:pPr>
        <w:keepNext w:val="0"/>
        <w:rPr>
          <w:i/>
        </w:rPr>
      </w:pPr>
      <w:r w:rsidRPr="00AF48CC">
        <w:rPr>
          <w:i/>
        </w:rPr>
        <w:t>V případě úspěchu ve věci by advokát získal odměnu v rozsahu 936.000,-Kč až 2.808.000 Kč. Tj. po odečtení nákladů na administraci žaloby cca 500.000 - 2.370.000,-Kč.</w:t>
      </w:r>
    </w:p>
    <w:p w14:paraId="6FAE5C67" w14:textId="77777777" w:rsidR="00AF48CC" w:rsidRPr="00AF48CC" w:rsidRDefault="00AF48CC" w:rsidP="00AF48CC">
      <w:pPr>
        <w:keepNext w:val="0"/>
        <w:rPr>
          <w:i/>
        </w:rPr>
      </w:pPr>
    </w:p>
    <w:p w14:paraId="0F1BDFAB" w14:textId="77777777" w:rsidR="00AF48CC" w:rsidRPr="00AF48CC" w:rsidRDefault="00AF48CC" w:rsidP="00AF48CC">
      <w:pPr>
        <w:keepNext w:val="0"/>
        <w:rPr>
          <w:i/>
        </w:rPr>
      </w:pPr>
      <w:r w:rsidRPr="00AF48CC">
        <w:rPr>
          <w:i/>
        </w:rPr>
        <w:t>Pokud by takováto žaloba byla neúspěšná, musel by nad vlastní náklady advokát ještě pokrýt ztrátu na straně žalovaného:</w:t>
      </w:r>
    </w:p>
    <w:p w14:paraId="3B606D87" w14:textId="77777777" w:rsidR="00AF48CC" w:rsidRPr="00AF48CC" w:rsidRDefault="00AF48CC" w:rsidP="00AF48CC">
      <w:pPr>
        <w:pStyle w:val="Odstavecseseznamem"/>
        <w:keepNext w:val="0"/>
        <w:numPr>
          <w:ilvl w:val="0"/>
          <w:numId w:val="15"/>
        </w:numPr>
        <w:rPr>
          <w:b/>
          <w:i/>
        </w:rPr>
      </w:pPr>
      <w:r w:rsidRPr="00AF48CC">
        <w:rPr>
          <w:i/>
        </w:rPr>
        <w:t>Ve sporu o 9.360.000 je odměna za jeden úkon podle advokátního tarifu 45.740,-Kč/úkon. V případě 15 úkonů ve věci má protistrana nárok na náhradu vyplacené odměny svému advokátovi ve výši (45.740x15 + 300x15) x 1,21 = 835.626,- Kč. Předpokládejme, že celková výše náhrady nákladů bude činit 850.000,-Kč.</w:t>
      </w:r>
    </w:p>
    <w:p w14:paraId="7D5695AD" w14:textId="77777777" w:rsidR="00AF48CC" w:rsidRPr="00AF48CC" w:rsidRDefault="00AF48CC" w:rsidP="00AF48CC">
      <w:pPr>
        <w:keepNext w:val="0"/>
        <w:ind w:left="720"/>
        <w:rPr>
          <w:b/>
          <w:i/>
        </w:rPr>
      </w:pPr>
    </w:p>
    <w:p w14:paraId="7DB9128B" w14:textId="77777777" w:rsidR="00AF48CC" w:rsidRPr="00AF48CC" w:rsidRDefault="00AF48CC" w:rsidP="00AF48CC">
      <w:pPr>
        <w:keepNext w:val="0"/>
        <w:rPr>
          <w:i/>
        </w:rPr>
      </w:pPr>
      <w:r w:rsidRPr="00AF48CC">
        <w:rPr>
          <w:i/>
        </w:rPr>
        <w:t>Advokátovi zastupujícímu skupinu tak v případě prohry hrozí finanční ztráta ve výši 1.287.200,-Kč. Soud by v tomto případě v případě výhry měl advokátovi žalobce přiznat částku k vyšší hranici procentní sazby.</w:t>
      </w:r>
    </w:p>
    <w:p w14:paraId="400952B6" w14:textId="77777777" w:rsidR="00AF48CC" w:rsidRPr="00AF48CC" w:rsidRDefault="00AF48CC" w:rsidP="00AF48CC">
      <w:pPr>
        <w:keepNext w:val="0"/>
        <w:rPr>
          <w:i/>
        </w:rPr>
      </w:pPr>
    </w:p>
    <w:p w14:paraId="40B6DF77" w14:textId="77777777" w:rsidR="00AF48CC" w:rsidRPr="001D16EA" w:rsidRDefault="00AF48CC" w:rsidP="00AF48CC">
      <w:pPr>
        <w:keepNext w:val="0"/>
      </w:pPr>
      <w:r w:rsidRPr="001D16EA">
        <w:t>Mějme tedy za prokázané, že nastavená výše odměny pro advokáta bude v uvedeném režimu vyvažovat případná rizika i náklady, které advokát s vedením kolektivního řízení bude mít.</w:t>
      </w:r>
    </w:p>
    <w:p w14:paraId="42A7BFC8" w14:textId="77777777" w:rsidR="00AF48CC" w:rsidRPr="00AF48CC" w:rsidRDefault="00AF48CC" w:rsidP="00AF48CC">
      <w:pPr>
        <w:keepNext w:val="0"/>
        <w:rPr>
          <w:i/>
        </w:rPr>
      </w:pPr>
    </w:p>
    <w:p w14:paraId="3875368C" w14:textId="77777777" w:rsidR="00AF48CC" w:rsidRPr="001D16EA" w:rsidRDefault="00AF48CC" w:rsidP="00AF48CC">
      <w:pPr>
        <w:keepNext w:val="0"/>
      </w:pPr>
      <w:r w:rsidRPr="001D16EA">
        <w:t>Někdo by mohl namítat, že tento systém je nevýhodný pro členy skupiny, neboť advokát se bude hojit na vymožené částce. Tato námitka je však spíše teoretická, neboť ze zkušeností v USA a jiných státech, které uplatňují režim opt-out v této podobě, je prokázáno, že se nikdy celá částka ze společného fondu nevyzvedne; ti, kteří se o svůj podíl přihlásí, tak nebudou kráceni vůbec. Pokud by se přesto celý fond vyčerpal, nebudou „škody“ na nárocích poškozených opravdu neznatelné:</w:t>
      </w:r>
    </w:p>
    <w:p w14:paraId="03BA5901" w14:textId="77777777" w:rsidR="00AF48CC" w:rsidRPr="00AF48CC" w:rsidRDefault="00AF48CC" w:rsidP="00AF48CC">
      <w:pPr>
        <w:keepNext w:val="0"/>
        <w:rPr>
          <w:i/>
        </w:rPr>
      </w:pPr>
    </w:p>
    <w:p w14:paraId="1EF51B0F" w14:textId="77777777" w:rsidR="00AF48CC" w:rsidRPr="00AF48CC" w:rsidRDefault="00AF48CC" w:rsidP="00AF48CC">
      <w:pPr>
        <w:pStyle w:val="Odstavecseseznamem"/>
        <w:keepNext w:val="0"/>
        <w:numPr>
          <w:ilvl w:val="0"/>
          <w:numId w:val="5"/>
        </w:numPr>
        <w:rPr>
          <w:i/>
        </w:rPr>
      </w:pPr>
      <w:r w:rsidRPr="00AF48CC">
        <w:rPr>
          <w:i/>
        </w:rPr>
        <w:t>V případě č. 1 celková škoda činí 45.000.000, bylo-li by advokátovi přiznáno 10.000.000 jakožto odměna a saturace vynaložených nákladů, zbylo by ve fondu 35.000.000,-Kč. Každému poškozenému by tak byl přiznán nárok ve výši 117 Kč, namísto 150,-Kč. Tuto částku by však žádný z poškozených sám nikdy nevymohl a s vymožením mu nevznikly žádné náklady - z tohoto pohledu je tak systém pro členy skupiny velmi výhodný.</w:t>
      </w:r>
    </w:p>
    <w:p w14:paraId="3C1BE1EB" w14:textId="77777777" w:rsidR="00AF48CC" w:rsidRPr="00AF48CC" w:rsidRDefault="00AF48CC" w:rsidP="00AF48CC">
      <w:pPr>
        <w:keepNext w:val="0"/>
        <w:rPr>
          <w:i/>
        </w:rPr>
      </w:pPr>
    </w:p>
    <w:p w14:paraId="14B6DB8D" w14:textId="77777777" w:rsidR="00AF48CC" w:rsidRPr="00AF48CC" w:rsidRDefault="00AF48CC" w:rsidP="00AF48CC">
      <w:pPr>
        <w:pStyle w:val="Odstavecseseznamem"/>
        <w:keepNext w:val="0"/>
        <w:numPr>
          <w:ilvl w:val="0"/>
          <w:numId w:val="5"/>
        </w:numPr>
        <w:rPr>
          <w:i/>
        </w:rPr>
      </w:pPr>
      <w:r w:rsidRPr="00AF48CC">
        <w:rPr>
          <w:i/>
        </w:rPr>
        <w:t>V případě prsních implantátů vychází jeden nárok poškozené členky skupiny na cca 135.652,- Kč. V případě, že by advokát skupiny získal odměnu ve výši 1.500.000,- Kč, by se tato výše snížila na 113.913,- Kč [(9.360.000-1.500.000)/69]. Opět jde o pokles, který by v poměru k případným nákladům a stresu spojenému s vedením individuálního řízení jistě mnohé z oprávněných žen obětovaly. Pokud nikoliv, nic jim nebrání využít možnosti z řízení vystoupit.</w:t>
      </w:r>
    </w:p>
    <w:p w14:paraId="2F9D134E" w14:textId="7E551BD2" w:rsidR="00C20C0C" w:rsidRDefault="002C3D9A" w:rsidP="00C20C0C">
      <w:r>
        <w:t>Půjde-li o spor s mezinárodním prvkem, bude nutné se řídit pravidly mezinárodního práva soukromého – uplatní</w:t>
      </w:r>
      <w:r w:rsidR="00C20C0C" w:rsidRPr="006B0296">
        <w:t xml:space="preserve"> </w:t>
      </w:r>
      <w:r w:rsidR="00C27992">
        <w:t xml:space="preserve">se </w:t>
      </w:r>
      <w:r w:rsidR="00C20C0C" w:rsidRPr="006B0296">
        <w:t>stávající nástroje tuzemského, unijního i mezinárodního práva. V následujícím přehledu se zaměříme na nástroje obecné povahy, které přijdou ke slovu ve velké většině představitelných případů, zatímco stranou ponecháme mezinárodní smlouvy upravující velmi specifické oblasti (jako je přeshraniční silniční nákladní doprava, přeshraniční železniční přeprava nebo občanskoprávní odpovědnost za jaderné škody).</w:t>
      </w:r>
    </w:p>
    <w:p w14:paraId="13D8E8B5" w14:textId="77777777" w:rsidR="00C20C0C" w:rsidRPr="006B0296" w:rsidRDefault="00C20C0C" w:rsidP="00C20C0C"/>
    <w:p w14:paraId="37FA68EF" w14:textId="704C5AAA" w:rsidR="00C20C0C" w:rsidRDefault="00C20C0C" w:rsidP="00C27992">
      <w:pPr>
        <w:ind w:left="708"/>
      </w:pPr>
      <w:r w:rsidRPr="00EC13EA">
        <w:t>1) Pokud jde o uznávání a výkon rozhodnutí, v rámci Evropské unie tuto problematiku upravuje nařízení Evropského parlamentu a Rady (EU) č. 1215/2012 ze dne 12. prosince 2012, o příslušnosti a uznávání a výkonu soudních rozhodnutí v občanských a obchodních věcech (tzv. nařízení Brusel I bis či Brusel Ia)</w:t>
      </w:r>
      <w:r>
        <w:t>, které přináší velmi liberální režim uznávání</w:t>
      </w:r>
      <w:r w:rsidRPr="00EC13EA">
        <w:t>.</w:t>
      </w:r>
      <w:r w:rsidRPr="00B04F6C">
        <w:rPr>
          <w:color w:val="F79646"/>
        </w:rPr>
        <w:t xml:space="preserve"> </w:t>
      </w:r>
      <w:r w:rsidRPr="00DB484E">
        <w:t>Ve vztahu k rozhodnutím vydaným ve Švýcarsku, v Norsku a na Islandu se použije Luganská úmluva z roku 200</w:t>
      </w:r>
      <w:r w:rsidRPr="009C288C">
        <w:t>7 vycházející z modelu předchozího nařízení Brusel I, které ještě počítalo s mezistupněm v podobě řízení o prohlášení vykonatelnosti (</w:t>
      </w:r>
      <w:r w:rsidRPr="009C288C">
        <w:rPr>
          <w:i/>
        </w:rPr>
        <w:t>exequatur</w:t>
      </w:r>
      <w:r w:rsidRPr="009C288C">
        <w:t xml:space="preserve">). Mimo okruh EU a uvedených států se pak ve vztahu k řadě států (zvláště z bývalého socialistického bloku) uplatní dvoustranné smlouvy o právní pomoci. Žádné z uvedených nástrojů neobsahují ustanovení týkající se specificky hromadných žalob a bude tak třeba vycházet z jejich obecného režimu uznávání. Ve vztazích se státy, s nimiž nás neváže unijní ani mezinárodní úprava, se použije </w:t>
      </w:r>
      <w:r>
        <w:t>vlastní mezinárodní právo so</w:t>
      </w:r>
      <w:r w:rsidRPr="009C288C">
        <w:t xml:space="preserve">ukromé státu výkonu (v případě uznávání cizího rozhodnutí v ČR tedy zákon o mezinárodním právu soukromém, v druhém státě při uznávání českého rozhodnutí pak jeho úprava). </w:t>
      </w:r>
    </w:p>
    <w:p w14:paraId="3C3F1063" w14:textId="77777777" w:rsidR="002C3D9A" w:rsidRPr="005D3F18" w:rsidRDefault="002C3D9A" w:rsidP="00C20C0C"/>
    <w:p w14:paraId="1C986B3F" w14:textId="008EBFE1" w:rsidR="00C20C0C" w:rsidRDefault="00C20C0C" w:rsidP="00C27992">
      <w:pPr>
        <w:ind w:left="708"/>
      </w:pPr>
      <w:r w:rsidRPr="009C288C">
        <w:t xml:space="preserve">S ohledem na různé přístupy jednotlivých států k hromadným žalobám a k jejich dopadům na právo na spravedlivý proces (zvláště v podobě </w:t>
      </w:r>
      <w:r w:rsidRPr="009C288C">
        <w:rPr>
          <w:i/>
        </w:rPr>
        <w:t>opt-out</w:t>
      </w:r>
      <w:r w:rsidR="000046E8">
        <w:t>)</w:t>
      </w:r>
      <w:r w:rsidRPr="009C288C">
        <w:t xml:space="preserve"> je třeba upozornit na to, že nelze vyloučit, že některé státy uznání českého rozhodnutí odepřou s poukazem na výhradu veřejného pořádku. </w:t>
      </w:r>
      <w:r>
        <w:t>Ta zůstává jako záchranná brzda v rukou státu výkonu, a to i v režimu nařízení Brusel I bis.</w:t>
      </w:r>
    </w:p>
    <w:p w14:paraId="44A8E8E1" w14:textId="77777777" w:rsidR="002C3D9A" w:rsidRPr="009C288C" w:rsidRDefault="002C3D9A" w:rsidP="00C20C0C"/>
    <w:p w14:paraId="1E57223C" w14:textId="3CC4B685" w:rsidR="00C20C0C" w:rsidRPr="00253C5B" w:rsidRDefault="00C20C0C" w:rsidP="00C27992">
      <w:pPr>
        <w:ind w:left="708"/>
      </w:pPr>
      <w:r w:rsidRPr="009C288C">
        <w:t xml:space="preserve">2) Soudní pravomoc je v nástrojích mezinárodního i unijního práva pravidelně propojena </w:t>
      </w:r>
      <w:r w:rsidR="00C27992">
        <w:t>s oblastí uznávání rozhodnutí.</w:t>
      </w:r>
      <w:r w:rsidRPr="00253C5B">
        <w:t xml:space="preserve"> Proto lze odkázat na stejné předpisy – předně nařízení Brusel I bis a Luganskou úmluvu. Jurisdikční kritéria dvou uvedených nástrojů, ač není specificky pamatováno na hromadné nároky, umožňují hromadné žaloby vhodně podchytit – viz např. obecné jurisdikční kritérium státu bydliště žalovaného a především alternativní kritéria týkající se smluvních a mimosmluvních závazků.</w:t>
      </w:r>
    </w:p>
    <w:p w14:paraId="016884EC" w14:textId="77777777" w:rsidR="002C3D9A" w:rsidRDefault="002C3D9A" w:rsidP="00C20C0C"/>
    <w:p w14:paraId="6D09D6C6" w14:textId="1AE8D69F" w:rsidR="00C20C0C" w:rsidRPr="002C3D9A" w:rsidRDefault="00C20C0C" w:rsidP="00C27992">
      <w:pPr>
        <w:ind w:left="708"/>
      </w:pPr>
      <w:r w:rsidRPr="00253C5B">
        <w:t xml:space="preserve">3) Pokud jde o rozhodné právo, uplatní se v první řadě dvě unijní nařízení, která unifikují kolizní normy členských států v oblasti závazkového práva. Pro oblast smluvních závazků je to nařízení Evropského parlamentu a Rady (ES) č. 593/2008 ze dne 17. června 2008 o právu rozhodném pro smluvní závazkové vztahy (tzv. nařízení Řím I). Pro oblast mimosmluvních závazků je to nařízení Evropského parlamentu a Rady (ES) č. 864/2007 ze dne 11. července 2007 o právu rozhodném pro mimosmluvní závazkové vztahy (tzv. nařízení Řím II). Ani v těchto nástrojích nenajdeme ustanovení specificky zaměřená na hromadné nároky. Zvláště u nařízení Řím II </w:t>
      </w:r>
      <w:r w:rsidR="00C27992" w:rsidRPr="00253C5B">
        <w:t xml:space="preserve">je </w:t>
      </w:r>
      <w:r w:rsidRPr="00253C5B">
        <w:t xml:space="preserve">však patrné, že kolizní úprava umožňuje případy hromadných nároků vhodně a přehledně podchytit (viz např. hraniční určovatel </w:t>
      </w:r>
      <w:r w:rsidRPr="00253C5B">
        <w:rPr>
          <w:i/>
        </w:rPr>
        <w:t xml:space="preserve">místa vzniku škody </w:t>
      </w:r>
      <w:r w:rsidRPr="00253C5B">
        <w:t>u civilních deliktů). Obě nařízení též ponechávají soudu potřebnou flexibilitu, když umožňují, aby určil jako rozhodné právo země, s níž vykazuje závazek zjevně užší spojení, než by bylo právo země určené podle obecných kolizních norem.</w:t>
      </w:r>
    </w:p>
    <w:p w14:paraId="134477B9" w14:textId="39263CD7" w:rsidR="00CB74FB" w:rsidRDefault="00FC39CD" w:rsidP="00CB74FB">
      <w:r>
        <w:t>Lze-li stručně shrnout výše uvedený návrh věcného záměru, j</w:t>
      </w:r>
      <w:r w:rsidR="00423367" w:rsidRPr="00AE362E">
        <w:t>ako nejvíce přínosné byly vyh</w:t>
      </w:r>
      <w:r w:rsidR="00AE362E">
        <w:t xml:space="preserve">odnoceny </w:t>
      </w:r>
      <w:r w:rsidR="00763F39">
        <w:t>varianty spočívající</w:t>
      </w:r>
      <w:r w:rsidR="00420924">
        <w:t xml:space="preserve"> v/ve</w:t>
      </w:r>
      <w:r w:rsidR="00423367" w:rsidRPr="00AE362E">
        <w:t>:</w:t>
      </w:r>
    </w:p>
    <w:p w14:paraId="42989CAE" w14:textId="75E6AEDF" w:rsidR="00AE362E" w:rsidRDefault="008610FC" w:rsidP="00CB74FB">
      <w:pPr>
        <w:pStyle w:val="Odstavecseseznamem"/>
        <w:numPr>
          <w:ilvl w:val="0"/>
          <w:numId w:val="23"/>
        </w:numPr>
      </w:pPr>
      <w:r>
        <w:t xml:space="preserve">obecném </w:t>
      </w:r>
      <w:r w:rsidR="00DB7ECE" w:rsidRPr="00DB7ECE">
        <w:t xml:space="preserve">uplatnění </w:t>
      </w:r>
      <w:r w:rsidR="00DB7ECE">
        <w:t xml:space="preserve">zákona o hromadných žalobách </w:t>
      </w:r>
      <w:r w:rsidR="00DB7ECE" w:rsidRPr="00DB7ECE">
        <w:t>na oblast soukromého práva s</w:t>
      </w:r>
      <w:r w:rsidR="001066E9">
        <w:t> </w:t>
      </w:r>
      <w:r w:rsidR="00DB7ECE" w:rsidRPr="00DB7ECE">
        <w:t>výjimkami</w:t>
      </w:r>
      <w:r w:rsidR="001066E9">
        <w:t>,</w:t>
      </w:r>
      <w:r w:rsidR="00DB6601">
        <w:t xml:space="preserve"> na k</w:t>
      </w:r>
      <w:r w:rsidR="001066E9">
        <w:t>teré se hromadné žaloby vztahovat nebudou</w:t>
      </w:r>
      <w:r w:rsidR="00FF00CD">
        <w:t>,</w:t>
      </w:r>
    </w:p>
    <w:p w14:paraId="5CA7BAAC" w14:textId="2DCF9DB2" w:rsidR="00DB7ECE" w:rsidRDefault="00DB7ECE" w:rsidP="00CB74FB">
      <w:pPr>
        <w:pStyle w:val="Odstavecseseznamem"/>
        <w:numPr>
          <w:ilvl w:val="0"/>
          <w:numId w:val="23"/>
        </w:numPr>
      </w:pPr>
      <w:r>
        <w:t xml:space="preserve">možnosti uplatňování </w:t>
      </w:r>
      <w:r w:rsidRPr="00DB7ECE">
        <w:t>všech nároků, vč. nároku na plnění</w:t>
      </w:r>
      <w:r w:rsidR="00FF00CD">
        <w:t>,</w:t>
      </w:r>
    </w:p>
    <w:p w14:paraId="22DB9437" w14:textId="414E7490" w:rsidR="00DB7ECE" w:rsidRDefault="00763F39" w:rsidP="00CB74FB">
      <w:pPr>
        <w:pStyle w:val="Odstavecseseznamem"/>
        <w:numPr>
          <w:ilvl w:val="0"/>
          <w:numId w:val="23"/>
        </w:numPr>
      </w:pPr>
      <w:r>
        <w:t>omezené</w:t>
      </w:r>
      <w:r w:rsidRPr="00763F39">
        <w:t xml:space="preserve"> proce</w:t>
      </w:r>
      <w:r w:rsidR="007065D6">
        <w:t>s</w:t>
      </w:r>
      <w:r w:rsidRPr="00763F39">
        <w:t>ní legitimac</w:t>
      </w:r>
      <w:r>
        <w:t xml:space="preserve">i pro </w:t>
      </w:r>
      <w:r w:rsidRPr="00763F39">
        <w:t>skupin</w:t>
      </w:r>
      <w:r>
        <w:t>ovou žalobu</w:t>
      </w:r>
      <w:r w:rsidR="00FF00CD">
        <w:t xml:space="preserve"> (člen skupiny a spolek),</w:t>
      </w:r>
    </w:p>
    <w:p w14:paraId="440C8411" w14:textId="3D1151FD" w:rsidR="00763F39" w:rsidRDefault="00763F39" w:rsidP="00CB74FB">
      <w:pPr>
        <w:pStyle w:val="Odstavecseseznamem"/>
        <w:numPr>
          <w:ilvl w:val="0"/>
          <w:numId w:val="23"/>
        </w:numPr>
      </w:pPr>
      <w:r>
        <w:t xml:space="preserve">zavedení režimu </w:t>
      </w:r>
      <w:r w:rsidRPr="00763F39">
        <w:t xml:space="preserve">opt-out jako </w:t>
      </w:r>
      <w:r>
        <w:t xml:space="preserve">hlavní zásady </w:t>
      </w:r>
      <w:r w:rsidRPr="00763F39">
        <w:t xml:space="preserve">a opt-in </w:t>
      </w:r>
      <w:r>
        <w:t>režimu jako možné výjimky</w:t>
      </w:r>
      <w:r w:rsidR="00FF00CD">
        <w:t>,</w:t>
      </w:r>
    </w:p>
    <w:p w14:paraId="7801BAD8" w14:textId="4C51F435" w:rsidR="00763F39" w:rsidRDefault="00F12044" w:rsidP="00CB74FB">
      <w:pPr>
        <w:pStyle w:val="Odstavecseseznamem"/>
        <w:numPr>
          <w:ilvl w:val="0"/>
          <w:numId w:val="23"/>
        </w:numPr>
      </w:pPr>
      <w:r>
        <w:t>formálně od</w:t>
      </w:r>
      <w:r w:rsidR="00763F39" w:rsidRPr="00763F39">
        <w:t>dělené</w:t>
      </w:r>
      <w:r w:rsidR="00763F39">
        <w:t>m tzv.</w:t>
      </w:r>
      <w:r w:rsidR="00763F39" w:rsidRPr="00763F39">
        <w:t xml:space="preserve"> certifikační</w:t>
      </w:r>
      <w:r w:rsidR="009B1E5F">
        <w:t>m</w:t>
      </w:r>
      <w:r w:rsidR="00763F39" w:rsidRPr="00763F39">
        <w:t xml:space="preserve"> řízení</w:t>
      </w:r>
      <w:r w:rsidR="00FF00CD">
        <w:t>,</w:t>
      </w:r>
    </w:p>
    <w:p w14:paraId="6C9D7175" w14:textId="348F8094" w:rsidR="00763F39" w:rsidRDefault="00763F39" w:rsidP="00CB74FB">
      <w:pPr>
        <w:pStyle w:val="Odstavecseseznamem"/>
        <w:numPr>
          <w:ilvl w:val="0"/>
          <w:numId w:val="23"/>
        </w:numPr>
      </w:pPr>
      <w:r>
        <w:t>přís</w:t>
      </w:r>
      <w:r w:rsidR="00FF00CD">
        <w:t>lušnosti stanovené pro vybrané</w:t>
      </w:r>
      <w:r w:rsidRPr="00763F39">
        <w:t xml:space="preserve"> soudy</w:t>
      </w:r>
      <w:r w:rsidR="00FF00CD">
        <w:t>,</w:t>
      </w:r>
    </w:p>
    <w:p w14:paraId="25CB83A1" w14:textId="50C55DEA" w:rsidR="00763F39" w:rsidRDefault="00763F39" w:rsidP="00CB74FB">
      <w:pPr>
        <w:pStyle w:val="Odstavecseseznamem"/>
        <w:numPr>
          <w:ilvl w:val="0"/>
          <w:numId w:val="23"/>
        </w:numPr>
      </w:pPr>
      <w:r>
        <w:t>u</w:t>
      </w:r>
      <w:r w:rsidRPr="00763F39">
        <w:t xml:space="preserve">veřejňování </w:t>
      </w:r>
      <w:r>
        <w:t xml:space="preserve">všech potřebných informací o probíhajících řízeních </w:t>
      </w:r>
      <w:r w:rsidR="008A215B">
        <w:t>zástupcem skupiny/</w:t>
      </w:r>
      <w:r w:rsidRPr="00763F39">
        <w:t xml:space="preserve"> advokátem a zároveň soudem</w:t>
      </w:r>
      <w:r w:rsidR="00FF00CD">
        <w:t>,</w:t>
      </w:r>
    </w:p>
    <w:p w14:paraId="00447D0B" w14:textId="21673ECA" w:rsidR="00FF00CD" w:rsidRDefault="00FF00CD" w:rsidP="00CB74FB">
      <w:pPr>
        <w:pStyle w:val="Odstavecseseznamem"/>
        <w:numPr>
          <w:ilvl w:val="0"/>
          <w:numId w:val="23"/>
        </w:numPr>
      </w:pPr>
      <w:r>
        <w:t>omezených právech členů skupiny, kteří nejsou zástupcem</w:t>
      </w:r>
      <w:r w:rsidR="001D16EA">
        <w:t xml:space="preserve"> skupiny</w:t>
      </w:r>
      <w:r>
        <w:t>,</w:t>
      </w:r>
    </w:p>
    <w:p w14:paraId="047D78E5" w14:textId="1FF0A77F" w:rsidR="00763F39" w:rsidRDefault="00420924" w:rsidP="00CB74FB">
      <w:pPr>
        <w:pStyle w:val="Odstavecseseznamem"/>
        <w:numPr>
          <w:ilvl w:val="0"/>
          <w:numId w:val="23"/>
        </w:numPr>
      </w:pPr>
      <w:r>
        <w:t>zvláštní úpravě</w:t>
      </w:r>
      <w:r w:rsidRPr="00420924">
        <w:t xml:space="preserve"> pro soudní smír</w:t>
      </w:r>
      <w:r>
        <w:t xml:space="preserve">, který bude podléhat soudnímu přezkumu zejména s ohledem na posouzení </w:t>
      </w:r>
      <w:r w:rsidR="00031AA3">
        <w:t xml:space="preserve">společného zájmu </w:t>
      </w:r>
      <w:r>
        <w:t>všech členů skupiny</w:t>
      </w:r>
      <w:r w:rsidR="00FF00CD">
        <w:t>,</w:t>
      </w:r>
    </w:p>
    <w:p w14:paraId="7324CDDE" w14:textId="1748E054" w:rsidR="00FF00CD" w:rsidRPr="00FF00CD" w:rsidRDefault="00FF00CD" w:rsidP="00CB74FB">
      <w:pPr>
        <w:pStyle w:val="Odstavecseseznamem"/>
        <w:numPr>
          <w:ilvl w:val="0"/>
          <w:numId w:val="23"/>
        </w:numPr>
      </w:pPr>
      <w:r>
        <w:t>složení celé č</w:t>
      </w:r>
      <w:r w:rsidR="008A215B">
        <w:t xml:space="preserve">ástky na soudem určené místo, kterou bude rozdělovat </w:t>
      </w:r>
      <w:r>
        <w:t>pod dohledem soudu advokát,</w:t>
      </w:r>
    </w:p>
    <w:p w14:paraId="0591FA09" w14:textId="6F3FF740" w:rsidR="00420924" w:rsidRDefault="00420924" w:rsidP="00CB74FB">
      <w:pPr>
        <w:pStyle w:val="Odstavecseseznamem"/>
        <w:numPr>
          <w:ilvl w:val="0"/>
          <w:numId w:val="23"/>
        </w:numPr>
      </w:pPr>
      <w:r w:rsidRPr="00420924">
        <w:t xml:space="preserve">financování řízení ze soukromých zdrojů </w:t>
      </w:r>
      <w:r w:rsidR="008A215B">
        <w:t>advokáta</w:t>
      </w:r>
      <w:r w:rsidR="00FF00CD">
        <w:t>,</w:t>
      </w:r>
    </w:p>
    <w:p w14:paraId="66B372A2" w14:textId="6E5676B8" w:rsidR="00420924" w:rsidRDefault="00420924" w:rsidP="00CB74FB">
      <w:pPr>
        <w:pStyle w:val="Odstavecseseznamem"/>
        <w:numPr>
          <w:ilvl w:val="0"/>
          <w:numId w:val="23"/>
        </w:numPr>
      </w:pPr>
      <w:r>
        <w:t xml:space="preserve">zavedení placení soudního poplatku na základě </w:t>
      </w:r>
      <w:r w:rsidRPr="00420924">
        <w:t xml:space="preserve">kombinace pevně stanovené částky </w:t>
      </w:r>
      <w:r w:rsidR="00031AA3" w:rsidRPr="00420924">
        <w:t>a</w:t>
      </w:r>
      <w:r w:rsidR="00031AA3">
        <w:t> </w:t>
      </w:r>
      <w:r w:rsidRPr="00420924">
        <w:t>procentní sazby</w:t>
      </w:r>
      <w:r w:rsidR="00FF00CD">
        <w:t>,</w:t>
      </w:r>
    </w:p>
    <w:p w14:paraId="44374F6F" w14:textId="68C882B7" w:rsidR="00F16E69" w:rsidRPr="00F16E69" w:rsidRDefault="00420924" w:rsidP="00CB74FB">
      <w:pPr>
        <w:pStyle w:val="Odstavecseseznamem"/>
        <w:numPr>
          <w:ilvl w:val="0"/>
          <w:numId w:val="23"/>
        </w:numPr>
      </w:pPr>
      <w:r>
        <w:t xml:space="preserve">určení </w:t>
      </w:r>
      <w:r w:rsidR="00C27992">
        <w:t xml:space="preserve">odměny pro advokáta jako </w:t>
      </w:r>
      <w:r>
        <w:t>procenta</w:t>
      </w:r>
      <w:r w:rsidRPr="00420924">
        <w:t xml:space="preserve"> z </w:t>
      </w:r>
      <w:r w:rsidR="00031AA3">
        <w:t>přiznané</w:t>
      </w:r>
      <w:r w:rsidR="00031AA3" w:rsidRPr="00420924">
        <w:t xml:space="preserve"> </w:t>
      </w:r>
      <w:r w:rsidRPr="00420924">
        <w:t>částky</w:t>
      </w:r>
      <w:r w:rsidR="002C3D9A">
        <w:t>.</w:t>
      </w:r>
    </w:p>
    <w:p w14:paraId="18DD0295" w14:textId="46CBF3FA" w:rsidR="00DA6B2F" w:rsidRPr="0026318B" w:rsidRDefault="00785D03" w:rsidP="0026318B">
      <w:pPr>
        <w:pStyle w:val="Nadpis1"/>
      </w:pPr>
      <w:r w:rsidRPr="002D78DE">
        <w:t>Způsob promítnutí věcného řešení do právního řádu</w:t>
      </w:r>
    </w:p>
    <w:p w14:paraId="5A073046" w14:textId="41FE3C5F" w:rsidR="00785D03" w:rsidRDefault="006212DD" w:rsidP="00785D03">
      <w:pPr>
        <w:pStyle w:val="Nadpis2"/>
      </w:pPr>
      <w:r w:rsidRPr="002D78DE">
        <w:t>Náv</w:t>
      </w:r>
      <w:r w:rsidR="00785D03" w:rsidRPr="002D78DE">
        <w:t>r</w:t>
      </w:r>
      <w:r w:rsidRPr="002D78DE">
        <w:t>h</w:t>
      </w:r>
      <w:r w:rsidR="00785D03" w:rsidRPr="002D78DE">
        <w:t xml:space="preserve"> na změnu právních předpisů</w:t>
      </w:r>
    </w:p>
    <w:p w14:paraId="49749386" w14:textId="7D80A592" w:rsidR="008610FC" w:rsidRDefault="008610FC" w:rsidP="00CB74FB">
      <w:r w:rsidRPr="008610FC">
        <w:t>V </w:t>
      </w:r>
      <w:r>
        <w:t>záj</w:t>
      </w:r>
      <w:r w:rsidRPr="008610FC">
        <w:t>mu zpřehled</w:t>
      </w:r>
      <w:r>
        <w:t xml:space="preserve">nění právní úpravy bude zákon o hromadných žalobách tvořit co možná nejširší právní úpravu. Nicméně není zcela vhodné, aby </w:t>
      </w:r>
      <w:r w:rsidR="00D842A8">
        <w:t xml:space="preserve">zákon o hromadných žalobách </w:t>
      </w:r>
      <w:r>
        <w:t xml:space="preserve">upravoval veškeré </w:t>
      </w:r>
      <w:r w:rsidR="00D842A8">
        <w:t xml:space="preserve">dotčené </w:t>
      </w:r>
      <w:r>
        <w:t xml:space="preserve">oblasti úpravy komplexně. </w:t>
      </w:r>
      <w:r w:rsidR="00901E6C">
        <w:t xml:space="preserve">Nadto bude nutné určité právní předpisy v souvislosti s přijetím nového zákona modifikovat, neboť se jejich působnost částečně překrývá. </w:t>
      </w:r>
      <w:r>
        <w:t>V tomto ohledu bude nutné provést dílčí změny v uvedených právních předpisech:</w:t>
      </w:r>
    </w:p>
    <w:p w14:paraId="6F4B8F9A" w14:textId="77777777" w:rsidR="00CB74FB" w:rsidRDefault="00CB74FB" w:rsidP="00CB74FB"/>
    <w:p w14:paraId="720A6D03" w14:textId="77777777" w:rsidR="00901E6C" w:rsidRDefault="00AE1BE8" w:rsidP="00CB74FB">
      <w:pPr>
        <w:pStyle w:val="Odstavecseseznamem"/>
        <w:numPr>
          <w:ilvl w:val="0"/>
          <w:numId w:val="24"/>
        </w:numPr>
      </w:pPr>
      <w:r w:rsidRPr="00CB74FB">
        <w:rPr>
          <w:b/>
        </w:rPr>
        <w:t>zákon č. 549/1991 Sb., o soudních poplatcích</w:t>
      </w:r>
      <w:r>
        <w:t>, ve znění pozdějších předpisů</w:t>
      </w:r>
    </w:p>
    <w:p w14:paraId="3483FEE3" w14:textId="56265ECA" w:rsidR="00AE1BE8" w:rsidRPr="00C0090A" w:rsidRDefault="00901E6C" w:rsidP="00CB74FB">
      <w:pPr>
        <w:ind w:firstLine="708"/>
        <w:rPr>
          <w:i/>
        </w:rPr>
      </w:pPr>
      <w:r w:rsidRPr="00C0090A">
        <w:rPr>
          <w:i/>
        </w:rPr>
        <w:t>Bude doplněn</w:t>
      </w:r>
      <w:r w:rsidR="00D842A8" w:rsidRPr="00C0090A">
        <w:rPr>
          <w:i/>
        </w:rPr>
        <w:t xml:space="preserve"> o určení výše jednotlivých soudních poplatků pro kolektivní řízení</w:t>
      </w:r>
      <w:r w:rsidRPr="00C0090A">
        <w:rPr>
          <w:i/>
        </w:rPr>
        <w:t>.</w:t>
      </w:r>
    </w:p>
    <w:p w14:paraId="6B7F6DF6" w14:textId="114C6E8C" w:rsidR="00AE1BE8" w:rsidRDefault="00AE1BE8" w:rsidP="00CB74FB">
      <w:pPr>
        <w:pStyle w:val="Odstavecseseznamem"/>
        <w:numPr>
          <w:ilvl w:val="0"/>
          <w:numId w:val="24"/>
        </w:numPr>
      </w:pPr>
      <w:r w:rsidRPr="00CB74FB">
        <w:rPr>
          <w:b/>
        </w:rPr>
        <w:t>zákon č. 634/1992 Sb., o ochraně spotřebitele</w:t>
      </w:r>
      <w:r w:rsidRPr="00AE1BE8">
        <w:t>, ve znění pozdějších předpisů</w:t>
      </w:r>
      <w:r w:rsidR="00031AA3">
        <w:t xml:space="preserve"> (popřípadě nový zákon o ochraně spotřebitele, jehož návrh věcného záměru je v současnosti projednáván)</w:t>
      </w:r>
    </w:p>
    <w:p w14:paraId="190F558F" w14:textId="7E9741FD" w:rsidR="00901E6C" w:rsidRPr="00840333" w:rsidRDefault="00901E6C" w:rsidP="00CB74FB">
      <w:pPr>
        <w:ind w:left="708"/>
        <w:rPr>
          <w:i/>
        </w:rPr>
      </w:pPr>
      <w:r w:rsidRPr="00C0090A">
        <w:rPr>
          <w:i/>
        </w:rPr>
        <w:t>Bude nutné upravit vztah zdržovacího nároku podle zákona o ochraně spotřebitele (§ 25 odst. 2) a zákona o hromadných žalobách.</w:t>
      </w:r>
      <w:r w:rsidR="009250A2">
        <w:rPr>
          <w:i/>
        </w:rPr>
        <w:t xml:space="preserve"> V tomto ohledu se nabízí inkorporování právní úpravy zákona o ochraně spotřebitele, resp. části věnující se negatorní žalobě přímo do zákona o hromadných žalobách a jeho zobecnění. Právní úprava tak bude řešena komplexně v jediném právním předpise. Vzhledem k tomu, že příslušná </w:t>
      </w:r>
      <w:r w:rsidR="009250A2" w:rsidRPr="009250A2">
        <w:rPr>
          <w:i/>
        </w:rPr>
        <w:t>Směrnice Evropského parlamentu a Rady 2009/22/E</w:t>
      </w:r>
      <w:r w:rsidR="009250A2">
        <w:rPr>
          <w:i/>
        </w:rPr>
        <w:t xml:space="preserve">S zakotvuje pouze tzv. minimální harmonizaci, není bráněno státům, aby požadavky kladené směrnicí rozšířily na další oblasti a případy (čl. </w:t>
      </w:r>
      <w:r w:rsidR="00840333">
        <w:rPr>
          <w:i/>
        </w:rPr>
        <w:t xml:space="preserve">7 cit. směrnice). </w:t>
      </w:r>
      <w:r w:rsidR="009250A2">
        <w:rPr>
          <w:i/>
        </w:rPr>
        <w:t xml:space="preserve">Rovněž se uvedené řešení jeví jako vhodné vzhledem k současné snaze Evropské komise o revizi stávajícího systému negatorních žalob ve spotřebitelských věcech (blíže viz zprávu Evropské komise dostupnou na </w:t>
      </w:r>
      <w:hyperlink r:id="rId10" w:history="1">
        <w:r w:rsidR="00840333" w:rsidRPr="00A62579">
          <w:rPr>
            <w:rStyle w:val="Hypertextovodkaz"/>
            <w:b/>
          </w:rPr>
          <w:t>http://ec.europa.eu/newsroom/document.cfm?doc_id=44639</w:t>
        </w:r>
      </w:hyperlink>
      <w:r w:rsidR="009250A2">
        <w:t>).</w:t>
      </w:r>
      <w:r w:rsidR="00840333">
        <w:rPr>
          <w:i/>
        </w:rPr>
        <w:t xml:space="preserve"> Případné sjednocení úpravy tak bude provedeno s ohledem na další vývoj této oblasti na evropské úrovni.</w:t>
      </w:r>
    </w:p>
    <w:p w14:paraId="14B64983" w14:textId="50D6F4CD" w:rsidR="00AE1BE8" w:rsidRPr="00901E6C" w:rsidRDefault="00AE1BE8" w:rsidP="00CB74FB">
      <w:pPr>
        <w:pStyle w:val="Odstavecseseznamem"/>
        <w:numPr>
          <w:ilvl w:val="0"/>
          <w:numId w:val="24"/>
        </w:numPr>
      </w:pPr>
      <w:r w:rsidRPr="00CB74FB">
        <w:rPr>
          <w:b/>
        </w:rPr>
        <w:t>zákon č. 99/1963 Sb., občanský soudní řád</w:t>
      </w:r>
      <w:r>
        <w:t xml:space="preserve">, </w:t>
      </w:r>
      <w:r w:rsidRPr="00CB74FB">
        <w:rPr>
          <w:szCs w:val="24"/>
          <w:lang w:eastAsia="cs-CZ"/>
        </w:rPr>
        <w:t>ve znění pozdějších předpisů</w:t>
      </w:r>
      <w:r w:rsidR="00031AA3" w:rsidRPr="00CB74FB">
        <w:rPr>
          <w:szCs w:val="24"/>
          <w:lang w:eastAsia="cs-CZ"/>
        </w:rPr>
        <w:t xml:space="preserve"> (popřípadě nový civilní řád soudní)</w:t>
      </w:r>
    </w:p>
    <w:p w14:paraId="2A6A76BB" w14:textId="24F9C9D9" w:rsidR="00901E6C" w:rsidRPr="00C0090A" w:rsidRDefault="00C27992" w:rsidP="00CB74FB">
      <w:pPr>
        <w:ind w:left="708"/>
        <w:rPr>
          <w:i/>
        </w:rPr>
      </w:pPr>
      <w:r>
        <w:rPr>
          <w:i/>
        </w:rPr>
        <w:t>Do občanského soudního řádu bude rovněž zřejmě</w:t>
      </w:r>
      <w:r w:rsidR="00901E6C" w:rsidRPr="00C0090A">
        <w:rPr>
          <w:i/>
        </w:rPr>
        <w:t xml:space="preserve"> </w:t>
      </w:r>
      <w:r>
        <w:rPr>
          <w:i/>
        </w:rPr>
        <w:t xml:space="preserve">třeba </w:t>
      </w:r>
      <w:r w:rsidR="00901E6C" w:rsidRPr="00C0090A">
        <w:rPr>
          <w:i/>
        </w:rPr>
        <w:t xml:space="preserve">promítnout některé </w:t>
      </w:r>
      <w:r w:rsidR="00031AA3">
        <w:rPr>
          <w:i/>
        </w:rPr>
        <w:t xml:space="preserve">nezbytné </w:t>
      </w:r>
      <w:r w:rsidR="00901E6C" w:rsidRPr="00C0090A">
        <w:rPr>
          <w:i/>
        </w:rPr>
        <w:t>změny související s přijetím nového zákona. Tyto změny by měly být opravdu minimální, neboť občanský soudní řád je zákonem obecným.</w:t>
      </w:r>
      <w:r w:rsidR="00031AA3">
        <w:rPr>
          <w:i/>
        </w:rPr>
        <w:t xml:space="preserve"> </w:t>
      </w:r>
      <w:r w:rsidR="008338F1">
        <w:rPr>
          <w:i/>
        </w:rPr>
        <w:t>Bude třeba k</w:t>
      </w:r>
      <w:r w:rsidR="00031AA3">
        <w:rPr>
          <w:i/>
        </w:rPr>
        <w:t>oordinovat přípravu nového zákona s pracemi na rekodifikaci civilního procesu.</w:t>
      </w:r>
    </w:p>
    <w:p w14:paraId="1B6C4353" w14:textId="1AECEBAE" w:rsidR="00AE1BE8" w:rsidRDefault="00C908FD" w:rsidP="00CB74FB">
      <w:pPr>
        <w:pStyle w:val="Odstavecseseznamem"/>
        <w:numPr>
          <w:ilvl w:val="0"/>
          <w:numId w:val="24"/>
        </w:numPr>
      </w:pPr>
      <w:r w:rsidRPr="00CB74FB">
        <w:rPr>
          <w:b/>
        </w:rPr>
        <w:t>zákon č. 89/2012 Sb., občanský zákoník</w:t>
      </w:r>
      <w:r>
        <w:t>, ve znění pozdějších předpisů</w:t>
      </w:r>
    </w:p>
    <w:p w14:paraId="6B56AF14" w14:textId="4A88461C" w:rsidR="00901E6C" w:rsidRPr="00C0090A" w:rsidRDefault="00901E6C" w:rsidP="00CB74FB">
      <w:pPr>
        <w:ind w:left="708"/>
        <w:rPr>
          <w:i/>
        </w:rPr>
      </w:pPr>
      <w:r w:rsidRPr="00C0090A">
        <w:rPr>
          <w:i/>
        </w:rPr>
        <w:t xml:space="preserve">Bude nutné zohlednit vztah </w:t>
      </w:r>
      <w:r w:rsidR="005D3F18">
        <w:rPr>
          <w:i/>
        </w:rPr>
        <w:t>k vybraným ustanovením</w:t>
      </w:r>
      <w:r w:rsidRPr="00C0090A">
        <w:rPr>
          <w:i/>
        </w:rPr>
        <w:t xml:space="preserve"> s kolektivním prvkem (§ 2989 </w:t>
      </w:r>
      <w:r w:rsidR="00CB74FB" w:rsidRPr="00C0090A">
        <w:rPr>
          <w:i/>
        </w:rPr>
        <w:t>o. z.), případně</w:t>
      </w:r>
      <w:r w:rsidRPr="00C0090A">
        <w:rPr>
          <w:i/>
        </w:rPr>
        <w:t xml:space="preserve"> i otázku promlčení.</w:t>
      </w:r>
      <w:r w:rsidR="00031AA3">
        <w:rPr>
          <w:i/>
        </w:rPr>
        <w:t xml:space="preserve"> Spíše se však předběžně nepředpokládá nezbytnost změny občanského zákoníku v souvislosti s přijetím nového zákona.</w:t>
      </w:r>
    </w:p>
    <w:p w14:paraId="650C9F83" w14:textId="0BB1D5E3" w:rsidR="00D6731A" w:rsidRDefault="00AE1BE8" w:rsidP="00CB74FB">
      <w:pPr>
        <w:pStyle w:val="Odstavecseseznamem"/>
        <w:numPr>
          <w:ilvl w:val="0"/>
          <w:numId w:val="24"/>
        </w:numPr>
      </w:pPr>
      <w:r w:rsidRPr="00CB74FB">
        <w:rPr>
          <w:b/>
        </w:rPr>
        <w:t>vyhláška Ministerstva spravedlnosti č. 177/1996 Sb.,</w:t>
      </w:r>
      <w:r>
        <w:t xml:space="preserve"> </w:t>
      </w:r>
      <w:r w:rsidRPr="00AE1BE8">
        <w:t>o odměnách advokátů a</w:t>
      </w:r>
      <w:r w:rsidR="005D3F18">
        <w:t> </w:t>
      </w:r>
      <w:r w:rsidRPr="00AE1BE8">
        <w:t xml:space="preserve">náhradách advokátů za poskytování právních služeb </w:t>
      </w:r>
      <w:r w:rsidRPr="00D842A8">
        <w:t>(advokátní tarif)</w:t>
      </w:r>
      <w:r>
        <w:t>, ve znění pozdějších předpisů</w:t>
      </w:r>
      <w:r w:rsidR="00D842A8">
        <w:t>, bude doplněna úprava určování výše odměny pro právní zastoupení</w:t>
      </w:r>
      <w:r w:rsidR="00C0090A">
        <w:t xml:space="preserve"> týkající se kolektivních sporů</w:t>
      </w:r>
    </w:p>
    <w:p w14:paraId="62E18AE9" w14:textId="1E645C11" w:rsidR="00C0090A" w:rsidRDefault="00C0090A" w:rsidP="00CB74FB">
      <w:pPr>
        <w:ind w:left="708"/>
        <w:rPr>
          <w:i/>
        </w:rPr>
      </w:pPr>
      <w:r w:rsidRPr="00C0090A">
        <w:rPr>
          <w:i/>
        </w:rPr>
        <w:t>V návaznosti na odlišné odměňování bude nutné vyřešit otázku aplikace advokátního tarifu a s tím související změnu tohoto předpisu.</w:t>
      </w:r>
    </w:p>
    <w:p w14:paraId="5B7D10A9" w14:textId="77777777" w:rsidR="00CB74FB" w:rsidRPr="00C0090A" w:rsidRDefault="00CB74FB" w:rsidP="00CB74FB">
      <w:pPr>
        <w:ind w:left="360"/>
        <w:rPr>
          <w:i/>
        </w:rPr>
      </w:pPr>
    </w:p>
    <w:p w14:paraId="2B3887B4" w14:textId="32892022" w:rsidR="008610FC" w:rsidRPr="001A7426" w:rsidRDefault="00D6731A" w:rsidP="00CB74FB">
      <w:r w:rsidRPr="00D6731A">
        <w:t xml:space="preserve">Speciální právní předpisy budou novelizovány s cílem sjednocení úpravy. </w:t>
      </w:r>
      <w:r w:rsidR="00ED28F4">
        <w:t>Změny právních předpisů</w:t>
      </w:r>
      <w:r w:rsidRPr="00D6731A">
        <w:t xml:space="preserve">, které budou upravovány v návaznosti na vznik zákona o </w:t>
      </w:r>
      <w:r>
        <w:t>hromadných žalobách</w:t>
      </w:r>
      <w:r w:rsidR="0096742F">
        <w:t>, budou součástí</w:t>
      </w:r>
      <w:r w:rsidR="00031AA3">
        <w:t xml:space="preserve"> příslušného změnového zákona</w:t>
      </w:r>
      <w:r w:rsidR="0096742F">
        <w:t xml:space="preserve">. </w:t>
      </w:r>
    </w:p>
    <w:p w14:paraId="32BAC402" w14:textId="77777777" w:rsidR="008610FC" w:rsidRPr="002D78DE" w:rsidRDefault="008610FC" w:rsidP="00CB74FB"/>
    <w:p w14:paraId="759793A5" w14:textId="57CF1DDB" w:rsidR="00BF7279" w:rsidRDefault="00D842A8" w:rsidP="00BF7279">
      <w:pPr>
        <w:pStyle w:val="Nadpis2"/>
      </w:pPr>
      <w:r>
        <w:t>O</w:t>
      </w:r>
      <w:r w:rsidR="00BF7279" w:rsidRPr="00BF7279">
        <w:t>bsah právních norem určených k prove</w:t>
      </w:r>
      <w:r w:rsidR="00BF7279">
        <w:t>dení navrhovaného věcného řešen</w:t>
      </w:r>
      <w:r w:rsidR="00CC2C9C">
        <w:t>í</w:t>
      </w:r>
    </w:p>
    <w:p w14:paraId="06415679" w14:textId="51A28A19" w:rsidR="000D795D" w:rsidRDefault="000D795D" w:rsidP="00CB74FB">
      <w:r w:rsidRPr="002A621F">
        <w:t>Navrhuje se</w:t>
      </w:r>
      <w:r>
        <w:t xml:space="preserve"> postavení nového zákona o hromadných žalobách jako zvláštního právního předpisu (</w:t>
      </w:r>
      <w:r w:rsidRPr="002A621F">
        <w:rPr>
          <w:i/>
        </w:rPr>
        <w:t>lex specialis</w:t>
      </w:r>
      <w:r>
        <w:t>) ve vztahu k obecnému právnímu předpisu (</w:t>
      </w:r>
      <w:r w:rsidRPr="002A621F">
        <w:rPr>
          <w:i/>
        </w:rPr>
        <w:t>lex generalis</w:t>
      </w:r>
      <w:r>
        <w:t>) upravující</w:t>
      </w:r>
      <w:r w:rsidR="00031AA3">
        <w:t>mu</w:t>
      </w:r>
      <w:r>
        <w:t xml:space="preserve"> postup soudu a účastníků v </w:t>
      </w:r>
      <w:r w:rsidR="00C13F23">
        <w:t xml:space="preserve">civilním </w:t>
      </w:r>
      <w:r>
        <w:t>soudním řízení.</w:t>
      </w:r>
    </w:p>
    <w:p w14:paraId="68F66C39" w14:textId="77777777" w:rsidR="00CB74FB" w:rsidRDefault="00CB74FB" w:rsidP="00CB74FB"/>
    <w:p w14:paraId="139F26D8" w14:textId="31CE6274" w:rsidR="000D795D" w:rsidRDefault="00C27992" w:rsidP="00CB74FB">
      <w:r>
        <w:t>Předběžná struktura</w:t>
      </w:r>
      <w:r w:rsidR="00CC2C9C">
        <w:t xml:space="preserve"> </w:t>
      </w:r>
      <w:r w:rsidR="00E030FD">
        <w:t>zákona o hromadných žalobách</w:t>
      </w:r>
      <w:r w:rsidR="00C0090A">
        <w:t xml:space="preserve"> </w:t>
      </w:r>
      <w:r>
        <w:t>bude takováto</w:t>
      </w:r>
      <w:r w:rsidR="00CC2C9C">
        <w:t>:</w:t>
      </w:r>
    </w:p>
    <w:p w14:paraId="381FDBC8" w14:textId="77777777" w:rsidR="0026318B" w:rsidRDefault="0026318B" w:rsidP="0026318B">
      <w:pPr>
        <w:jc w:val="center"/>
      </w:pPr>
    </w:p>
    <w:p w14:paraId="393F68B0" w14:textId="25D72059" w:rsidR="0026318B" w:rsidRDefault="0096742F" w:rsidP="0026318B">
      <w:pPr>
        <w:jc w:val="left"/>
      </w:pPr>
      <w:r>
        <w:t>ČÁST PRVNÍ</w:t>
      </w:r>
    </w:p>
    <w:p w14:paraId="2E8B01F7" w14:textId="3AB88DC6" w:rsidR="0096742F" w:rsidRDefault="0096742F" w:rsidP="009F67F1">
      <w:r>
        <w:t>OBECNÁ USTANOVENÍ</w:t>
      </w:r>
    </w:p>
    <w:p w14:paraId="246DD7D4" w14:textId="77777777" w:rsidR="00FF00CD" w:rsidRDefault="00FF00CD" w:rsidP="009F67F1"/>
    <w:p w14:paraId="27476512" w14:textId="24FDA7E0" w:rsidR="00FF00CD" w:rsidRDefault="00FF00CD" w:rsidP="009F67F1">
      <w:r>
        <w:t>Hlava I - Základní ustanovení</w:t>
      </w:r>
    </w:p>
    <w:p w14:paraId="321DF745" w14:textId="77777777" w:rsidR="00FF00CD" w:rsidRDefault="0096742F" w:rsidP="009F67F1">
      <w:r>
        <w:t>Obecná ustanovení budou vymezovat předmět a účel právní úpravy</w:t>
      </w:r>
      <w:r w:rsidR="00141F42">
        <w:t>, stanoví se zde</w:t>
      </w:r>
      <w:r>
        <w:t>, na jaký okruh</w:t>
      </w:r>
      <w:r w:rsidR="00141F42">
        <w:t xml:space="preserve"> úprava dopadne</w:t>
      </w:r>
      <w:r w:rsidR="00103455">
        <w:t xml:space="preserve">, popř. </w:t>
      </w:r>
      <w:r w:rsidR="00141F42">
        <w:t xml:space="preserve">se </w:t>
      </w:r>
      <w:r w:rsidR="00103455">
        <w:t xml:space="preserve">stanoví výjimky. </w:t>
      </w:r>
    </w:p>
    <w:p w14:paraId="1A7DCD5E" w14:textId="77777777" w:rsidR="00FF00CD" w:rsidRDefault="00FF00CD" w:rsidP="009F67F1"/>
    <w:p w14:paraId="244AC437" w14:textId="4482DC3A" w:rsidR="00FF00CD" w:rsidRDefault="00FF00CD" w:rsidP="009F67F1">
      <w:r>
        <w:t>Hlava II - Soudy</w:t>
      </w:r>
    </w:p>
    <w:p w14:paraId="4900B1FA" w14:textId="63563EEE" w:rsidR="0096742F" w:rsidRDefault="00103455" w:rsidP="009F67F1">
      <w:r>
        <w:t>Dále bude určena místní i věcná příslušnost soudů.</w:t>
      </w:r>
    </w:p>
    <w:p w14:paraId="4619D360" w14:textId="77777777" w:rsidR="00103455" w:rsidRDefault="00103455" w:rsidP="009F67F1"/>
    <w:p w14:paraId="31D5DD41" w14:textId="698A0766" w:rsidR="00103455" w:rsidRDefault="00FF00CD" w:rsidP="009F67F1">
      <w:r>
        <w:t xml:space="preserve">Hlava III  - Účastníci a jejich </w:t>
      </w:r>
      <w:r w:rsidR="00AC5467">
        <w:t xml:space="preserve">právní </w:t>
      </w:r>
      <w:r>
        <w:t>zástupci</w:t>
      </w:r>
    </w:p>
    <w:p w14:paraId="7495D3DD" w14:textId="5CE143DD" w:rsidR="00103455" w:rsidRDefault="00103455" w:rsidP="009F67F1">
      <w:r>
        <w:t>V této části bude stanoven okruh adresátů právní normy, resp. osob, které budou oprávněny podat žalobu</w:t>
      </w:r>
      <w:r w:rsidR="00C0090A">
        <w:t>, tj. procesní legitimace.</w:t>
      </w:r>
      <w:r w:rsidR="00036308">
        <w:t xml:space="preserve"> Dále bude úprava obsahovat postavení účastníků v tzv. skupině </w:t>
      </w:r>
      <w:r w:rsidR="00C13F23">
        <w:t>a </w:t>
      </w:r>
      <w:r w:rsidR="009F67F1">
        <w:t xml:space="preserve">jejich práva, </w:t>
      </w:r>
      <w:r w:rsidR="00036308">
        <w:t>povinnosti</w:t>
      </w:r>
      <w:r w:rsidR="009F67F1">
        <w:t xml:space="preserve"> a způsobilost.</w:t>
      </w:r>
      <w:r w:rsidR="00036308">
        <w:t xml:space="preserve"> Současně se zde vymezí postavení zástupce skupiny</w:t>
      </w:r>
      <w:r w:rsidR="00AC5467">
        <w:t xml:space="preserve"> - půjde o člena skupiny, který celé řízení inicioval a je v roli žalobce</w:t>
      </w:r>
      <w:r w:rsidR="00C0090A">
        <w:t xml:space="preserve">. Dále zde bude zakotven advokátní přímus a v této souvislosti </w:t>
      </w:r>
      <w:r w:rsidR="00036308">
        <w:t xml:space="preserve">taktéž </w:t>
      </w:r>
      <w:r w:rsidR="009F67F1">
        <w:t xml:space="preserve">postavení a požadavky kladené na </w:t>
      </w:r>
      <w:r w:rsidR="00AC5467">
        <w:t>advokáta</w:t>
      </w:r>
      <w:r w:rsidR="00036308">
        <w:t xml:space="preserve"> skupiny</w:t>
      </w:r>
      <w:r w:rsidR="00B869BA">
        <w:t xml:space="preserve">, jeho </w:t>
      </w:r>
      <w:r w:rsidR="00C13F23">
        <w:t xml:space="preserve">změnu </w:t>
      </w:r>
      <w:r w:rsidR="00B869BA">
        <w:t>a ustanovení do funkce</w:t>
      </w:r>
      <w:r w:rsidR="00036308">
        <w:t xml:space="preserve">. </w:t>
      </w:r>
      <w:r w:rsidR="009F67F1">
        <w:t xml:space="preserve">Upraveno bude </w:t>
      </w:r>
      <w:r w:rsidR="00C27992">
        <w:t xml:space="preserve">dále </w:t>
      </w:r>
      <w:r w:rsidR="009F67F1">
        <w:t>přistoupení ke skupinovému řízení a procesní nástupnictví.</w:t>
      </w:r>
    </w:p>
    <w:p w14:paraId="0A09CECA" w14:textId="77777777" w:rsidR="00A53A38" w:rsidRDefault="00A53A38" w:rsidP="009F67F1"/>
    <w:p w14:paraId="2DF2021C" w14:textId="509F8167" w:rsidR="00A53A38" w:rsidRDefault="00A53A38" w:rsidP="00A53A38">
      <w:r>
        <w:t>V souvislosti s nutností vymezit účastníky budou v této části řešeny i základní otázky principu opt-out a opt-in – jejich vymezení, co použití toho kterého znamená pro okruh účastníků, případně vymezení jejich vzájemného vztahu.</w:t>
      </w:r>
    </w:p>
    <w:p w14:paraId="149073FC" w14:textId="77777777" w:rsidR="00103455" w:rsidRDefault="00103455" w:rsidP="0026318B">
      <w:pPr>
        <w:jc w:val="left"/>
      </w:pPr>
    </w:p>
    <w:p w14:paraId="6F08F6B0" w14:textId="34ADD9F0" w:rsidR="00537452" w:rsidRDefault="00FF00CD" w:rsidP="00FF00CD">
      <w:pPr>
        <w:jc w:val="left"/>
      </w:pPr>
      <w:r>
        <w:t>Hlava IV - Podmínky řízení</w:t>
      </w:r>
    </w:p>
    <w:p w14:paraId="50F224F3" w14:textId="59A483D9" w:rsidR="00B869BA" w:rsidRDefault="00993F59" w:rsidP="00993F59">
      <w:r>
        <w:t xml:space="preserve">Budou stanoveny přesné podmínky, bez jejichž splnění nebude možné skupinové řízení vést. </w:t>
      </w:r>
      <w:r w:rsidR="00C0090A">
        <w:t>Půjde jednak o podmínky obecné</w:t>
      </w:r>
      <w:r w:rsidR="00C13F23">
        <w:t>, jednak</w:t>
      </w:r>
      <w:r w:rsidR="00C0090A">
        <w:t xml:space="preserve"> o podmínky týkající se řízení kolektivního. </w:t>
      </w:r>
      <w:r>
        <w:t xml:space="preserve">Podmínky se budou týkat jak vlastností skupiny a předmětu sporu, tak i </w:t>
      </w:r>
      <w:r w:rsidR="00841B52">
        <w:t xml:space="preserve">posouzení </w:t>
      </w:r>
      <w:r>
        <w:t xml:space="preserve">vhodnosti </w:t>
      </w:r>
      <w:r w:rsidR="00841B52">
        <w:t>skupinového řízení pro daný spor.</w:t>
      </w:r>
    </w:p>
    <w:p w14:paraId="12341A6C" w14:textId="77777777" w:rsidR="00A53A38" w:rsidRDefault="00A53A38" w:rsidP="00FF00CD"/>
    <w:p w14:paraId="4D02ECA7" w14:textId="73E65814" w:rsidR="00C0090A" w:rsidRDefault="00FF00CD" w:rsidP="00FF00CD">
      <w:r>
        <w:t>Hlava V - Uveřejňování</w:t>
      </w:r>
    </w:p>
    <w:p w14:paraId="072371E3" w14:textId="602AB94D" w:rsidR="00C0090A" w:rsidRDefault="00C0090A" w:rsidP="00CB5EB4">
      <w:r>
        <w:t>Vzhledem k důležitosti tohoto institutu se navrhuje uveřejňování věnovat zvláštní část, v níž se vymezí různé možnosti a podoby uveřejňování</w:t>
      </w:r>
      <w:r w:rsidR="00C13F23">
        <w:t>, respektive doručování</w:t>
      </w:r>
      <w:r>
        <w:t>.</w:t>
      </w:r>
    </w:p>
    <w:p w14:paraId="48E6D9D5" w14:textId="77777777" w:rsidR="009A2F01" w:rsidRDefault="009A2F01" w:rsidP="0026318B">
      <w:pPr>
        <w:jc w:val="left"/>
      </w:pPr>
    </w:p>
    <w:p w14:paraId="733CCD6E" w14:textId="4F0DFF91" w:rsidR="00537452" w:rsidRDefault="00537452" w:rsidP="0026318B">
      <w:pPr>
        <w:jc w:val="left"/>
      </w:pPr>
      <w:r>
        <w:t xml:space="preserve">ČÁST </w:t>
      </w:r>
      <w:r w:rsidR="00BD27C1">
        <w:t xml:space="preserve">DRUHÁ </w:t>
      </w:r>
    </w:p>
    <w:p w14:paraId="6712393C" w14:textId="77777777" w:rsidR="00BD27C1" w:rsidRDefault="00BD27C1" w:rsidP="0026318B">
      <w:pPr>
        <w:jc w:val="left"/>
      </w:pPr>
      <w:r>
        <w:t>PRŮBĚH ŘÍZENÍ</w:t>
      </w:r>
    </w:p>
    <w:p w14:paraId="1DEE1B01" w14:textId="77777777" w:rsidR="00BD27C1" w:rsidRDefault="00BD27C1" w:rsidP="0026318B">
      <w:pPr>
        <w:jc w:val="left"/>
      </w:pPr>
    </w:p>
    <w:p w14:paraId="13C8420D" w14:textId="08C62075" w:rsidR="00103455" w:rsidRDefault="00BD27C1" w:rsidP="0026318B">
      <w:pPr>
        <w:jc w:val="left"/>
      </w:pPr>
      <w:r>
        <w:t>Hlava I - Zahájení řízení</w:t>
      </w:r>
    </w:p>
    <w:p w14:paraId="5F57A7FB" w14:textId="3024994C" w:rsidR="00C0090A" w:rsidRDefault="00F75200" w:rsidP="00C2225F">
      <w:r>
        <w:t>Tato část bud</w:t>
      </w:r>
      <w:r w:rsidR="002E6239">
        <w:t xml:space="preserve">e vymezovat </w:t>
      </w:r>
      <w:r w:rsidR="00C0090A">
        <w:t>způsob zahájení řízení a vztah k řízením individuálním.</w:t>
      </w:r>
      <w:r w:rsidR="00BD27C1">
        <w:t xml:space="preserve"> Zejména zde budou upraveny náležitosti skupinové žaloby.</w:t>
      </w:r>
    </w:p>
    <w:p w14:paraId="33D7E9B1" w14:textId="77777777" w:rsidR="00BD27C1" w:rsidRDefault="00BD27C1" w:rsidP="00C2225F"/>
    <w:p w14:paraId="7D2D062F" w14:textId="2B8B9FF9" w:rsidR="00BD27C1" w:rsidRDefault="00BD27C1" w:rsidP="00C2225F">
      <w:r>
        <w:t>Hlava II - Certifikace</w:t>
      </w:r>
    </w:p>
    <w:p w14:paraId="44E702FC" w14:textId="0046D21A" w:rsidR="002E6239" w:rsidRDefault="00C0090A" w:rsidP="00A53A38">
      <w:r>
        <w:t xml:space="preserve">Dále bude řešena první fáze řízení v podobě </w:t>
      </w:r>
      <w:r w:rsidR="002E6239">
        <w:t>tzv. certifikační</w:t>
      </w:r>
      <w:r>
        <w:t>ho</w:t>
      </w:r>
      <w:r w:rsidR="002E6239">
        <w:t xml:space="preserve"> řízení</w:t>
      </w:r>
      <w:r>
        <w:t>. V něm</w:t>
      </w:r>
      <w:r w:rsidR="002E6239">
        <w:t xml:space="preserve"> bude</w:t>
      </w:r>
      <w:r>
        <w:t xml:space="preserve"> soud</w:t>
      </w:r>
      <w:r w:rsidR="002E6239">
        <w:t xml:space="preserve"> posuzovat splnění podmínek podle části třetí. Současně zde bude upravena forma projednání certifikace </w:t>
      </w:r>
      <w:r w:rsidR="00C13F23">
        <w:t>a </w:t>
      </w:r>
      <w:r w:rsidR="002E6239">
        <w:t xml:space="preserve">podoba a obsah certifikačního usnesení. </w:t>
      </w:r>
    </w:p>
    <w:p w14:paraId="257373BA" w14:textId="77777777" w:rsidR="00BD27C1" w:rsidRDefault="00BD27C1" w:rsidP="00A53A38"/>
    <w:p w14:paraId="3C6D83BD" w14:textId="49FE09A5" w:rsidR="00537452" w:rsidRDefault="002E6239" w:rsidP="00C13F23">
      <w:r>
        <w:t>Obsahem certifikačního usnesení bude informace, zda jsou splněny podmínky pro skupinové řízení</w:t>
      </w:r>
      <w:r w:rsidR="00691153">
        <w:t>,</w:t>
      </w:r>
      <w:r>
        <w:t xml:space="preserve"> a dále vymezení skupiny, předmětu sporu</w:t>
      </w:r>
      <w:r w:rsidR="002A39B7">
        <w:t xml:space="preserve">, ustanovení zástupce skupiny, </w:t>
      </w:r>
      <w:r w:rsidR="009A2F01">
        <w:t xml:space="preserve">zda se soud rozhodl pro opt-in </w:t>
      </w:r>
      <w:r w:rsidR="00C13F23">
        <w:t xml:space="preserve">namísto </w:t>
      </w:r>
      <w:r w:rsidR="009A2F01">
        <w:t xml:space="preserve">opt-out, </w:t>
      </w:r>
      <w:r w:rsidR="002A39B7">
        <w:t xml:space="preserve">lhůty pro </w:t>
      </w:r>
      <w:r w:rsidR="002A39B7" w:rsidRPr="002A39B7">
        <w:rPr>
          <w:i/>
        </w:rPr>
        <w:t>opt-out</w:t>
      </w:r>
      <w:r w:rsidR="002A39B7">
        <w:t xml:space="preserve">, popř. </w:t>
      </w:r>
      <w:r w:rsidR="002A39B7" w:rsidRPr="002A39B7">
        <w:rPr>
          <w:i/>
        </w:rPr>
        <w:t>opt-in</w:t>
      </w:r>
      <w:r w:rsidR="002A39B7">
        <w:t xml:space="preserve"> a způsob uveřejňování informací o probíhajícím skupinovém řízení. </w:t>
      </w:r>
    </w:p>
    <w:p w14:paraId="3B69B05F" w14:textId="77777777" w:rsidR="00841B52" w:rsidRDefault="00841B52" w:rsidP="00A53A38"/>
    <w:p w14:paraId="540C8B4F" w14:textId="482FAD26" w:rsidR="002A39B7" w:rsidRDefault="00D73663" w:rsidP="00A53A38">
      <w:r>
        <w:t>Stanovena bude taktéž právní moc a vykonatelnost certifikačního usnesení</w:t>
      </w:r>
      <w:r w:rsidR="001F4639">
        <w:t xml:space="preserve"> a možnost podat proti němu opravný prostředek. Rovněž budou řešeny následky pozitivního a negativního certifikačního rozhodnutí, vč. otázky promlčení případných nároků.</w:t>
      </w:r>
    </w:p>
    <w:p w14:paraId="00492D5F" w14:textId="77777777" w:rsidR="002A39B7" w:rsidRDefault="002A39B7" w:rsidP="0026318B">
      <w:pPr>
        <w:jc w:val="left"/>
      </w:pPr>
    </w:p>
    <w:p w14:paraId="1EC891BE" w14:textId="5456D0DE" w:rsidR="00537452" w:rsidRDefault="00BD27C1" w:rsidP="0026318B">
      <w:pPr>
        <w:jc w:val="left"/>
      </w:pPr>
      <w:r>
        <w:t>Hlava III - Průběh řízení po certifikaci</w:t>
      </w:r>
    </w:p>
    <w:p w14:paraId="548AE700" w14:textId="7488F440" w:rsidR="003D275D" w:rsidRDefault="00691153" w:rsidP="00AE28A0">
      <w:r>
        <w:t>Tato č</w:t>
      </w:r>
      <w:r w:rsidR="003D275D">
        <w:t xml:space="preserve">ást </w:t>
      </w:r>
      <w:r>
        <w:t>bude obsahovat</w:t>
      </w:r>
      <w:r w:rsidR="003D275D">
        <w:t xml:space="preserve"> ustanovení o vedení</w:t>
      </w:r>
      <w:r w:rsidR="00FD29D1">
        <w:t xml:space="preserve"> skupinového řízení a vymezení dalšího průběhu řízení po certifikaci. Upraveny budou</w:t>
      </w:r>
      <w:r w:rsidR="001F4639">
        <w:t xml:space="preserve"> zejm. výjimky z běžného průběhu řízení podle obecného procesního předpisu. Řešeny tak budou</w:t>
      </w:r>
      <w:r w:rsidR="00FD29D1">
        <w:t xml:space="preserve"> kupř. </w:t>
      </w:r>
      <w:r w:rsidR="001F4639">
        <w:t xml:space="preserve">přihlašování do řízení, </w:t>
      </w:r>
      <w:r w:rsidR="00FD29D1">
        <w:t xml:space="preserve">zamítnutí skupinové žaloby </w:t>
      </w:r>
      <w:r w:rsidR="00C13F23">
        <w:t>a </w:t>
      </w:r>
      <w:r w:rsidR="00FD29D1">
        <w:t xml:space="preserve">v neposlední řadě dispoziční úkony a dohledová činnost </w:t>
      </w:r>
      <w:r w:rsidR="00446A9C">
        <w:t xml:space="preserve">soudu </w:t>
      </w:r>
      <w:r w:rsidR="00FD29D1">
        <w:t>nad skupinovým řízením.</w:t>
      </w:r>
    </w:p>
    <w:p w14:paraId="05E1359F" w14:textId="77777777" w:rsidR="00537452" w:rsidRDefault="00537452" w:rsidP="0026318B">
      <w:pPr>
        <w:jc w:val="left"/>
      </w:pPr>
    </w:p>
    <w:p w14:paraId="6C7B3254" w14:textId="77777777" w:rsidR="00BD27C1" w:rsidRDefault="00BD27C1" w:rsidP="00BD27C1">
      <w:pPr>
        <w:jc w:val="left"/>
      </w:pPr>
      <w:r>
        <w:t>Hlava IV - Smír</w:t>
      </w:r>
    </w:p>
    <w:p w14:paraId="4D46B4BB" w14:textId="68EA3842" w:rsidR="00BD27C1" w:rsidRDefault="00BD27C1" w:rsidP="00BD27C1">
      <w:r>
        <w:t xml:space="preserve">Odkázáno bude na postup podle ustanovení § 99 o.s.ř., avšak zároveň bude doplněno o ustanovení vymezující soudní přezkum smíru pro skupinové řízení, které bude zohledňovat </w:t>
      </w:r>
      <w:r w:rsidR="00C13F23">
        <w:t xml:space="preserve">společné </w:t>
      </w:r>
      <w:r>
        <w:t>zájmy všech členů skupiny. Rovněž tak bude řešena otázka nového práva „opt-out“ a následky tohoto „opt-outu“.</w:t>
      </w:r>
    </w:p>
    <w:p w14:paraId="6B699E5D" w14:textId="77777777" w:rsidR="00BD27C1" w:rsidRDefault="00BD27C1" w:rsidP="00AE28A0"/>
    <w:p w14:paraId="33CDEEA7" w14:textId="272C1A0E" w:rsidR="00BD27C1" w:rsidRDefault="00BD27C1" w:rsidP="001D16EA">
      <w:r>
        <w:t>Hlava V - Náklady řízení</w:t>
      </w:r>
    </w:p>
    <w:p w14:paraId="2EDCFB39" w14:textId="43FD990B" w:rsidR="00BD27C1" w:rsidRDefault="00BD27C1" w:rsidP="001D16EA">
      <w:r>
        <w:t xml:space="preserve">Tato část bude věnována nákladům a odměnám ve skupinovém řízení. Konkrétně se bude jednat </w:t>
      </w:r>
      <w:r w:rsidR="00C13F23">
        <w:t xml:space="preserve">o pravidla </w:t>
      </w:r>
      <w:r>
        <w:t>placení nákladů skupinového řízení, včetně stanovení mo</w:t>
      </w:r>
      <w:r w:rsidR="001D16EA">
        <w:t xml:space="preserve">žných záloh. Dále bude upraveno </w:t>
      </w:r>
      <w:r w:rsidR="00C13F23">
        <w:t xml:space="preserve">rozhodování o odměně </w:t>
      </w:r>
      <w:r>
        <w:t xml:space="preserve">pro </w:t>
      </w:r>
      <w:r w:rsidR="00AC5467">
        <w:t>advokáta</w:t>
      </w:r>
      <w:r>
        <w:t>.</w:t>
      </w:r>
    </w:p>
    <w:p w14:paraId="2F4C8B72" w14:textId="77777777" w:rsidR="00BD27C1" w:rsidRDefault="00BD27C1" w:rsidP="00BD27C1"/>
    <w:p w14:paraId="363D8E44" w14:textId="61F06406" w:rsidR="00BD27C1" w:rsidRDefault="00BD27C1" w:rsidP="00BD27C1">
      <w:r>
        <w:t>Hlava VI - Rozsudek</w:t>
      </w:r>
    </w:p>
    <w:p w14:paraId="7287A6C2" w14:textId="77777777" w:rsidR="00BD27C1" w:rsidRDefault="00BD27C1" w:rsidP="00BD27C1">
      <w:r>
        <w:t>Vymezena bude forma výroku skupinového rozsudku, a to vzhledem k různým typům uplatňovaných nároků. Dále bude řešena závaznost rozsudku. Zároveň bude dán obsah rozsudku stanovující všechny náležitosti nezbytné pro jeho následný výkon.</w:t>
      </w:r>
    </w:p>
    <w:p w14:paraId="03697897" w14:textId="77777777" w:rsidR="005D3F18" w:rsidRDefault="005D3F18" w:rsidP="00BD27C1"/>
    <w:p w14:paraId="0A8D9499" w14:textId="1B96D16F" w:rsidR="00537452" w:rsidRDefault="00537452" w:rsidP="00C2225F">
      <w:r>
        <w:t xml:space="preserve">ČÁST </w:t>
      </w:r>
      <w:r w:rsidR="00BD27C1">
        <w:t>TŘETÍ</w:t>
      </w:r>
    </w:p>
    <w:p w14:paraId="748A6C2C" w14:textId="74869019" w:rsidR="00537452" w:rsidRDefault="00537452" w:rsidP="00C2225F">
      <w:r>
        <w:t>OPRAVNÉ PROSTŘEDKY</w:t>
      </w:r>
    </w:p>
    <w:p w14:paraId="0557E996" w14:textId="59155B6F" w:rsidR="00AE28A0" w:rsidRDefault="00AE28A0" w:rsidP="00C2225F">
      <w:r>
        <w:t>Předně bude zakotvena úprava skupinové legitimace k podání opravného prostředku, tj. okruh osob mající</w:t>
      </w:r>
      <w:r w:rsidR="00BD27C1">
        <w:t>ch</w:t>
      </w:r>
      <w:r>
        <w:t xml:space="preserve"> právo podat opravný prostředek. </w:t>
      </w:r>
      <w:r w:rsidR="008B40B3">
        <w:t>Následně bude upraven řádný opravný prostředek a též možnost podání mimořádných opravných prostředků ve skupinovém řízení.</w:t>
      </w:r>
    </w:p>
    <w:p w14:paraId="206C4457" w14:textId="77777777" w:rsidR="00537452" w:rsidRDefault="00537452" w:rsidP="0026318B">
      <w:pPr>
        <w:jc w:val="left"/>
      </w:pPr>
    </w:p>
    <w:p w14:paraId="17276BBD" w14:textId="4AC7F6C2" w:rsidR="00537452" w:rsidRDefault="00537452" w:rsidP="0026318B">
      <w:pPr>
        <w:jc w:val="left"/>
      </w:pPr>
      <w:r>
        <w:t xml:space="preserve">ČÁST </w:t>
      </w:r>
      <w:r w:rsidR="00BD27C1">
        <w:t>ČTVRTÁ</w:t>
      </w:r>
    </w:p>
    <w:p w14:paraId="327B99CC" w14:textId="13899706" w:rsidR="00BD27C1" w:rsidRDefault="009429B8" w:rsidP="0026318B">
      <w:pPr>
        <w:jc w:val="left"/>
      </w:pPr>
      <w:r>
        <w:t>ZPŮSOB S</w:t>
      </w:r>
      <w:r w:rsidR="00BD27C1">
        <w:t>PLNĚNÍ A VÝKON ROZHODNUTÍ</w:t>
      </w:r>
    </w:p>
    <w:p w14:paraId="74524D89" w14:textId="663BD060" w:rsidR="00BD27C1" w:rsidRDefault="00BD27C1" w:rsidP="0026318B">
      <w:pPr>
        <w:jc w:val="left"/>
      </w:pPr>
      <w:r>
        <w:t xml:space="preserve">V této části bude podrobněji upraven způsob splnění rozhodnutí, distribuce výsledné částky mezi oprávněné osoby, dohled soudu nad distribuujícím advokátem. V případě nedobrovolného plnění budou rovněž řešeny otázky výkonu rozhodnutí. </w:t>
      </w:r>
    </w:p>
    <w:p w14:paraId="1FB5EF2F" w14:textId="77777777" w:rsidR="00BD27C1" w:rsidRDefault="00BD27C1" w:rsidP="0026318B">
      <w:pPr>
        <w:jc w:val="left"/>
      </w:pPr>
    </w:p>
    <w:p w14:paraId="21A59EAA" w14:textId="69C4A943" w:rsidR="00BD27C1" w:rsidRDefault="00BD27C1" w:rsidP="0026318B">
      <w:pPr>
        <w:jc w:val="left"/>
      </w:pPr>
      <w:r>
        <w:t>ČÁST PÁTÁ</w:t>
      </w:r>
    </w:p>
    <w:p w14:paraId="5E5CEAAE" w14:textId="42936A0A" w:rsidR="00537452" w:rsidRDefault="001D16EA" w:rsidP="0026318B">
      <w:pPr>
        <w:jc w:val="left"/>
      </w:pPr>
      <w:r>
        <w:t>CENTRÁLNÍ DATABÁZE HROMADNÝCH ŘÍZENÍ</w:t>
      </w:r>
    </w:p>
    <w:p w14:paraId="34E93C4A" w14:textId="2C904619" w:rsidR="00537452" w:rsidRDefault="00230249" w:rsidP="005A4CCC">
      <w:r>
        <w:t>Pro účely uveřej</w:t>
      </w:r>
      <w:r w:rsidR="009C7570">
        <w:t xml:space="preserve">ňování informací o </w:t>
      </w:r>
      <w:r>
        <w:t>probíhajících skupinových řízení</w:t>
      </w:r>
      <w:r w:rsidR="009429B8">
        <w:t>ch</w:t>
      </w:r>
      <w:r w:rsidR="00A959DF">
        <w:t>,</w:t>
      </w:r>
      <w:r>
        <w:t xml:space="preserve"> bude </w:t>
      </w:r>
      <w:r w:rsidR="009C7570">
        <w:t>z</w:t>
      </w:r>
      <w:r>
        <w:t>řízen</w:t>
      </w:r>
      <w:r w:rsidR="001D16EA">
        <w:t>o</w:t>
      </w:r>
      <w:r>
        <w:t xml:space="preserve"> příslušn</w:t>
      </w:r>
      <w:r w:rsidR="001D16EA">
        <w:t>é centrální místo, které</w:t>
      </w:r>
      <w:r w:rsidR="009429B8">
        <w:t xml:space="preserve"> bude veřejně přístupn</w:t>
      </w:r>
      <w:r w:rsidR="001D16EA">
        <w:t>é</w:t>
      </w:r>
      <w:r>
        <w:t xml:space="preserve">. </w:t>
      </w:r>
      <w:r w:rsidR="009C7570">
        <w:t xml:space="preserve">Uveden bude obsah </w:t>
      </w:r>
      <w:r w:rsidR="001D16EA">
        <w:t>databáze</w:t>
      </w:r>
      <w:r w:rsidR="00A959DF">
        <w:t xml:space="preserve">, resp. vymezení všech údajů, které bude </w:t>
      </w:r>
      <w:r w:rsidR="001D16EA">
        <w:t>databáze</w:t>
      </w:r>
      <w:r w:rsidR="00A959DF">
        <w:t xml:space="preserve"> obsahovat. Naopak budou i stanoveny údaje, které se zveřejňovat nebudou – např. rodná čísla, data narození či místa pobytu fyzických osob. </w:t>
      </w:r>
    </w:p>
    <w:p w14:paraId="0BF82C64" w14:textId="35DDE7D4" w:rsidR="001D16EA" w:rsidRDefault="001D16EA">
      <w:pPr>
        <w:keepNext w:val="0"/>
        <w:spacing w:line="240" w:lineRule="auto"/>
        <w:jc w:val="left"/>
      </w:pPr>
      <w:r>
        <w:br w:type="page"/>
      </w:r>
    </w:p>
    <w:p w14:paraId="26BBC8EE" w14:textId="22DDF708" w:rsidR="00785D03" w:rsidRPr="002D78DE" w:rsidRDefault="00785D03" w:rsidP="00785D03">
      <w:pPr>
        <w:pStyle w:val="Nadpis2"/>
      </w:pPr>
      <w:r w:rsidRPr="002D78DE">
        <w:t>Soulad</w:t>
      </w:r>
    </w:p>
    <w:p w14:paraId="4A97211B" w14:textId="3FD88556" w:rsidR="00785D03" w:rsidRDefault="00B56403" w:rsidP="00785D03">
      <w:pPr>
        <w:pStyle w:val="Nadpis3"/>
      </w:pPr>
      <w:r w:rsidRPr="002D78DE">
        <w:t>Soulad s ú</w:t>
      </w:r>
      <w:r w:rsidR="00785D03" w:rsidRPr="002D78DE">
        <w:t>stavním pořádkem</w:t>
      </w:r>
    </w:p>
    <w:p w14:paraId="2AFD68F7" w14:textId="77777777" w:rsidR="00870011" w:rsidRDefault="00870011" w:rsidP="00870011">
      <w:r>
        <w:t xml:space="preserve">V obecné rovině lze konstatovat, že zavedení institutu tzv. hromadných žalob je z pohledu ústavněprávního </w:t>
      </w:r>
      <w:r w:rsidRPr="00FA1549">
        <w:t>zcela neutrální</w:t>
      </w:r>
      <w:r>
        <w:t xml:space="preserve">. Existence kolektivního řízení není </w:t>
      </w:r>
      <w:r>
        <w:rPr>
          <w:i/>
        </w:rPr>
        <w:t xml:space="preserve">per se </w:t>
      </w:r>
      <w:r>
        <w:t xml:space="preserve">ústavním pořádkem České republiky (ve smyslu čl. 112 Ústavy) vyloučena, resp. jakkoliv upravena. Na druhou stranu je zjevné, že ústavní pořádek stanovuje zákonodárci jasné limity, jakou právní úpravu kolektivního řízení je možné </w:t>
      </w:r>
      <w:r>
        <w:rPr>
          <w:i/>
        </w:rPr>
        <w:t xml:space="preserve">in concreto </w:t>
      </w:r>
      <w:r>
        <w:t>přijmout. Takovýmto limitem je v prvé řadě čl. 36 Listiny základních práv a svobod (dále jen „Listina“), který zakotvuje právo na spravedlivý proces. Nicméně předtím, nežli bude přistoupeno k samotnému posouzení navrhované právní úpravy kolektivního řízení prizmatem ústavního pořádku České republiky, je třeba před závorku vytknout několik skutečností.</w:t>
      </w:r>
    </w:p>
    <w:p w14:paraId="52D3B1F9" w14:textId="77777777" w:rsidR="00870011" w:rsidRDefault="00870011" w:rsidP="00870011"/>
    <w:p w14:paraId="56B08905" w14:textId="77777777" w:rsidR="00870011" w:rsidRDefault="00870011" w:rsidP="00870011">
      <w:r>
        <w:t xml:space="preserve">Zaprvé, vzhledem k absenci komplexní právní úpravy tzv. hromadných žalob neexistuje k této problematice judikatura Ústavního soudu. Tento výrok je ovšem nezbytné poněkud relativizovat, neboť k § 83 a 159a občanského soudního řádu se Ústavní soud již v minulosti vyjadřoval (viz např. III. ÚS 973/14). Rovněž je možné ve vztahu k vybraným aspektům kolektivního řízení vzít </w:t>
      </w:r>
      <w:r>
        <w:rPr>
          <w:i/>
        </w:rPr>
        <w:t xml:space="preserve">mutatis mutandis </w:t>
      </w:r>
      <w:r>
        <w:t>v úvahu judikaturu Ústavního soudu týkající se podobných (byť vzdáleně) řízení (jako např. judikaturu týkající se insolvenčního řízení).</w:t>
      </w:r>
    </w:p>
    <w:p w14:paraId="1E5F8263" w14:textId="77777777" w:rsidR="00870011" w:rsidRDefault="00870011" w:rsidP="00870011"/>
    <w:p w14:paraId="4D8574FC" w14:textId="77777777" w:rsidR="00870011" w:rsidRDefault="00870011" w:rsidP="00870011">
      <w:r>
        <w:t>Zadruhé, Ústavní soud jednoznačně judikoval, že součástí referenčního hlediska přezkumu ústavnosti vnitrostátního práva jsou i ratifikované a vyhlášené mezinárodní smlouvy o lidských právem a základních svobodách (viz Pl. ÚS 30/01). V tomto ohledu je proto nutné zvažovat i tyto mezinárodní smlouvy, zejména pak Evropskou úmluvu o ochraně lidských práv a základních svobod (dále jen „Úmluva“).</w:t>
      </w:r>
    </w:p>
    <w:p w14:paraId="59C0CA5B" w14:textId="77777777" w:rsidR="00870011" w:rsidRDefault="00870011" w:rsidP="00870011"/>
    <w:p w14:paraId="13E5BE2B" w14:textId="7593956F" w:rsidR="00870011" w:rsidRDefault="00870011" w:rsidP="00870011">
      <w:r>
        <w:t>Zatřetí, naopak Listina základních práv EU dle Ústavního soudu nemá sloužit jako referenční rámec pro posuzování ústavnosti (viz Pl. ÚS 19/08). Navíc platí, že Listina základních práv EU je pro členské státy závazná pouze</w:t>
      </w:r>
      <w:r w:rsidR="00231DA2">
        <w:t>,</w:t>
      </w:r>
      <w:r>
        <w:t xml:space="preserve"> pokud uplatňují právo EU (viz čl. 51 odst. 1 Listiny základních práv EU), což je Soudním dvorem EU vykládáno jako okolnost, že dotčená vnitrostátní úprava spadá do působnosti unijního práva (viz např. rozsudek ze dne 26. září 2013, Texdata, C-418/11, </w:t>
      </w:r>
      <w:r w:rsidRPr="003450FE">
        <w:t>ECLI:EU:C:2013:588</w:t>
      </w:r>
      <w:r>
        <w:t xml:space="preserve">, bod 72). V tomto ohledu je nezbytné </w:t>
      </w:r>
      <w:r w:rsidRPr="00036779">
        <w:t>zdůraznit, že v oblasti kolektivního řízení neexistuje konkrétní unijní právní úprava.</w:t>
      </w:r>
    </w:p>
    <w:p w14:paraId="1D5E5B5A" w14:textId="77777777" w:rsidR="00D16266" w:rsidRPr="00036779" w:rsidRDefault="00D16266" w:rsidP="00870011"/>
    <w:p w14:paraId="47E33B46" w14:textId="0B5685E6" w:rsidR="00D16266" w:rsidRDefault="00870011" w:rsidP="009429B8">
      <w:r w:rsidRPr="00036779">
        <w:t>Začtvrté, i ústavně garantovaná práva a svobody je možné omezit (viz čl. 4 Listiny základních práv a svobod). Nicméně musí se tak dít (i) prostřednictvím zákona; (ii) musí být šetřeno podstaty a</w:t>
      </w:r>
      <w:r w:rsidR="005D3F18">
        <w:t> </w:t>
      </w:r>
      <w:r w:rsidRPr="00036779">
        <w:t xml:space="preserve">smyslu těchto práv a svobod a konečně (iii) takovéto omezení musí být proporcionální, tj. omezení </w:t>
      </w:r>
      <w:r>
        <w:t xml:space="preserve">musí sledovat </w:t>
      </w:r>
      <w:r w:rsidRPr="00036779">
        <w:t>legitimní c</w:t>
      </w:r>
      <w:r>
        <w:t>íl</w:t>
      </w:r>
      <w:r w:rsidRPr="00036779">
        <w:t xml:space="preserve">, </w:t>
      </w:r>
      <w:r>
        <w:t>být</w:t>
      </w:r>
      <w:r w:rsidRPr="00036779">
        <w:t xml:space="preserve"> způsobilé tohoto cíle dosáhnout, </w:t>
      </w:r>
      <w:r>
        <w:t>nepřekračovat</w:t>
      </w:r>
      <w:r w:rsidRPr="00036779">
        <w:t xml:space="preserve"> meze toho, co je nezbytně nutné</w:t>
      </w:r>
      <w:r>
        <w:t>,</w:t>
      </w:r>
      <w:r w:rsidRPr="00036779">
        <w:t xml:space="preserve"> a zároveň </w:t>
      </w:r>
      <w:r>
        <w:t>musí být splněn prvek přiměřenosti [</w:t>
      </w:r>
      <w:r w:rsidRPr="00036779">
        <w:t xml:space="preserve">proporcionalita </w:t>
      </w:r>
      <w:r>
        <w:rPr>
          <w:i/>
        </w:rPr>
        <w:t>stricto sensu</w:t>
      </w:r>
      <w:r>
        <w:t xml:space="preserve"> </w:t>
      </w:r>
      <w:r w:rsidRPr="00036779">
        <w:t>(viz BARTOŇ, Michal, Jan KRATOCHVÍL, Martin KOPA, Maxim TOMOSZEK, Jiří JIRÁSEK a</w:t>
      </w:r>
      <w:r w:rsidR="005D3F18">
        <w:t> </w:t>
      </w:r>
      <w:r w:rsidRPr="00036779">
        <w:t xml:space="preserve">Ondřej SVAČEK. </w:t>
      </w:r>
      <w:r w:rsidRPr="00036779">
        <w:rPr>
          <w:i/>
          <w:iCs/>
        </w:rPr>
        <w:t>Základní práva</w:t>
      </w:r>
      <w:r w:rsidRPr="00036779">
        <w:t>. Praha: Leges, 2016. ISBN 978-80-7502-1</w:t>
      </w:r>
      <w:r>
        <w:t>28-1, s. 95 a n. a Pl. ÚS 32/15]</w:t>
      </w:r>
      <w:r w:rsidRPr="00036779">
        <w:t>.</w:t>
      </w:r>
      <w:r>
        <w:t xml:space="preserve"> Z toho plyne, že obecně vzato u</w:t>
      </w:r>
      <w:r w:rsidRPr="00596BFA">
        <w:t>žití kolektivního řízení připadá v úvahu pouze tam, kde skutečně přispěje k rychlejšímu a efektivnějšímu vymáhání práva, a to s ohledem na nutné omezení procesních práv jednotlivých procesních subjektů.</w:t>
      </w:r>
    </w:p>
    <w:p w14:paraId="246B201C" w14:textId="77777777" w:rsidR="00D16266" w:rsidRDefault="00D16266" w:rsidP="009429B8"/>
    <w:p w14:paraId="4708B14E" w14:textId="7365D361" w:rsidR="00870011" w:rsidRDefault="00870011" w:rsidP="009429B8">
      <w:r>
        <w:t>Zapáté, p</w:t>
      </w:r>
      <w:r w:rsidRPr="00A3417D">
        <w:t>rávo na spravedlivý soudní proces patří mezi základní lidská práva charakterizující právní stát</w:t>
      </w:r>
      <w:r>
        <w:t>. V rovině mezinárodního práva je právo na spravedlivý proces upraveno především</w:t>
      </w:r>
      <w:r w:rsidRPr="00A3417D">
        <w:t xml:space="preserve"> v čl. 14 Mezinárodního paktu o občanských a politických právech a v čl. 6 </w:t>
      </w:r>
      <w:r>
        <w:t>Úmluvy</w:t>
      </w:r>
      <w:r w:rsidRPr="00A3417D">
        <w:t xml:space="preserve">, který stanoví, že každý má právo na to, aby jeho věc byla spravedlivě, veřejně a v </w:t>
      </w:r>
      <w:r w:rsidR="001C441B">
        <w:t>přiměřené</w:t>
      </w:r>
      <w:r w:rsidR="001C441B" w:rsidRPr="00A3417D">
        <w:t xml:space="preserve"> </w:t>
      </w:r>
      <w:r w:rsidRPr="00A3417D">
        <w:t xml:space="preserve">lhůtě projednána nezávislým a nestranným soudem zřízeným zákonem, který rozhodne o jeho občanských právech nebo </w:t>
      </w:r>
      <w:r w:rsidR="001C441B">
        <w:t>povinnostech</w:t>
      </w:r>
      <w:r w:rsidR="001C441B" w:rsidRPr="00A3417D">
        <w:t xml:space="preserve"> </w:t>
      </w:r>
      <w:r w:rsidRPr="00A3417D">
        <w:t xml:space="preserve">nebo o oprávněnosti jakéhokoli trestního obvinění proti němu. Zárukou </w:t>
      </w:r>
      <w:r>
        <w:t>práva na spravedlivý proces</w:t>
      </w:r>
      <w:r w:rsidRPr="00A3417D">
        <w:t xml:space="preserve"> je uplatnění zásad spravedlivého procesu: přístup k soudu, právo na soudní a jinou právní ochranu, rovnost „zbraní“ spojená zejména v civilním řízení</w:t>
      </w:r>
      <w:r>
        <w:t xml:space="preserve"> </w:t>
      </w:r>
      <w:r w:rsidR="001C441B">
        <w:t> </w:t>
      </w:r>
      <w:r w:rsidR="001C441B" w:rsidRPr="00A3417D">
        <w:t>s</w:t>
      </w:r>
      <w:r w:rsidR="001C441B">
        <w:t> </w:t>
      </w:r>
      <w:r w:rsidRPr="00A3417D">
        <w:t>principem kontradiktornosti, nezávislost a nestrannost so</w:t>
      </w:r>
      <w:r>
        <w:t xml:space="preserve">udu (v podrobnostech ŠIMÁČKOVÁ, Kateřina. Právo na spravedlivý proces v prostoru Evropských společenství. </w:t>
      </w:r>
      <w:r>
        <w:rPr>
          <w:i/>
        </w:rPr>
        <w:t>Právní forum</w:t>
      </w:r>
      <w:r>
        <w:t>. 11/2005, s. 421 a n</w:t>
      </w:r>
      <w:r w:rsidRPr="00A3417D">
        <w:t>.</w:t>
      </w:r>
      <w:r>
        <w:t>).</w:t>
      </w:r>
    </w:p>
    <w:p w14:paraId="239BBFCD" w14:textId="77777777" w:rsidR="00870011" w:rsidRDefault="00870011" w:rsidP="00870011"/>
    <w:p w14:paraId="3386E1F7" w14:textId="77777777" w:rsidR="00870011" w:rsidRDefault="00870011" w:rsidP="00870011">
      <w:r>
        <w:t xml:space="preserve">Zašesté, v České republice je právo na spravedlivý proces </w:t>
      </w:r>
      <w:r w:rsidRPr="00A3417D">
        <w:t xml:space="preserve">v rámci práva na soudní a jinou právní ochranu ústavně garantováno především čl. 36 odst. 1 </w:t>
      </w:r>
      <w:r>
        <w:t>Listiny základních práv a svobod</w:t>
      </w:r>
      <w:r w:rsidRPr="00A3417D">
        <w:t xml:space="preserve">, podle něhož se každý může domáhat stanoveným postupem svého práva u nezávislého a nestranného soudu a ve stanovených případech u jiného orgánu. Toto ústavou deklarované </w:t>
      </w:r>
      <w:r>
        <w:t>právo</w:t>
      </w:r>
      <w:r w:rsidRPr="00A3417D">
        <w:t xml:space="preserve"> interpretované nálezy Ústavního soudu zaručuje každému zákonné a ústavnímu pořádku odpovídající posouzení jeho zákonem garantovaného subjektivního práva při respektování ka</w:t>
      </w:r>
      <w:r>
        <w:t xml:space="preserve">utel vyplývajících z čl. 95 Ústavy (v podrobnostech viz </w:t>
      </w:r>
      <w:r w:rsidRPr="00474A50">
        <w:rPr>
          <w:i/>
        </w:rPr>
        <w:t>Listina základních práv a svobod</w:t>
      </w:r>
      <w:r w:rsidRPr="00474A50">
        <w:t xml:space="preserve">: </w:t>
      </w:r>
      <w:r w:rsidRPr="00474A50">
        <w:rPr>
          <w:i/>
        </w:rPr>
        <w:t>komentář</w:t>
      </w:r>
      <w:r w:rsidRPr="00474A50">
        <w:t>. Praha: Wolters Kluwer Česká republika, 2012. ISBN 978-80-73</w:t>
      </w:r>
      <w:r>
        <w:t xml:space="preserve">57-750-6, s. 725 a n. a odkazy na judikaturu tam uvedené). </w:t>
      </w:r>
      <w:r w:rsidRPr="00A3417D">
        <w:t xml:space="preserve">Přístup k soudu je </w:t>
      </w:r>
      <w:r>
        <w:t xml:space="preserve">pak </w:t>
      </w:r>
      <w:r w:rsidRPr="00A3417D">
        <w:t>garantován čl. 90 Úst</w:t>
      </w:r>
      <w:r>
        <w:t>avy</w:t>
      </w:r>
      <w:r w:rsidRPr="00A3417D">
        <w:t>, podle kterého jsou soudy povinny, aby zákonem stanoveným způsobem poskytovaly ochranu právům</w:t>
      </w:r>
      <w:r>
        <w:t xml:space="preserve"> (v podrobnostech viz </w:t>
      </w:r>
      <w:r w:rsidRPr="009E1320">
        <w:t>SLÁDEČEK, Vladimír</w:t>
      </w:r>
      <w:r>
        <w:t xml:space="preserve"> et al</w:t>
      </w:r>
      <w:r w:rsidRPr="009E1320">
        <w:t xml:space="preserve">. </w:t>
      </w:r>
      <w:r w:rsidRPr="009E1320">
        <w:rPr>
          <w:i/>
        </w:rPr>
        <w:t>Ústava České republiky</w:t>
      </w:r>
      <w:r w:rsidRPr="009E1320">
        <w:t xml:space="preserve">: </w:t>
      </w:r>
      <w:r w:rsidRPr="009E1320">
        <w:rPr>
          <w:i/>
        </w:rPr>
        <w:t>komentář</w:t>
      </w:r>
      <w:r w:rsidRPr="009E1320">
        <w:t xml:space="preserve">. 2. vydání. V Praze: C.H. Beck, 2016. </w:t>
      </w:r>
      <w:r>
        <w:t>ISBN 978-80-7400-590-9, s. 1048 a n.)</w:t>
      </w:r>
      <w:r w:rsidRPr="00A3417D">
        <w:t xml:space="preserve">. </w:t>
      </w:r>
    </w:p>
    <w:p w14:paraId="75FA0018" w14:textId="77777777" w:rsidR="00D54CE4" w:rsidRDefault="00D54CE4" w:rsidP="00870011"/>
    <w:p w14:paraId="12E2A24A" w14:textId="66B6698B" w:rsidR="00D54CE4" w:rsidRPr="00A076A6" w:rsidRDefault="00D54CE4" w:rsidP="00A076A6">
      <w:r>
        <w:t xml:space="preserve">V souvislosti s ústavně-konformním posuzováním </w:t>
      </w:r>
      <w:r w:rsidR="00231DA2" w:rsidRPr="00231DA2">
        <w:t>tzv. hromadných žalob</w:t>
      </w:r>
      <w:r>
        <w:rPr>
          <w:i/>
        </w:rPr>
        <w:t xml:space="preserve"> </w:t>
      </w:r>
      <w:r>
        <w:t xml:space="preserve">je možné zmínit rovněž vybraná rozhodnutí zahraničních soudů v Evropě. Německý Spolkový ústavní soud kupříkladu jednoznačně dovodil, že americká </w:t>
      </w:r>
      <w:r>
        <w:rPr>
          <w:i/>
        </w:rPr>
        <w:t xml:space="preserve">class action </w:t>
      </w:r>
      <w:r>
        <w:t>není v rozporu se základními principy svobodného</w:t>
      </w:r>
      <w:r w:rsidR="006C3D4E">
        <w:t xml:space="preserve"> právního státu (zejm. </w:t>
      </w:r>
      <w:r>
        <w:t>čl. 2 odst. 1 Základního zákona</w:t>
      </w:r>
      <w:r w:rsidR="006C3D4E">
        <w:t>)</w:t>
      </w:r>
      <w:r w:rsidR="00BB5601">
        <w:t>.</w:t>
      </w:r>
      <w:r>
        <w:t xml:space="preserve"> Americkou kolektivní žalobu tak lze v rámci mezinárodní spolupráce doručit žalovanému</w:t>
      </w:r>
      <w:r w:rsidR="00F5562B">
        <w:t>, který má sídlo</w:t>
      </w:r>
      <w:r>
        <w:t xml:space="preserve"> v Německu (usnesení Spolkového ústavního soudu ze dne </w:t>
      </w:r>
      <w:r w:rsidRPr="00D54CE4">
        <w:t xml:space="preserve">14. </w:t>
      </w:r>
      <w:r>
        <w:t>června 2007, sp. zn.</w:t>
      </w:r>
      <w:r w:rsidRPr="00D54CE4">
        <w:t xml:space="preserve"> 2 BvR 2247/06</w:t>
      </w:r>
      <w:r>
        <w:t>).</w:t>
      </w:r>
      <w:r w:rsidR="006C3D4E">
        <w:t xml:space="preserve"> </w:t>
      </w:r>
      <w:r w:rsidR="00F5562B">
        <w:t xml:space="preserve">Německý vrcholný soud </w:t>
      </w:r>
      <w:r w:rsidR="00BB5601">
        <w:t>šel</w:t>
      </w:r>
      <w:r w:rsidR="00F5562B">
        <w:t xml:space="preserve"> však dále </w:t>
      </w:r>
      <w:r w:rsidR="005D3F18">
        <w:t xml:space="preserve">– </w:t>
      </w:r>
      <w:r w:rsidR="00F5562B">
        <w:t>n</w:t>
      </w:r>
      <w:r w:rsidR="006C3D4E">
        <w:t xml:space="preserve">ejen, že ani sama kolektivní žaloba není v rozporu s principy demokratického právního státu, stejně tak jím není ani sankční náhrada škody (tzv. </w:t>
      </w:r>
      <w:r w:rsidR="006C3D4E">
        <w:rPr>
          <w:i/>
        </w:rPr>
        <w:t>punitive damages</w:t>
      </w:r>
      <w:r w:rsidR="006C3D4E">
        <w:t>) nebo předprocesní fáze</w:t>
      </w:r>
      <w:r w:rsidR="00F5562B">
        <w:t>, jejímž cílem je odkrytí důkazů (</w:t>
      </w:r>
      <w:r w:rsidR="006C3D4E">
        <w:t xml:space="preserve">tzv. </w:t>
      </w:r>
      <w:r w:rsidR="006C3D4E">
        <w:rPr>
          <w:i/>
        </w:rPr>
        <w:t>pre-trial discovery</w:t>
      </w:r>
      <w:r w:rsidR="00F5562B">
        <w:t>)</w:t>
      </w:r>
      <w:r w:rsidR="00F5562B">
        <w:rPr>
          <w:i/>
        </w:rPr>
        <w:t xml:space="preserve"> </w:t>
      </w:r>
      <w:r w:rsidR="00F5562B">
        <w:t xml:space="preserve">- srov. usnesení ze dne </w:t>
      </w:r>
      <w:r w:rsidR="00F5562B" w:rsidRPr="00F5562B">
        <w:t xml:space="preserve">3. </w:t>
      </w:r>
      <w:r w:rsidR="00F5562B">
        <w:t xml:space="preserve">listopadu 2015, sp. zn. </w:t>
      </w:r>
      <w:r w:rsidR="00F5562B" w:rsidRPr="00F5562B">
        <w:t>2 BvR 2019/09</w:t>
      </w:r>
      <w:r w:rsidR="006C3D4E">
        <w:t xml:space="preserve">. Spolkový ústavní soud </w:t>
      </w:r>
      <w:r w:rsidR="00F5562B">
        <w:t>shrnul</w:t>
      </w:r>
      <w:r w:rsidR="006C3D4E">
        <w:t xml:space="preserve">, </w:t>
      </w:r>
      <w:r w:rsidR="00BB5601">
        <w:t xml:space="preserve">že </w:t>
      </w:r>
      <w:r w:rsidR="006C3D4E">
        <w:t>žádný z těchto elementů amerického procesu není samostatně, ani ve své souhrnu v rozporu s</w:t>
      </w:r>
      <w:r w:rsidR="00F5562B">
        <w:t xml:space="preserve">e zásadami, na nichž je právní řád </w:t>
      </w:r>
      <w:r w:rsidR="006C3D4E">
        <w:t>Spolkové republiky Německo</w:t>
      </w:r>
      <w:r w:rsidR="00F5562B">
        <w:t xml:space="preserve"> založen (viz bod 39 cit. usnesení)</w:t>
      </w:r>
      <w:r w:rsidR="006C3D4E">
        <w:t>.</w:t>
      </w:r>
      <w:r w:rsidR="00F5562B">
        <w:t xml:space="preserve"> Takovýto rozpor by byl dán pouze ve chvíli, kdy by podaná kolektivní žaloba představovala zjevné zneužití práva </w:t>
      </w:r>
      <w:r w:rsidR="00BE48B4">
        <w:t xml:space="preserve">(bod 30 rozhodnutí sp.zn. </w:t>
      </w:r>
      <w:r w:rsidR="00BE48B4" w:rsidRPr="00D54CE4">
        <w:t>2 BvR 2247/06</w:t>
      </w:r>
      <w:r w:rsidR="00BE48B4">
        <w:t>).</w:t>
      </w:r>
      <w:r w:rsidR="00A076A6">
        <w:t xml:space="preserve"> Obdobně ústavnost kolektivní žaloby vybudované na principu opt-out nezpochybnil ani britský Competition Appeal Tribunal ve svém rozhodnutí ze dne 31.3.2017 (</w:t>
      </w:r>
      <w:r w:rsidR="00A076A6" w:rsidRPr="00A076A6">
        <w:rPr>
          <w:i/>
        </w:rPr>
        <w:t>Dorothy Gibson v Pride Mobility Products Limited</w:t>
      </w:r>
      <w:r w:rsidR="00A076A6">
        <w:t xml:space="preserve">), v němž certifikoval první žalobu podanou podle </w:t>
      </w:r>
      <w:r w:rsidR="00A076A6">
        <w:rPr>
          <w:i/>
        </w:rPr>
        <w:t>Competition Act 1998</w:t>
      </w:r>
      <w:r w:rsidR="00A076A6">
        <w:t>, a to v režimu opt-out.</w:t>
      </w:r>
    </w:p>
    <w:p w14:paraId="2919F2D7" w14:textId="77777777" w:rsidR="00870011" w:rsidRDefault="00870011" w:rsidP="00870011"/>
    <w:p w14:paraId="58979865" w14:textId="0AFD4256" w:rsidR="00870011" w:rsidRDefault="00A076A6" w:rsidP="00870011">
      <w:r>
        <w:t xml:space="preserve">Vrátíme-li se zpět do České republiky, </w:t>
      </w:r>
      <w:r w:rsidR="00870011">
        <w:t>nemá</w:t>
      </w:r>
      <w:r>
        <w:t xml:space="preserve"> pochopitelně</w:t>
      </w:r>
      <w:r w:rsidR="00870011">
        <w:t xml:space="preserve"> smysl posuzovat jednotlivě každý aspekt navrhované právní úpravy z pohledu ústavněprávního, nýbrž je třeba zaměřit se pouze na ty aspekty, které se mohou dotýkat ústavním pořádkem garantovaných práv</w:t>
      </w:r>
      <w:r w:rsidR="00D16266">
        <w:t>, a mají tedy ústavně-právní dimenzi</w:t>
      </w:r>
      <w:r w:rsidR="009E542C">
        <w:t xml:space="preserve"> [k tomu srov. též kapitolu 1.5 „(Ústavně)právní mýty spojené se zavedením hromadných žalob]</w:t>
      </w:r>
      <w:r w:rsidR="00870011">
        <w:t xml:space="preserve">. Následující text se proto zaměří na tyto aspekty právní úpravy tzv. hromadných žalob: uplatnění principu opt-out a s tím související otázku zveřejňování informací stran kolektivního řízení, omezení procesních práv členů skupiny a postavení žalovaného. </w:t>
      </w:r>
    </w:p>
    <w:p w14:paraId="6385F400" w14:textId="77777777" w:rsidR="00870011" w:rsidRPr="00A3417D" w:rsidRDefault="00870011" w:rsidP="00870011"/>
    <w:p w14:paraId="4ABE4876" w14:textId="77777777" w:rsidR="00870011" w:rsidRDefault="00870011" w:rsidP="00870011">
      <w:pPr>
        <w:rPr>
          <w:u w:val="single"/>
        </w:rPr>
      </w:pPr>
      <w:r>
        <w:rPr>
          <w:u w:val="single"/>
        </w:rPr>
        <w:t>Uplatnění principu opt-out</w:t>
      </w:r>
    </w:p>
    <w:p w14:paraId="00EEB4AE" w14:textId="53D70FDB" w:rsidR="00870011" w:rsidRDefault="00870011" w:rsidP="00870011">
      <w:r>
        <w:t xml:space="preserve">Z analýzy jednotlivých variant vyplynulo, že má-li právní úprava tzv. hromadných žalob naplňovat svůj smysl a účel zákonodárcem zamýšlený, musí být nutně postavena na tzv. principu opt-out. Jinak řečeno, v zákoně musí být stanovena jasná a srozumitelná povinnost účastnit se řízení o tzv. hromadné žalobě pro všechny subjekty mající obdobný nárok v téže věci, ledaže projeví opačnou vůli. Vzhledem k okolnosti, že ne vždy nutně musí být s ohledem na charakter nároků vhodné projednat obdobné nároky různých subjektů v rámci jednoho řízení, navrhuje se navíc zařadit do právní úpravy korektiv umožňující soudu rozhodnout o tom, že kolektivní řízení je nepřípustné, anebo se vydat alternativní cestou opt-in. </w:t>
      </w:r>
    </w:p>
    <w:p w14:paraId="177D01D6" w14:textId="77777777" w:rsidR="00870011" w:rsidRDefault="00870011" w:rsidP="00870011"/>
    <w:p w14:paraId="60963A92" w14:textId="2ECCC482" w:rsidR="00870011" w:rsidRDefault="00870011" w:rsidP="00870011">
      <w:r>
        <w:t xml:space="preserve">Z pohledu ústavně právního je navrhovaná právní úprava v souladu s ústavním pořádkem České republiky. Jakkoliv se </w:t>
      </w:r>
      <w:r>
        <w:rPr>
          <w:i/>
        </w:rPr>
        <w:t xml:space="preserve">prima facie </w:t>
      </w:r>
      <w:r>
        <w:t xml:space="preserve">může jevit, že tato procesní úprava bude postavená na fingování vůle dotčených subjektů (což v obecné rovině Ústavní soud odmítá, viz např. rozhodnutí </w:t>
      </w:r>
      <w:r w:rsidRPr="005A7CD4">
        <w:rPr>
          <w:szCs w:val="24"/>
        </w:rPr>
        <w:t>I. ÚS 1024/15</w:t>
      </w:r>
      <w:r>
        <w:rPr>
          <w:szCs w:val="24"/>
        </w:rPr>
        <w:t xml:space="preserve"> a </w:t>
      </w:r>
      <w:r w:rsidRPr="005A7CD4">
        <w:rPr>
          <w:szCs w:val="24"/>
        </w:rPr>
        <w:t>IV. ÚS 842/16</w:t>
      </w:r>
      <w:r>
        <w:rPr>
          <w:szCs w:val="24"/>
        </w:rPr>
        <w:t>)</w:t>
      </w:r>
      <w:r>
        <w:t xml:space="preserve">, ve skutečnosti tomu tak nutně nemusí být. Subjekty, o jejichž právech bude soud rozhodovat, totiž budou mít možnost vždy projevit svoji vůli tím, že se rozhodnou z řízení nevystoupit. Aby ovšem tato možnost nebyla pouze iluzorní, je třeba zajistit zveřejňování informací v dostatečném rozsahu (prostřednictvím tisku, veřejné datové sítě, elektronických informačních systémů, atp.). </w:t>
      </w:r>
    </w:p>
    <w:p w14:paraId="19078C16" w14:textId="77777777" w:rsidR="00840333" w:rsidRDefault="00840333" w:rsidP="00870011"/>
    <w:p w14:paraId="48952B07" w14:textId="6AA5BAB8" w:rsidR="00840333" w:rsidRDefault="00D16266" w:rsidP="00840333">
      <w:r>
        <w:t>M</w:t>
      </w:r>
      <w:r w:rsidR="00840333">
        <w:t>ezi ústřední zásady ovládající právo soukromé patří bezesporu zásada autonomie vůle (a s ní související zásada rovnosti) vyvěrající z čl. 1 odst. 1 a čl. 2 odst. 3 Listiny (viz HURDÍK, Jan, LAVICKÝ, Petr. Systém zásad soukromého práva. 1. vyd. Brno: Masarykova univerzita, 2010. ISBN:978-80-210-5063-1, s. 82-83 a II. ÚS 3381/10). Obsahem této zásady je právo subjektu svobodně se rozhodnout: (i) zda uskuteční právně relevantní chování, či nikoliv; (ii) kdo bude adresátem tohoto chování; (iii) jaký bude obsah právně relevantního chování a (iv) jakou formu bude právně relevantní chování mít (viz HURDÍK, Jan, LAVICKÝ, Petr. Systém zásad soukromého práva. 1. vyd. Brno: Masarykova univerzita, 2010. ISBN:978-80-210-5063-1, s. 96). Nicméně vzhledem k faktické nerovnosti soukromoprávních subjektů nelze připustit absolutní svobodu autonomie vůle, neboť ta by vedla k svobodě silnějších a nesvobodě slabších, v krajní poloze až k svobodě nejsilnějšího subjektu a nesvobodě všech ostatních (BEJČEK, J. Existuje smluvní svoboda? Právn</w:t>
      </w:r>
      <w:r w:rsidR="007461A1">
        <w:t>ík, 1998, č. 12, s. 1017–1028).</w:t>
      </w:r>
    </w:p>
    <w:p w14:paraId="3447E4A9" w14:textId="77777777" w:rsidR="00840333" w:rsidRDefault="00840333" w:rsidP="00840333"/>
    <w:p w14:paraId="1DA0753D" w14:textId="643B7D1F" w:rsidR="00840333" w:rsidRDefault="00840333" w:rsidP="00840333">
      <w:r>
        <w:t xml:space="preserve">V prostředí civilního práva procesního je odrazem existence (obecnější) zásady autonomie vůle zásada dispoziční. Soud koná v civilním řízení sporném jen na základě žaloby. Žalobce je považován za </w:t>
      </w:r>
      <w:r w:rsidRPr="00D16266">
        <w:rPr>
          <w:i/>
        </w:rPr>
        <w:t>dominum litis</w:t>
      </w:r>
      <w:r>
        <w:t>, pána sporu. Uplatnění dispoziční zásady (a tím i zásady autonomie vůle) v rámci civilního řízení sporného odpovídá soukromoprávnímu charakteru projednávaných případů; soukromoprávní autono</w:t>
      </w:r>
      <w:r w:rsidR="00D16266">
        <w:t>mii by odporovalo, kdyby veřejná</w:t>
      </w:r>
      <w:r>
        <w:t xml:space="preserve"> moc rozhodovala, zda má nebo nemá soukromá osoba své nároky prosazovat soudně (viz WINTR, Jan. Říše principů: obecné a</w:t>
      </w:r>
      <w:r w:rsidR="007461A1">
        <w:t> </w:t>
      </w:r>
      <w:r>
        <w:t>odvětvové principy současného českého práva. Praha: Karolinum, 2006. ISBN 80-246-1246-1, s.</w:t>
      </w:r>
      <w:r w:rsidR="007461A1">
        <w:t> </w:t>
      </w:r>
      <w:r>
        <w:t>239).</w:t>
      </w:r>
    </w:p>
    <w:p w14:paraId="4B81BF46" w14:textId="77777777" w:rsidR="00840333" w:rsidRDefault="00840333" w:rsidP="00840333"/>
    <w:p w14:paraId="2FBE5E1B" w14:textId="718B8FA2" w:rsidR="00840333" w:rsidRDefault="00840333" w:rsidP="00840333">
      <w:r>
        <w:t>Stejně jako se v prostředí práva hmotného s ohledem na shora uvedené prosadil princip ochrany slabší smluvní strany (jakožto korektiv široce uplatňované zásady autonomie vůle), přichází v</w:t>
      </w:r>
      <w:r w:rsidR="007461A1">
        <w:t> </w:t>
      </w:r>
      <w:r>
        <w:t>úvahu ochrana slabší strany i v rámci civilního řízení sporného, a to např. v podobě tzv. práva chudých (viz § 138 o.s.ř.; v podrobnostech Občanský soudní řád: komentář. V Praze: C.H. Beck, 2013. Beckova edice komentované zákony. ISBN 978-80-7400-506-0, s. 483-487; srov. čl. 96 odst. 1 Ústavy a čl. 37 odst. 3 Listiny). Cílem navrhované právní úpravy je inter alia plně dostát tomuto principu a vyrovnávat nerovnost (danou např. informační asymetrií a projevující se v podobě tzv. racionální apatie) mezi účastníky řízení. Neděje se tak nicméně živelně a bez rozmyslu, nýbrž uvážlivě a s přihlédnutím ke všem relevantním skutečnostem. Úhelným kamenem této snahy je přitom bezesporu uplatnění principu opt-out. Jak vyplývá ze Závěrečné zprávy hodnocení dopadů regulace, má-li navrhovaná právní úprava dosáhnout sledovaného cíle, nelze se bez uplatnění principu opt-out obejít. Pokud totiž jsou subjekty, které jsou vystaveny protizákonnému, často zneužívajícímu jednání, lapeny v pasti racionální apatie, mělo by být první zákonodárcovou snahou dopady této faktické nerovnosti (spočívající v malé ztrátě a s tím související minimální motivací na straně jedné a velkém zisku a velké motivaci na straně druhé) minimalizovat. V tomto ohledu nezbývá nežli opětovně zdůraznit, že jedině uplatnění principu opt-out může negativní dopady shora zmiňované nerovnosti minimalizovat, neboť jakákoliv formální povinnost spočívající v</w:t>
      </w:r>
      <w:r w:rsidR="007461A1">
        <w:t> </w:t>
      </w:r>
      <w:r>
        <w:t>nutnosti aktivně vystoupit (např. v podobě nutnosti přihlásit se, pokud by byl uplatněn princip opt-in) na obranu svých práv by ve svém důsledku vedla k</w:t>
      </w:r>
      <w:r w:rsidR="00D16266">
        <w:t> přetrvání nežádoucí pasivity</w:t>
      </w:r>
      <w:r>
        <w:t>, resp. racionální apati</w:t>
      </w:r>
      <w:r w:rsidR="00D16266">
        <w:t>e</w:t>
      </w:r>
      <w:r>
        <w:t xml:space="preserve">. </w:t>
      </w:r>
    </w:p>
    <w:p w14:paraId="7FE8A672" w14:textId="77777777" w:rsidR="00840333" w:rsidRDefault="00840333" w:rsidP="00840333"/>
    <w:p w14:paraId="352D0D72" w14:textId="5E2D9525" w:rsidR="00840333" w:rsidRDefault="00840333" w:rsidP="00840333">
      <w:r>
        <w:t>Z pohledu ústavněprávního je pak třeba říci, že ústavní pořádek České republiky zde ponechává relativně široký prostor pro uvážení zákonodárce. Jak k tomu poznamenává J. Bejček: „Spor mezi ‚libertariánskými‘ zastánci formální a procedurální rovnosti stran a ‚paternalistickými‘ proponenty ochrany slabšího je letitý a koreluje s hodnotovým a politickým zázemím svých účastníků. […] jeho výsledek není exaktně vypočitatelný s ambicí na všeobecnou akceptaci odbornou i širší veřejností, protože jeho řešení je předznamenáno zájmovými a hodnotovými hledisky.“ (BEJČEK, Josef. Smluvní svoboda a ochrana slabšího obchodníka. Brno: Masarykova univerzita, 2016. ISBN 978-80-210-8185-7, s. 23). Jinak řečeno, nemůže být sporu o tom, že zásada autonomie vůle, zásada rovnosti a zásada dispoziční jsou společně s principem ochrany slabší strany pevně zakotveny v</w:t>
      </w:r>
      <w:r w:rsidR="007461A1">
        <w:t> </w:t>
      </w:r>
      <w:r>
        <w:t xml:space="preserve">ústavním pořádku České republiky. Rovněž ovšem nemůže být sporu o tom, že zákonodárce se těší značné míře uvážení, pokud jde o volbu prostředků (a jejich obsahu) přijatých za účelem dosažení ústavním pořádkem sledovaných cílů. </w:t>
      </w:r>
    </w:p>
    <w:p w14:paraId="446424F8" w14:textId="77777777" w:rsidR="00A076A6" w:rsidRDefault="00A076A6" w:rsidP="00840333"/>
    <w:p w14:paraId="0ADCAF56" w14:textId="02FD9713" w:rsidR="00FD7A38" w:rsidRDefault="00840333" w:rsidP="00840333">
      <w:r>
        <w:t>Konečně v neposlední řadě lze podpůrně upozornit na právní úpravu v oblasti přihlašování (resp. uplatňování) pohledávek v rámci insolvenčního řízení. Obecně platí, že dle § 173 zákona č.</w:t>
      </w:r>
      <w:r w:rsidR="00B203DE">
        <w:t> </w:t>
      </w:r>
      <w:r>
        <w:t>182/2006 Sb., insolvenční zákon, ve znění pozdějších předpisů (dále jen „IZ“), se pohledávky přihlašují u insolvenčního soudu od zahájení insolvenčního řízení až do uplynutí lhůty stanovené rozhodnutím o úpadku. Nicméně toto ustanovení se nevztahuje na všechny druhy pohledávek. Existují zvláštní kategorie pohledávek (typicky např. pracovněprávní pohledávky dlužníkových zaměstnanců nebo pohledávky věřitelů na výživném ze zákona; viz § 168 odst. 1 IZ), které není třeba přihlašovat (ve smyslu § 173 IZ); avšak i u těchto pohledávek se vyžaduje jednání věřitele, mají-li být uspokojeny (viz § 203 IZ) s jednou výjimkou. Tato výjimka se týká uplatňování pracovněprávních pohledávek uvedených v § 168 odst. 1 písm. a) IZ, u kterých platí, že neuplatní-li takovouto pohledávku dlužníkův zaměstnanec, pokládá se jeho pohledávka za uplatněnou ve výši vyplývající z účetnictví dlužníka nebo z evidence vedené podle zvláštního právního předpisu (tímto zvláštním právním předpisem se míní zákon č. 586/1992 Sb., o daních z příjmu, ve znění pozdějších předpisů). Jinými slovy řečeno, insolvenční zákon zde automaticky zahrnuje do řízení pracovněprávn</w:t>
      </w:r>
      <w:r w:rsidR="007F6EE8">
        <w:t>í pohledávky, bez toho, a</w:t>
      </w:r>
      <w:r>
        <w:t>by bylo vyžadováno jejich uplatnění ze strany věřitele (obdobně se právní úprava insolvenčního řízení chová např. k pohledávkám věřitelů vyplývajícím z</w:t>
      </w:r>
      <w:r w:rsidR="00B203DE">
        <w:t> </w:t>
      </w:r>
      <w:r>
        <w:t>účetnictví dlužníka v případě úpadku bank, spořitelních a úvěrních družstev, některých zahraničních bank nebo obchodníků s cennými papíry; viz § 373 IZ). Tato právní úprava je přitom součástí platného českého právního řádu a doposud nebyl</w:t>
      </w:r>
      <w:r w:rsidR="000B241F">
        <w:t>a</w:t>
      </w:r>
      <w:r>
        <w:t xml:space="preserve"> shledána protiústavní. Lze proto uzavřít, že rovněž uplatnění principu opt-out [jehož podstatou je jako v případě výše popsané právní úpravy insolvenčního řízení automatické zahrnování subjektů do řízení (ledaže projeví vůli se řízení nezúčastnit)] v rámci řízení o tzv. hromadných žalobách je plně v souladu s ústavním pořádkem České republiky.</w:t>
      </w:r>
    </w:p>
    <w:p w14:paraId="20A50BD4" w14:textId="28B39518" w:rsidR="007545DF" w:rsidRDefault="007545DF" w:rsidP="00840333"/>
    <w:p w14:paraId="510D292A" w14:textId="77777777" w:rsidR="00840333" w:rsidRDefault="00840333" w:rsidP="00840333"/>
    <w:p w14:paraId="7E51D831" w14:textId="77777777" w:rsidR="00870011" w:rsidRDefault="00870011" w:rsidP="00870011">
      <w:pPr>
        <w:rPr>
          <w:u w:val="single"/>
        </w:rPr>
      </w:pPr>
      <w:r>
        <w:rPr>
          <w:u w:val="single"/>
        </w:rPr>
        <w:t>Omezení procesních práv členů skupiny</w:t>
      </w:r>
    </w:p>
    <w:p w14:paraId="24DFBD59" w14:textId="2315F3DF" w:rsidR="00870011" w:rsidRDefault="00870011" w:rsidP="00870011">
      <w:r>
        <w:t xml:space="preserve">Z čl. 38 odst. 2 Listiny základních práv a svobod plyne, že projednání věci musí být veřejné, bez zbytečných průtahů a v přítomnosti toho, koho se řízení týká tak, aby se mohl vyjádřit ke všem prováděným důkazům. Nauka civilního procesu tu souhrnně hovoří o principu rovnosti </w:t>
      </w:r>
      <w:r w:rsidR="001F3063">
        <w:t>a </w:t>
      </w:r>
      <w:r>
        <w:t xml:space="preserve">kontradiktornosti – soudní řízení je sporem dvou stran, které mají před soudem rovné postavení (viz </w:t>
      </w:r>
      <w:r w:rsidRPr="0025557D">
        <w:t xml:space="preserve">WINTEROVÁ, Alena a Alena MACKOVÁ. </w:t>
      </w:r>
      <w:r w:rsidRPr="0025557D">
        <w:rPr>
          <w:i/>
        </w:rPr>
        <w:t>Civilní právo procesní</w:t>
      </w:r>
      <w:r w:rsidRPr="0025557D">
        <w:t xml:space="preserve">. 8. vydání. Praha: Leges, 2015. </w:t>
      </w:r>
      <w:r>
        <w:t xml:space="preserve">ISBN 978-80-7502-076-5, s. 61 a n.). Každá strana v procesu musí mít stejnou možnost hájit své zájmy, žádná z nich nesmí mít podstatnou výhodu vůči protistraně a každá strana musí mít možnost uplatnit své argumenty za podmínek, které nejsou jasně nevýhodné ve srovnání s protistranou (viz rozhodnutí Evropského soudu pro lidská práva </w:t>
      </w:r>
      <w:r w:rsidRPr="00B35593">
        <w:rPr>
          <w:i/>
        </w:rPr>
        <w:t>Delcourt proti Belgii</w:t>
      </w:r>
      <w:r w:rsidRPr="00B35593">
        <w:t>, rozsudek, 17. 1. 1970, č. 2689/65</w:t>
      </w:r>
      <w:r>
        <w:t xml:space="preserve"> a </w:t>
      </w:r>
      <w:r w:rsidRPr="00B35593">
        <w:rPr>
          <w:i/>
        </w:rPr>
        <w:t>Feldbrugge proti Nizozemsku</w:t>
      </w:r>
      <w:r w:rsidRPr="00B35593">
        <w:t>, rozsudek pléna, 29. 5. 1986, č. 8562/79</w:t>
      </w:r>
      <w:r>
        <w:t xml:space="preserve">). Avšak stejně významný je i princip rychlosti a hospodárnosti řízení, podle kterého má řízení postupovat rychle, účinně a bez zbytečných nákladů (viz </w:t>
      </w:r>
      <w:r w:rsidRPr="0025557D">
        <w:t xml:space="preserve">WINTEROVÁ, Alena a Alena MACKOVÁ. </w:t>
      </w:r>
      <w:r w:rsidRPr="0025557D">
        <w:rPr>
          <w:i/>
        </w:rPr>
        <w:t>Civilní právo procesní</w:t>
      </w:r>
      <w:r w:rsidRPr="0025557D">
        <w:t xml:space="preserve">. 8. vydání. Praha: Leges, 2015. </w:t>
      </w:r>
      <w:r>
        <w:t>ISBN 978-80-7502-076-5, s</w:t>
      </w:r>
      <w:r w:rsidR="001F3063">
        <w:t>. </w:t>
      </w:r>
      <w:r>
        <w:t xml:space="preserve">71 a n.). Jeho ústavní základ je v čl. 38 odst. 2 Listiny základních práv a svobod. Mezinárodní pak v čl. 6 odst. 1 Úmluvy. Jedině rychlé, účinné a hospodárné řízení může v plné míře zajistit adekvátní ochranu práv, kterou garantuje Listina základních práv a svobod v čl. 36 odst. 1 (viz </w:t>
      </w:r>
      <w:r w:rsidRPr="00104A25">
        <w:t xml:space="preserve">WINTR, Jan. </w:t>
      </w:r>
      <w:r w:rsidRPr="00104A25">
        <w:rPr>
          <w:i/>
        </w:rPr>
        <w:t>Říše principů: obecné a odvětvové principy současného českého práva</w:t>
      </w:r>
      <w:r w:rsidRPr="00104A25">
        <w:t>. Praha: Karolinum, 2006. ISBN 80-246-1246-1</w:t>
      </w:r>
      <w:r>
        <w:t xml:space="preserve">, s. 237). Navíc </w:t>
      </w:r>
      <w:r w:rsidRPr="00CE5356">
        <w:t>právo na kontradiktorní řízení nemá absolutní charakter a jeho rozsah se může lišit zejména v závislosti na zvláštnostech daného řízení</w:t>
      </w:r>
      <w:r>
        <w:t xml:space="preserve"> (</w:t>
      </w:r>
      <w:r w:rsidRPr="00DE43BD">
        <w:rPr>
          <w:i/>
        </w:rPr>
        <w:t>Vokoun proti České republice</w:t>
      </w:r>
      <w:r w:rsidRPr="00CE5356">
        <w:t>, rozsudek, 3. 7. 2008, č. 20728/05</w:t>
      </w:r>
      <w:r>
        <w:t xml:space="preserve">). Rovněž je třeba říci, že čl. 6 odst. 1 Úmluvy </w:t>
      </w:r>
      <w:r w:rsidRPr="00B4358A">
        <w:t>nezajišťuje právo na osobní účast na jednání soudu v civilních věcech, ale spíše obecnější právo účinně hájit svou věc před soudem a právo na rovnost zbraní ve vztahu k</w:t>
      </w:r>
      <w:r>
        <w:t> </w:t>
      </w:r>
      <w:r w:rsidRPr="00B4358A">
        <w:t>protistraně</w:t>
      </w:r>
      <w:r>
        <w:t xml:space="preserve">, přičemž </w:t>
      </w:r>
      <w:r w:rsidRPr="00B4358A">
        <w:t xml:space="preserve">ponechává státům volnost při volbě prostředků, jakými budou účastníkům řízení tato práva zajištěna </w:t>
      </w:r>
      <w:r>
        <w:t>(</w:t>
      </w:r>
      <w:r w:rsidRPr="00DE43BD">
        <w:rPr>
          <w:i/>
        </w:rPr>
        <w:t>Khuzhin a další proti Rusku</w:t>
      </w:r>
      <w:r w:rsidRPr="00B4358A">
        <w:t>, rozsudek, 23. 10. 2008, č. 13470/02</w:t>
      </w:r>
      <w:r>
        <w:t xml:space="preserve"> a t</w:t>
      </w:r>
      <w:r w:rsidRPr="00B4358A">
        <w:t xml:space="preserve">éž </w:t>
      </w:r>
      <w:r w:rsidRPr="00DE43BD">
        <w:rPr>
          <w:i/>
        </w:rPr>
        <w:t>Kozlov proti Rusku</w:t>
      </w:r>
      <w:r w:rsidRPr="00B4358A">
        <w:t>, rozsudek, 17. 9. 2009, č. 30782/03</w:t>
      </w:r>
      <w:r>
        <w:t>)</w:t>
      </w:r>
      <w:r w:rsidRPr="00B4358A">
        <w:t>.</w:t>
      </w:r>
    </w:p>
    <w:p w14:paraId="4F3F3050" w14:textId="77777777" w:rsidR="00FD7A38" w:rsidRPr="00CE5356" w:rsidRDefault="00FD7A38" w:rsidP="00870011"/>
    <w:p w14:paraId="366FC863" w14:textId="60A5133D" w:rsidR="00870011" w:rsidRDefault="00870011" w:rsidP="00870011">
      <w:r>
        <w:t xml:space="preserve">Počítá-li navrhovaná právní úprava s omezenou možností členů skupiny vyjádřit se a činit dispoziční úkony, čímž fakticky omezuje jejich ústavně garantovaná práva, nelze z toho bez dalšího dovodit, že takováto právní úprava je protiústavní, nýbrž je třeba zkoumat, zdali je takovýto zásah do základních práv proporcionální. V tomto ohledu platí, že navrhovaná právní úprava sleduje legitimní cíl vyplývající z ústavního pořádku České republiky samotného, tj. zajistit efektivní soudní řízení. Dále z analýzy provedené v rámci hodnocení dopadů regulace jednoznačně vyplynulo, že navrhovaná právní úprava je způsobilá tohoto cíle dosáhnout. V tomto ohledu rovněž platí, že navrhovaná právní úprava rozhodně není </w:t>
      </w:r>
      <w:r>
        <w:rPr>
          <w:i/>
        </w:rPr>
        <w:t xml:space="preserve">prima facie </w:t>
      </w:r>
      <w:r>
        <w:t>nepřiměřená s ohledem na cíle, které sleduje. Nicméně aby řízení o tzv. hromadné žalobě naplňovalo standardy vyžadované zejm. čl. 36 Listiny základních práv a svobod, je třeba zajistit reálnou participaci členů skupiny na řízení (tj. ve smyslu shora uvedeného je nezbytné zajistit, aby základní práva členů skupiny nebyla omezována více, nežli je to nezbytně nutné)</w:t>
      </w:r>
      <w:r w:rsidR="001F3063">
        <w:t xml:space="preserve"> </w:t>
      </w:r>
      <w:r>
        <w:t xml:space="preserve">(viz </w:t>
      </w:r>
      <w:r w:rsidRPr="00E03802">
        <w:t>IV. ÚS 1106/08</w:t>
      </w:r>
      <w:r>
        <w:t>). Za tímto účelem je opět důležité (i) zajistit řádnou informovanost členů skupiny. Dále je možné zvažovat</w:t>
      </w:r>
      <w:r w:rsidR="000B241F">
        <w:t xml:space="preserve"> (ii) možnost členů skupiny vstou</w:t>
      </w:r>
      <w:r>
        <w:t>p</w:t>
      </w:r>
      <w:r w:rsidR="000B241F">
        <w:t>it</w:t>
      </w:r>
      <w:r>
        <w:t xml:space="preserve"> do řízení formou vedlejší intervence podle § 93 o.s.ř., (iii) vést řízení na základě konsenzu s vedlejšími účastníky, (iv) vést řízení s ohledem na kolektivní zájem všech členů skupiny, (v) vést výkon rozhodnutí, bude-li to požadovat některý člen skupiny (viz </w:t>
      </w:r>
      <w:r w:rsidRPr="00B52D19">
        <w:t>BALARIN, Jan</w:t>
      </w:r>
      <w:r w:rsidRPr="00B52D19">
        <w:rPr>
          <w:i/>
        </w:rPr>
        <w:t>. Kolektivní ochrana práv v civilním soudním řízení</w:t>
      </w:r>
      <w:r w:rsidRPr="00B52D19">
        <w:t>. Praha: Centrum právní komparatistiky, Právnická fakulta Univerzity Karlovy v Praze, 2011. ISBN 978-80-87488-03-4</w:t>
      </w:r>
      <w:r>
        <w:t>, s. 188)</w:t>
      </w:r>
      <w:r w:rsidRPr="00B52D19">
        <w:t>.</w:t>
      </w:r>
      <w:r>
        <w:t xml:space="preserve"> Za splnění těchto podmínek nelze považovat navrhovanou právní úpravu za protiústavní. </w:t>
      </w:r>
    </w:p>
    <w:p w14:paraId="462D3E23" w14:textId="77777777" w:rsidR="00FD7A38" w:rsidRDefault="00FD7A38" w:rsidP="00870011"/>
    <w:p w14:paraId="79675B9F" w14:textId="77777777" w:rsidR="00870011" w:rsidRDefault="00870011" w:rsidP="00870011">
      <w:r>
        <w:t xml:space="preserve">Konečně je v této souvislosti vhodné poukázat rovněž na judikaturu Ústavního soudu týkající se postavení věřitelů v insolvenčním řízení, které je v mnoha ohledech podobné a které Ústavní soud shledal ústavně konformní (viz </w:t>
      </w:r>
      <w:r w:rsidRPr="00C8321B">
        <w:t>I. ÚS 3271/13</w:t>
      </w:r>
      <w:r>
        <w:t xml:space="preserve">). </w:t>
      </w:r>
    </w:p>
    <w:p w14:paraId="50B58CB8" w14:textId="77777777" w:rsidR="00FD7A38" w:rsidRPr="0002528B" w:rsidRDefault="00FD7A38" w:rsidP="00870011"/>
    <w:p w14:paraId="0D32E4EA" w14:textId="77777777" w:rsidR="00870011" w:rsidRDefault="00870011" w:rsidP="00870011">
      <w:pPr>
        <w:rPr>
          <w:u w:val="single"/>
        </w:rPr>
      </w:pPr>
      <w:r>
        <w:rPr>
          <w:u w:val="single"/>
        </w:rPr>
        <w:t>Postavení žalovaného</w:t>
      </w:r>
    </w:p>
    <w:p w14:paraId="1AD1460B" w14:textId="6CB4DF4E" w:rsidR="007545DF" w:rsidRPr="00870011" w:rsidRDefault="00870011" w:rsidP="00346BF1">
      <w:pPr>
        <w:rPr>
          <w:szCs w:val="24"/>
        </w:rPr>
      </w:pPr>
      <w:r>
        <w:t>Proces může</w:t>
      </w:r>
      <w:r w:rsidR="001F3063">
        <w:t xml:space="preserve"> být</w:t>
      </w:r>
      <w:r>
        <w:t xml:space="preserve"> spravedlivý jen tehdy, jsou-li si strany řízení rovny (viz </w:t>
      </w:r>
      <w:r w:rsidRPr="00104A25">
        <w:t xml:space="preserve">WINTR, Jan. </w:t>
      </w:r>
      <w:r w:rsidRPr="00104A25">
        <w:rPr>
          <w:i/>
        </w:rPr>
        <w:t>Říše principů: obecné a odvětvové principy současného českého práva</w:t>
      </w:r>
      <w:r w:rsidRPr="00104A25">
        <w:t>. Praha: Karolinum, 2006. ISBN 80-246-1246-1</w:t>
      </w:r>
      <w:r>
        <w:t>, s. 236; srov. čl. 37 odst. 3 Listiny základních práv a svobod)</w:t>
      </w:r>
      <w:r w:rsidRPr="00104A25">
        <w:t>.</w:t>
      </w:r>
      <w:r>
        <w:t xml:space="preserve"> Jak k tomu p</w:t>
      </w:r>
      <w:r w:rsidRPr="00667826">
        <w:rPr>
          <w:szCs w:val="24"/>
        </w:rPr>
        <w:t>oznamenává Ústavní soud, zásada procesní rovnosti znamená povinnost pro soud zajistit účastníkům stejné možnosti k uplatnění práv (viz II. ÚS 74/93 a I. ÚS 13/98). Nicméně Ústavní soud dovodil, že rovnost se může týkat jen postavení procesního</w:t>
      </w:r>
      <w:r w:rsidR="00A74B2B">
        <w:rPr>
          <w:szCs w:val="24"/>
        </w:rPr>
        <w:t>,</w:t>
      </w:r>
      <w:r w:rsidRPr="00667826">
        <w:rPr>
          <w:szCs w:val="24"/>
        </w:rPr>
        <w:t xml:space="preserve"> a nelze ji tedy logicky vztahovat na výsledek sporu (viz IV. ÚS 140/02). Procesní rovnost dále podle něj nelze vykládat tak, že by zákonodárce nemohl stanovit rozdílný rozsah procesních práv a povinností u různých druhů řízení (viz Pl. ÚS 19/02). </w:t>
      </w:r>
      <w:r>
        <w:rPr>
          <w:szCs w:val="24"/>
        </w:rPr>
        <w:t xml:space="preserve">Jeví se proto jako naprosto v souladu s ústavním pořádkem České republiky, pokud navrhovaná právní úprava výslovně počítá s tím, že žalovaný nemusí mít jasnou představu </w:t>
      </w:r>
      <w:r w:rsidR="00A74B2B">
        <w:rPr>
          <w:szCs w:val="24"/>
        </w:rPr>
        <w:t>o </w:t>
      </w:r>
      <w:r>
        <w:rPr>
          <w:szCs w:val="24"/>
        </w:rPr>
        <w:t xml:space="preserve">složení celé skupiny nebo že žalovanému bude uložena povinnost složit určitou sumu bez ohledu na konečný počet členů skupiny, kteří uplatní vůči žalovanému svůj nárok. </w:t>
      </w:r>
    </w:p>
    <w:p w14:paraId="75753CB4" w14:textId="77777777" w:rsidR="007353E6" w:rsidRDefault="007353E6" w:rsidP="00CB74FB"/>
    <w:p w14:paraId="42D4A869" w14:textId="7AC5F784" w:rsidR="00785D03" w:rsidRDefault="00B56403" w:rsidP="00785D03">
      <w:pPr>
        <w:pStyle w:val="Nadpis3"/>
      </w:pPr>
      <w:r w:rsidRPr="002D78DE">
        <w:t>Soulad s m</w:t>
      </w:r>
      <w:r w:rsidR="00785D03" w:rsidRPr="002D78DE">
        <w:t>ezinárodními smlouvami</w:t>
      </w:r>
    </w:p>
    <w:p w14:paraId="5D7960C1" w14:textId="18C4FEA9" w:rsidR="00FD7A38" w:rsidRDefault="00C70EA0" w:rsidP="00C70EA0">
      <w:r>
        <w:t>Navrhovaná právní úprava je zcela v souladu s mezinárodními smlouvami.</w:t>
      </w:r>
      <w:r w:rsidR="00FD7A38">
        <w:t xml:space="preserve"> Nad rámec toho, co již bylo řečeno v části věnující se souladnosti návrhu s ústavním pořádkem, lze dodat následující.</w:t>
      </w:r>
    </w:p>
    <w:p w14:paraId="77126BF8" w14:textId="77777777" w:rsidR="00FD7A38" w:rsidRDefault="00FD7A38" w:rsidP="00C70EA0"/>
    <w:p w14:paraId="13C66FC7" w14:textId="44424611" w:rsidR="00886906" w:rsidRDefault="00886906" w:rsidP="00C70EA0">
      <w:r>
        <w:t xml:space="preserve">Žádná z mezinárodních smluv, jimiž by byla Česká republika vázána, nezakazuje přijetí zákona </w:t>
      </w:r>
      <w:r w:rsidR="00A74B2B">
        <w:t>o </w:t>
      </w:r>
      <w:r>
        <w:t xml:space="preserve">hromadných žalobách, a to ani v navržené podobě. Stejně tak předestřené aspekty zákona </w:t>
      </w:r>
      <w:r w:rsidR="00A74B2B">
        <w:t>o </w:t>
      </w:r>
      <w:r>
        <w:t>hromadných žalobách nejsou jednotlivě, ani ve svém souhrnu v rozporu s mezinárodními závazky České republiky.</w:t>
      </w:r>
    </w:p>
    <w:p w14:paraId="442B7C37" w14:textId="77777777" w:rsidR="00886906" w:rsidRDefault="00886906" w:rsidP="00C70EA0"/>
    <w:p w14:paraId="2EE59288" w14:textId="27228021" w:rsidR="00C70EA0" w:rsidRDefault="00886906" w:rsidP="00C70EA0">
      <w:r>
        <w:t>Jde-li pak konkrétně o Evropskou úmluvu o lidských právech a související judikaturu Evropského soudu pro lidská práva, j</w:t>
      </w:r>
      <w:r w:rsidR="00C70EA0">
        <w:t xml:space="preserve">edinou </w:t>
      </w:r>
      <w:r w:rsidR="00020850">
        <w:t xml:space="preserve">myslitelnou </w:t>
      </w:r>
      <w:r w:rsidR="00C70EA0">
        <w:t xml:space="preserve">kolizí </w:t>
      </w:r>
      <w:r w:rsidR="00FD7A38">
        <w:t xml:space="preserve">zde </w:t>
      </w:r>
      <w:r w:rsidR="00C70EA0">
        <w:t xml:space="preserve">může být rozpor s čl. 6 </w:t>
      </w:r>
      <w:r>
        <w:t>Úmluvy</w:t>
      </w:r>
      <w:r w:rsidR="00C70EA0">
        <w:t xml:space="preserve">. </w:t>
      </w:r>
      <w:r>
        <w:t>Judikatura Evropského soudu ve vztahu ke kolektivním žalobám na tomto poli neexistuje. L</w:t>
      </w:r>
      <w:r w:rsidR="00C70EA0">
        <w:t xml:space="preserve">ze nicméně </w:t>
      </w:r>
      <w:r>
        <w:t>odkázat na výše zmíněné úvahy v mezích ústavního práva (4.3.1), neboť čl. 6 Úmluvy do značné míry odpovídá čl.</w:t>
      </w:r>
      <w:r w:rsidR="00FD7A38">
        <w:t xml:space="preserve"> 36 a</w:t>
      </w:r>
      <w:r>
        <w:t xml:space="preserve"> 38 odst. 2 Listiny. V tomto ohledu musí být </w:t>
      </w:r>
      <w:r w:rsidR="00FD7A38">
        <w:t>citované články Listiny</w:t>
      </w:r>
      <w:r>
        <w:t xml:space="preserve"> </w:t>
      </w:r>
      <w:r w:rsidR="00FD7A38">
        <w:t xml:space="preserve">dokonce </w:t>
      </w:r>
      <w:r>
        <w:t>vykládán</w:t>
      </w:r>
      <w:r w:rsidR="00FD7A38">
        <w:t>y</w:t>
      </w:r>
      <w:r>
        <w:t xml:space="preserve"> v souladu s čl. 6 Úmluvy </w:t>
      </w:r>
      <w:r w:rsidR="00020850">
        <w:t>–</w:t>
      </w:r>
      <w:r>
        <w:t xml:space="preserve"> Listina může stanovit pouze vyšší standard ochrany. Je-li tudíž úprava v souladu s Listinou základních práv a svobod, musí nutně splňovat </w:t>
      </w:r>
      <w:r w:rsidR="00020850">
        <w:t>i </w:t>
      </w:r>
      <w:r>
        <w:t>požadavky plynoucí z čl. 6 Úmluvy.</w:t>
      </w:r>
    </w:p>
    <w:p w14:paraId="444810CB" w14:textId="77777777" w:rsidR="00886906" w:rsidRDefault="00886906" w:rsidP="00C70EA0"/>
    <w:p w14:paraId="18E43BF5" w14:textId="60545DF9" w:rsidR="00886906" w:rsidRDefault="00020850" w:rsidP="00C70EA0">
      <w:r>
        <w:t>Ustanovení čl</w:t>
      </w:r>
      <w:r w:rsidR="00886906">
        <w:t xml:space="preserve">. 6 Úmluvy požaduje, aby členské státy Rady Evropy poskytly lidem na svém území efektivní prostředek nápravy při rozhodování o jejich občanských právech </w:t>
      </w:r>
      <w:r>
        <w:t>a povinnostech</w:t>
      </w:r>
      <w:r w:rsidR="00886906">
        <w:t xml:space="preserve">. V tomto ohledu lze spíše uvažovat o tom, zda stávající právní stav v České republice, která nemá </w:t>
      </w:r>
      <w:r w:rsidR="00D31299">
        <w:t>dostatečnou úpravu hromadných</w:t>
      </w:r>
      <w:r w:rsidR="00886906">
        <w:t xml:space="preserve"> žalob, je v souladu s čl. 6 Úmluvy. Jak již bylo řečeno ve vymezení problému, existuje dnes </w:t>
      </w:r>
      <w:r w:rsidR="00D31299">
        <w:t xml:space="preserve">na území České republiky </w:t>
      </w:r>
      <w:r w:rsidR="00886906">
        <w:t>určitá skupina nároků,</w:t>
      </w:r>
      <w:r w:rsidR="00D31299">
        <w:t xml:space="preserve"> které nejsou před soudy vymáhány. Důvody pro to jsou </w:t>
      </w:r>
      <w:r w:rsidR="00886906">
        <w:t xml:space="preserve">ryze </w:t>
      </w:r>
      <w:r w:rsidR="00D31299">
        <w:t>praktické</w:t>
      </w:r>
      <w:r w:rsidR="00886906">
        <w:t xml:space="preserve">. Tyto nároky se </w:t>
      </w:r>
      <w:r w:rsidR="00FD7A38">
        <w:t xml:space="preserve">oprávněným </w:t>
      </w:r>
      <w:r w:rsidR="00D31299">
        <w:t xml:space="preserve">osobám </w:t>
      </w:r>
      <w:r w:rsidR="00886906">
        <w:t>nevyplatí vymáhat, a jsou nyní proto bez nadsázky téměř nevymahatelné.</w:t>
      </w:r>
      <w:r w:rsidR="00D31299">
        <w:t xml:space="preserve"> </w:t>
      </w:r>
      <w:r w:rsidR="00886906">
        <w:t xml:space="preserve">V tomto ohledu je tedy přijetí nové právní úpravy z hlediska </w:t>
      </w:r>
      <w:r w:rsidR="00FD7A38">
        <w:t xml:space="preserve">chápání práva na spravedlivý proces ve smyslu </w:t>
      </w:r>
      <w:r w:rsidR="00886906">
        <w:t>Evropské úmluvy</w:t>
      </w:r>
      <w:r w:rsidR="00FD7A38">
        <w:t xml:space="preserve"> bezpochyby</w:t>
      </w:r>
      <w:r w:rsidR="00886906">
        <w:t xml:space="preserve"> přínosem.</w:t>
      </w:r>
    </w:p>
    <w:p w14:paraId="2D439ED2" w14:textId="77777777" w:rsidR="00D31299" w:rsidRPr="00C70EA0" w:rsidRDefault="00D31299" w:rsidP="00C70EA0"/>
    <w:p w14:paraId="63B0DB24" w14:textId="267309F0" w:rsidR="00785D03" w:rsidRDefault="00B56403" w:rsidP="00785D03">
      <w:pPr>
        <w:pStyle w:val="Nadpis3"/>
      </w:pPr>
      <w:r w:rsidRPr="002D78DE">
        <w:t>Soulad s</w:t>
      </w:r>
      <w:r w:rsidR="00785D03" w:rsidRPr="002D78DE">
        <w:t>e závazky plynoucími z členství v Evropské unii</w:t>
      </w:r>
    </w:p>
    <w:p w14:paraId="04446616" w14:textId="1FA60FFF" w:rsidR="00D31299" w:rsidRDefault="00D31299" w:rsidP="00D31299">
      <w:r>
        <w:t>Jak je již zmíněno v části 1.2 závěrečné zprávy</w:t>
      </w:r>
      <w:r w:rsidR="001B4F2F">
        <w:t xml:space="preserve"> z</w:t>
      </w:r>
      <w:r>
        <w:t xml:space="preserve"> hodnocení dopadů regulace, vybízí Evropská unie členské státy již delší dobu k přijetí právní úpravy, která by obsahovala kolektivní ochranu práv, přinejmenším těch garantovaných evropským právem. Dle názoru Evropské unie je kolektivní ochrana v dnešní době nezbytným </w:t>
      </w:r>
      <w:r w:rsidR="00FD7A38">
        <w:t xml:space="preserve">procesním </w:t>
      </w:r>
      <w:r>
        <w:t xml:space="preserve">nástrojem k efektivnímu prosazování </w:t>
      </w:r>
      <w:r w:rsidR="00FD7A38">
        <w:t>určitého typu nároků.</w:t>
      </w:r>
      <w:r>
        <w:t xml:space="preserve"> Unie tento institut doporučuje zejména v souvislosti s právy spotřebitelů a dále ve spojení </w:t>
      </w:r>
      <w:r w:rsidR="00020850">
        <w:t> s </w:t>
      </w:r>
      <w:r>
        <w:t>ochranou před nekalou soutěží.</w:t>
      </w:r>
    </w:p>
    <w:p w14:paraId="449F112F" w14:textId="77777777" w:rsidR="00D31299" w:rsidRDefault="00D31299" w:rsidP="00D31299"/>
    <w:p w14:paraId="046040F5" w14:textId="77777777" w:rsidR="00D31299" w:rsidRDefault="00D31299" w:rsidP="00D31299">
      <w:r>
        <w:t>V této souvislosti již byly zmíněny dílčí závazné instrumenty, jakými je kupř. směrnice Evropského parlamentu a Rady č. 98/27/ES, která</w:t>
      </w:r>
      <w:r w:rsidRPr="0051291A">
        <w:t xml:space="preserve"> </w:t>
      </w:r>
      <w:r>
        <w:t>zavedla v přeshraničním styku možnost ochrany hromadných negatorních zájmů spotřebitelské veřejnosti. Tyto byly do českého právního řádu již transponovány.</w:t>
      </w:r>
    </w:p>
    <w:p w14:paraId="12980BBA" w14:textId="77777777" w:rsidR="00D31299" w:rsidRDefault="00D31299" w:rsidP="00D31299"/>
    <w:p w14:paraId="416BE592" w14:textId="5E24447E" w:rsidR="00D31299" w:rsidRDefault="00D31299" w:rsidP="00D31299">
      <w:r>
        <w:t xml:space="preserve">Pokud jde o komplexní uchopení hromadných žalob, závazný dokument </w:t>
      </w:r>
      <w:r w:rsidR="00FD7A38">
        <w:t xml:space="preserve">na evropské úrovni </w:t>
      </w:r>
      <w:r>
        <w:t xml:space="preserve">doposud přijat nebyl. Přesto vzniklo klíčové doporučení Evropské Komise č. </w:t>
      </w:r>
      <w:r w:rsidRPr="005F74FA">
        <w:t>2013/396/EU</w:t>
      </w:r>
      <w:r>
        <w:t xml:space="preserve"> ze dne 11. 6. 2013, kterým vyvrcholila dosavad</w:t>
      </w:r>
      <w:r w:rsidR="00FD7A38">
        <w:t>ní snaha EU na poli kolektivní ochrany</w:t>
      </w:r>
      <w:r>
        <w:t>. Toto doporuč</w:t>
      </w:r>
      <w:r w:rsidR="00FD7A38">
        <w:t xml:space="preserve">ení volá po zavedení kolektivních žalob </w:t>
      </w:r>
      <w:r>
        <w:t>ve vybraných oblastech, a to nejen ve formě negatorní, ale i ve formě kompenzační (žaloby na náhradu újmy). Jde sice toliko o doporučující právní dokument, který nevyvolává žádné přímé závazky. Přesto lze předpokládat, že je jen otázkou času, než k přijetí závazného dokumentu dojde.</w:t>
      </w:r>
      <w:r w:rsidR="00272780">
        <w:t xml:space="preserve"> V této souvislosti lze rovněž odkázat na právě probíhající veřejnou konzultaci Evropské komise v této záležitosti.</w:t>
      </w:r>
      <w:r w:rsidR="00272780">
        <w:rPr>
          <w:rStyle w:val="Znakapoznpodarou"/>
        </w:rPr>
        <w:footnoteReference w:id="25"/>
      </w:r>
    </w:p>
    <w:p w14:paraId="498E5ECE" w14:textId="77777777" w:rsidR="00D31299" w:rsidRDefault="00D31299" w:rsidP="00D31299"/>
    <w:p w14:paraId="7A71FEC0" w14:textId="7D122745" w:rsidR="00D31299" w:rsidRDefault="00D31299" w:rsidP="00D31299">
      <w:pPr>
        <w:rPr>
          <w:color w:val="000000"/>
        </w:rPr>
      </w:pPr>
      <w:r>
        <w:t>Z tohoto pohledu j</w:t>
      </w:r>
      <w:r w:rsidR="00FD7A38">
        <w:t>e tedy předložený návrh zcela ve shodě</w:t>
      </w:r>
      <w:r>
        <w:t xml:space="preserve"> s dosavadními trendy a směřováním Evropské unie a o jeho </w:t>
      </w:r>
      <w:r w:rsidR="00FD7A38">
        <w:t>souladu</w:t>
      </w:r>
      <w:r>
        <w:t xml:space="preserve"> s právem a cíli EU nemůže být pochyb. Jakkoliv se přitom EU v cit. doporučení přiklonila k pojetí opt-in, ani princip opt-out nevylučuje a </w:t>
      </w:r>
      <w:r w:rsidR="00FD7A38">
        <w:t xml:space="preserve">ve výjimečných případech jej </w:t>
      </w:r>
      <w:r>
        <w:t>připouští</w:t>
      </w:r>
      <w:r w:rsidR="00FD7A38">
        <w:t xml:space="preserve">. V procesním právu mají navíc členské </w:t>
      </w:r>
      <w:r>
        <w:t>státy velk</w:t>
      </w:r>
      <w:r w:rsidR="00870011">
        <w:t>ý prostor pro uvážení, n</w:t>
      </w:r>
      <w:r>
        <w:t xml:space="preserve">elze proto dovodit, že by </w:t>
      </w:r>
      <w:r w:rsidR="00AA49F4">
        <w:t xml:space="preserve">třeba jen </w:t>
      </w:r>
      <w:r w:rsidR="00870011">
        <w:t>volba</w:t>
      </w:r>
      <w:r>
        <w:t xml:space="preserve"> princip</w:t>
      </w:r>
      <w:r w:rsidR="00AA49F4">
        <w:t>u</w:t>
      </w:r>
      <w:r>
        <w:t xml:space="preserve"> opt-out jako</w:t>
      </w:r>
      <w:r w:rsidR="00AA49F4">
        <w:t>žto</w:t>
      </w:r>
      <w:r>
        <w:t xml:space="preserve"> princip</w:t>
      </w:r>
      <w:r w:rsidR="00AA49F4">
        <w:t>u</w:t>
      </w:r>
      <w:r>
        <w:t xml:space="preserve"> vůdčí</w:t>
      </w:r>
      <w:r w:rsidR="00870011">
        <w:t>ho</w:t>
      </w:r>
      <w:r>
        <w:t xml:space="preserve"> byl</w:t>
      </w:r>
      <w:r w:rsidR="00870011">
        <w:t>a</w:t>
      </w:r>
      <w:r>
        <w:t xml:space="preserve"> v rozporu s právem </w:t>
      </w:r>
      <w:r w:rsidR="00870011">
        <w:t xml:space="preserve">EU. To ostatně dokládá belgické řešení, které přistoupilo ke kombinaci opt-in a opt-out. </w:t>
      </w:r>
      <w:r w:rsidR="00D16266">
        <w:t xml:space="preserve">Rovněž </w:t>
      </w:r>
      <w:r w:rsidR="00AA49F4">
        <w:t xml:space="preserve">Velká Británie zavedla </w:t>
      </w:r>
      <w:r w:rsidR="00D16266">
        <w:t>úpravu, která je založena</w:t>
      </w:r>
      <w:r w:rsidR="00870011">
        <w:t xml:space="preserve"> na</w:t>
      </w:r>
      <w:r w:rsidR="00D16266">
        <w:t xml:space="preserve"> principu</w:t>
      </w:r>
      <w:r w:rsidR="00870011">
        <w:t xml:space="preserve"> opt-out.</w:t>
      </w:r>
      <w:r w:rsidR="00AA49F4">
        <w:t xml:space="preserve"> Ani v jednom případě přitom nebyl shledán rozpor s unijními předpisy.</w:t>
      </w:r>
    </w:p>
    <w:p w14:paraId="1BAFC6D7" w14:textId="77777777" w:rsidR="00D31299" w:rsidRPr="00D31299" w:rsidRDefault="00D31299" w:rsidP="00D31299"/>
    <w:p w14:paraId="49FBFBE2" w14:textId="77777777" w:rsidR="002D78DE" w:rsidRDefault="002D78DE" w:rsidP="005660B7">
      <w:pPr>
        <w:pStyle w:val="Nadpis1"/>
      </w:pPr>
      <w:r w:rsidRPr="005660B7">
        <w:t>Dopady</w:t>
      </w:r>
    </w:p>
    <w:p w14:paraId="147AD6BF" w14:textId="73EA2AE1" w:rsidR="005A4CCC" w:rsidRDefault="00C2225F" w:rsidP="00CB74FB">
      <w:r>
        <w:t xml:space="preserve">Veškeré </w:t>
      </w:r>
      <w:r w:rsidR="005A4CCC">
        <w:t>vyhodnocení dopadů</w:t>
      </w:r>
      <w:r>
        <w:t xml:space="preserve"> regulace </w:t>
      </w:r>
      <w:r w:rsidR="005A4CCC">
        <w:t>je pod</w:t>
      </w:r>
      <w:r w:rsidR="009A17D1">
        <w:t>r</w:t>
      </w:r>
      <w:r w:rsidR="005A4CCC">
        <w:t>obně popsáno v závěrečné zprávě z hodnocení dopadů regulace v kapitole 5.</w:t>
      </w:r>
    </w:p>
    <w:p w14:paraId="001D2209" w14:textId="77777777" w:rsidR="00342760" w:rsidRDefault="00342760" w:rsidP="00342760">
      <w:pPr>
        <w:pStyle w:val="Nadpis2"/>
      </w:pPr>
      <w:r>
        <w:t>Předpokládaný hospodářský a finanční dosah navrhovaného řešení na státní rozpočet, ostatní veřejné rozpočty a na podnikatelské prostředí České republiky, sociální dopady a dopady na životní prostředí</w:t>
      </w:r>
    </w:p>
    <w:p w14:paraId="78AF50F0" w14:textId="77777777" w:rsidR="00342760" w:rsidRDefault="00342760" w:rsidP="009E542C">
      <w:pPr>
        <w:pStyle w:val="Nadpis3"/>
        <w:keepNext w:val="0"/>
      </w:pPr>
      <w:r>
        <w:t>Dopady na státní rozpočet a ostatní veřejné rozpočty</w:t>
      </w:r>
    </w:p>
    <w:p w14:paraId="7228E034" w14:textId="77777777" w:rsidR="009E542C" w:rsidRDefault="009E542C" w:rsidP="009E542C">
      <w:pPr>
        <w:keepNext w:val="0"/>
      </w:pPr>
      <w:r>
        <w:t>U všech variant (kromě varianty nulové) se počítá s obdobným dopadem na státní rozpočet, a to zejména s dopady spojenými se zavedením nového procesního institutu k uplatňování hromadných žalob. Jedná se o takové dopady, které budou mít vliv na soudní soustavu a budou spojeny s otázkou vyřešení věcné příslušnosti soudů. Dále je nutné zohlednit primární náklady zajištění uveřejňování informací o společných řízeních.</w:t>
      </w:r>
    </w:p>
    <w:p w14:paraId="252E319D" w14:textId="77777777" w:rsidR="009E542C" w:rsidRDefault="009E542C" w:rsidP="009E542C">
      <w:pPr>
        <w:keepNext w:val="0"/>
      </w:pPr>
    </w:p>
    <w:p w14:paraId="78321E49" w14:textId="77777777" w:rsidR="009E542C" w:rsidRDefault="009E542C" w:rsidP="009E542C">
      <w:pPr>
        <w:keepNext w:val="0"/>
      </w:pPr>
      <w:r>
        <w:t>Tyto náklady však budou do značné míry převýšeny úsporami na straně státu z koncentrace soudních řízení. Podle statistik ministerstva vyjde jedno řízení v civilních věcech v průměru na 5.415,- Kč v prvním stupni, rozhoduje-li okresní soud, v případě krajského soudu jakožto soudu prvního stupně je tato částka vyšší, cca 26.061,- Kč.</w:t>
      </w:r>
      <w:r>
        <w:rPr>
          <w:rStyle w:val="Znakapoznpodarou"/>
          <w:b/>
        </w:rPr>
        <w:footnoteReference w:id="26"/>
      </w:r>
      <w:r>
        <w:t xml:space="preserve"> </w:t>
      </w:r>
    </w:p>
    <w:p w14:paraId="35C0D6F3" w14:textId="77777777" w:rsidR="009E542C" w:rsidRDefault="009E542C" w:rsidP="009E542C">
      <w:pPr>
        <w:keepNext w:val="0"/>
      </w:pPr>
    </w:p>
    <w:p w14:paraId="4202E8A4" w14:textId="459AD836" w:rsidR="009E542C" w:rsidRDefault="009E542C" w:rsidP="009E542C">
      <w:pPr>
        <w:keepNext w:val="0"/>
      </w:pPr>
      <w:r>
        <w:t>Vztáhneme-li úspory na modelové příklady v kapitole 4.2, lze dospět k následujícím úsporám:</w:t>
      </w:r>
    </w:p>
    <w:p w14:paraId="04A3B68C" w14:textId="77777777" w:rsidR="009E542C" w:rsidRDefault="009E542C" w:rsidP="009E542C">
      <w:pPr>
        <w:keepNext w:val="0"/>
      </w:pPr>
    </w:p>
    <w:p w14:paraId="179EB99B" w14:textId="77777777" w:rsidR="009E542C" w:rsidRPr="00325300" w:rsidRDefault="009E542C" w:rsidP="009E542C">
      <w:pPr>
        <w:keepNext w:val="0"/>
        <w:rPr>
          <w:b/>
        </w:rPr>
      </w:pPr>
      <w:r w:rsidRPr="00325300">
        <w:rPr>
          <w:b/>
        </w:rPr>
        <w:t>I. Modelový příklad č. 1:</w:t>
      </w:r>
    </w:p>
    <w:tbl>
      <w:tblPr>
        <w:tblStyle w:val="Svtlseznamzvrazn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1468"/>
        <w:gridCol w:w="1731"/>
        <w:gridCol w:w="1285"/>
        <w:gridCol w:w="2621"/>
      </w:tblGrid>
      <w:tr w:rsidR="009E542C" w14:paraId="7EC53607" w14:textId="77777777" w:rsidTr="00C37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43313F" w14:textId="77777777" w:rsidR="009E542C" w:rsidRDefault="009E542C" w:rsidP="009E542C">
            <w:pPr>
              <w:pStyle w:val="Nadpis2"/>
              <w:keepNext w:val="0"/>
              <w:numPr>
                <w:ilvl w:val="0"/>
                <w:numId w:val="0"/>
              </w:numPr>
              <w:spacing w:before="0" w:after="0"/>
              <w:jc w:val="center"/>
              <w:outlineLvl w:val="1"/>
              <w:rPr>
                <w:b/>
              </w:rPr>
            </w:pPr>
          </w:p>
        </w:tc>
        <w:tc>
          <w:tcPr>
            <w:tcW w:w="0" w:type="auto"/>
            <w:vAlign w:val="center"/>
          </w:tcPr>
          <w:p w14:paraId="0FC511BC"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Počet nároků</w:t>
            </w:r>
          </w:p>
        </w:tc>
        <w:tc>
          <w:tcPr>
            <w:tcW w:w="0" w:type="auto"/>
            <w:vAlign w:val="center"/>
          </w:tcPr>
          <w:p w14:paraId="16461697"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Náklady na 1 řízení</w:t>
            </w:r>
          </w:p>
        </w:tc>
        <w:tc>
          <w:tcPr>
            <w:tcW w:w="0" w:type="auto"/>
            <w:vAlign w:val="center"/>
          </w:tcPr>
          <w:p w14:paraId="19DD68AA"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Počet řízení</w:t>
            </w:r>
          </w:p>
        </w:tc>
        <w:tc>
          <w:tcPr>
            <w:tcW w:w="0" w:type="auto"/>
            <w:vAlign w:val="center"/>
          </w:tcPr>
          <w:p w14:paraId="5E04F203"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Celkové náklady na straně soudu</w:t>
            </w:r>
          </w:p>
        </w:tc>
      </w:tr>
      <w:tr w:rsidR="009E542C" w14:paraId="35382C77" w14:textId="77777777" w:rsidTr="00C37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14:paraId="6EB69BAF" w14:textId="77777777" w:rsidR="009E542C" w:rsidRDefault="009E542C" w:rsidP="009E542C">
            <w:pPr>
              <w:pStyle w:val="Nadpis2"/>
              <w:keepNext w:val="0"/>
              <w:numPr>
                <w:ilvl w:val="0"/>
                <w:numId w:val="0"/>
              </w:numPr>
              <w:spacing w:before="0" w:after="0"/>
              <w:jc w:val="center"/>
              <w:outlineLvl w:val="1"/>
              <w:rPr>
                <w:b/>
              </w:rPr>
            </w:pPr>
            <w:r>
              <w:rPr>
                <w:b/>
              </w:rPr>
              <w:t>Individuální vymáhání (1.st. okresní soud)</w:t>
            </w:r>
          </w:p>
        </w:tc>
        <w:tc>
          <w:tcPr>
            <w:tcW w:w="0" w:type="auto"/>
            <w:tcBorders>
              <w:top w:val="none" w:sz="0" w:space="0" w:color="auto"/>
              <w:bottom w:val="none" w:sz="0" w:space="0" w:color="auto"/>
            </w:tcBorders>
            <w:vAlign w:val="center"/>
          </w:tcPr>
          <w:p w14:paraId="6E7F6D33"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300 000</w:t>
            </w:r>
          </w:p>
        </w:tc>
        <w:tc>
          <w:tcPr>
            <w:tcW w:w="0" w:type="auto"/>
            <w:tcBorders>
              <w:top w:val="none" w:sz="0" w:space="0" w:color="auto"/>
              <w:bottom w:val="none" w:sz="0" w:space="0" w:color="auto"/>
            </w:tcBorders>
            <w:vAlign w:val="center"/>
          </w:tcPr>
          <w:p w14:paraId="298D3BA2"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5.415,-Kč</w:t>
            </w:r>
          </w:p>
        </w:tc>
        <w:tc>
          <w:tcPr>
            <w:tcW w:w="0" w:type="auto"/>
            <w:tcBorders>
              <w:top w:val="none" w:sz="0" w:space="0" w:color="auto"/>
              <w:bottom w:val="none" w:sz="0" w:space="0" w:color="auto"/>
            </w:tcBorders>
            <w:vAlign w:val="center"/>
          </w:tcPr>
          <w:p w14:paraId="2A35844E" w14:textId="77777777" w:rsidR="009E542C" w:rsidRPr="00E520E7"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300 000</w:t>
            </w:r>
          </w:p>
        </w:tc>
        <w:tc>
          <w:tcPr>
            <w:tcW w:w="0" w:type="auto"/>
            <w:tcBorders>
              <w:top w:val="none" w:sz="0" w:space="0" w:color="auto"/>
              <w:bottom w:val="none" w:sz="0" w:space="0" w:color="auto"/>
              <w:right w:val="none" w:sz="0" w:space="0" w:color="auto"/>
            </w:tcBorders>
            <w:vAlign w:val="center"/>
          </w:tcPr>
          <w:p w14:paraId="62215EA1"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sidRPr="00E520E7">
              <w:rPr>
                <w:b w:val="0"/>
              </w:rPr>
              <w:t>1</w:t>
            </w:r>
            <w:r>
              <w:rPr>
                <w:b w:val="0"/>
              </w:rPr>
              <w:t>.</w:t>
            </w:r>
            <w:r w:rsidRPr="00E520E7">
              <w:rPr>
                <w:b w:val="0"/>
              </w:rPr>
              <w:t>624</w:t>
            </w:r>
            <w:r>
              <w:rPr>
                <w:b w:val="0"/>
              </w:rPr>
              <w:t>.</w:t>
            </w:r>
            <w:r w:rsidRPr="00E520E7">
              <w:rPr>
                <w:b w:val="0"/>
              </w:rPr>
              <w:t>500</w:t>
            </w:r>
            <w:r>
              <w:rPr>
                <w:b w:val="0"/>
              </w:rPr>
              <w:t>.</w:t>
            </w:r>
            <w:r w:rsidRPr="00E520E7">
              <w:rPr>
                <w:b w:val="0"/>
              </w:rPr>
              <w:t>000</w:t>
            </w:r>
          </w:p>
        </w:tc>
      </w:tr>
      <w:tr w:rsidR="009E542C" w14:paraId="17580979" w14:textId="77777777" w:rsidTr="00C37C58">
        <w:tc>
          <w:tcPr>
            <w:cnfStyle w:val="001000000000" w:firstRow="0" w:lastRow="0" w:firstColumn="1" w:lastColumn="0" w:oddVBand="0" w:evenVBand="0" w:oddHBand="0" w:evenHBand="0" w:firstRowFirstColumn="0" w:firstRowLastColumn="0" w:lastRowFirstColumn="0" w:lastRowLastColumn="0"/>
            <w:tcW w:w="0" w:type="auto"/>
            <w:vAlign w:val="center"/>
          </w:tcPr>
          <w:p w14:paraId="470EB33D" w14:textId="77777777" w:rsidR="009E542C" w:rsidRDefault="009E542C" w:rsidP="009E542C">
            <w:pPr>
              <w:pStyle w:val="Nadpis2"/>
              <w:keepNext w:val="0"/>
              <w:numPr>
                <w:ilvl w:val="0"/>
                <w:numId w:val="0"/>
              </w:numPr>
              <w:spacing w:before="0" w:after="0"/>
              <w:jc w:val="center"/>
              <w:outlineLvl w:val="1"/>
              <w:rPr>
                <w:b/>
              </w:rPr>
            </w:pPr>
            <w:r>
              <w:rPr>
                <w:b/>
              </w:rPr>
              <w:t>Hromadná žaloba (1.st. krajský soud)</w:t>
            </w:r>
            <w:r>
              <w:rPr>
                <w:rStyle w:val="Znakapoznpodarou"/>
                <w:b/>
              </w:rPr>
              <w:footnoteReference w:id="27"/>
            </w:r>
          </w:p>
        </w:tc>
        <w:tc>
          <w:tcPr>
            <w:tcW w:w="0" w:type="auto"/>
            <w:vAlign w:val="center"/>
          </w:tcPr>
          <w:p w14:paraId="19FEF51E"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300 000</w:t>
            </w:r>
          </w:p>
        </w:tc>
        <w:tc>
          <w:tcPr>
            <w:tcW w:w="0" w:type="auto"/>
            <w:vAlign w:val="center"/>
          </w:tcPr>
          <w:p w14:paraId="650E3E16"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26.061,-Kč</w:t>
            </w:r>
          </w:p>
        </w:tc>
        <w:tc>
          <w:tcPr>
            <w:tcW w:w="0" w:type="auto"/>
            <w:vAlign w:val="center"/>
          </w:tcPr>
          <w:p w14:paraId="6E70C90D"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1</w:t>
            </w:r>
          </w:p>
        </w:tc>
        <w:tc>
          <w:tcPr>
            <w:tcW w:w="0" w:type="auto"/>
            <w:vAlign w:val="center"/>
          </w:tcPr>
          <w:p w14:paraId="77DDE99C"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26.061,-Kč</w:t>
            </w:r>
          </w:p>
        </w:tc>
      </w:tr>
      <w:tr w:rsidR="009E542C" w14:paraId="61DBE570" w14:textId="77777777" w:rsidTr="00C37C5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14:paraId="27702DEA" w14:textId="77777777" w:rsidR="009E542C" w:rsidRPr="00325300" w:rsidRDefault="009E542C" w:rsidP="009E542C">
            <w:pPr>
              <w:pStyle w:val="Nadpis2"/>
              <w:keepNext w:val="0"/>
              <w:numPr>
                <w:ilvl w:val="0"/>
                <w:numId w:val="0"/>
              </w:numPr>
              <w:spacing w:before="0" w:after="0"/>
              <w:jc w:val="center"/>
              <w:outlineLvl w:val="1"/>
              <w:rPr>
                <w:b/>
                <w:color w:val="C00000"/>
              </w:rPr>
            </w:pPr>
            <w:r w:rsidRPr="00325300">
              <w:rPr>
                <w:b/>
                <w:color w:val="C00000"/>
              </w:rPr>
              <w:t>Úspora na straně státu</w:t>
            </w:r>
          </w:p>
        </w:tc>
        <w:tc>
          <w:tcPr>
            <w:tcW w:w="0" w:type="auto"/>
            <w:tcBorders>
              <w:top w:val="none" w:sz="0" w:space="0" w:color="auto"/>
              <w:bottom w:val="none" w:sz="0" w:space="0" w:color="auto"/>
            </w:tcBorders>
            <w:vAlign w:val="center"/>
          </w:tcPr>
          <w:p w14:paraId="159E4460"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0" w:type="auto"/>
            <w:tcBorders>
              <w:top w:val="none" w:sz="0" w:space="0" w:color="auto"/>
              <w:bottom w:val="none" w:sz="0" w:space="0" w:color="auto"/>
            </w:tcBorders>
            <w:vAlign w:val="center"/>
          </w:tcPr>
          <w:p w14:paraId="73B1CC99"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0" w:type="auto"/>
            <w:tcBorders>
              <w:top w:val="none" w:sz="0" w:space="0" w:color="auto"/>
              <w:bottom w:val="none" w:sz="0" w:space="0" w:color="auto"/>
            </w:tcBorders>
            <w:vAlign w:val="center"/>
          </w:tcPr>
          <w:p w14:paraId="0702EC7E"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0" w:type="auto"/>
            <w:tcBorders>
              <w:top w:val="none" w:sz="0" w:space="0" w:color="auto"/>
              <w:bottom w:val="none" w:sz="0" w:space="0" w:color="auto"/>
              <w:right w:val="none" w:sz="0" w:space="0" w:color="auto"/>
            </w:tcBorders>
            <w:vAlign w:val="center"/>
          </w:tcPr>
          <w:p w14:paraId="16374843"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r w:rsidRPr="00325300">
              <w:rPr>
                <w:b w:val="0"/>
                <w:color w:val="C00000"/>
              </w:rPr>
              <w:t>1.624.473.939,- Kč.</w:t>
            </w:r>
          </w:p>
        </w:tc>
      </w:tr>
    </w:tbl>
    <w:p w14:paraId="0966251B" w14:textId="2E0988AA" w:rsidR="009E542C" w:rsidRPr="00325300" w:rsidRDefault="009E542C" w:rsidP="009E542C">
      <w:pPr>
        <w:keepNext w:val="0"/>
        <w:rPr>
          <w:b/>
        </w:rPr>
      </w:pPr>
      <w:r w:rsidRPr="00325300">
        <w:rPr>
          <w:b/>
        </w:rPr>
        <w:t xml:space="preserve">II. Modelový příklad č. </w:t>
      </w:r>
      <w:r>
        <w:rPr>
          <w:b/>
        </w:rPr>
        <w:t>2</w:t>
      </w:r>
      <w:r w:rsidRPr="00325300">
        <w:rPr>
          <w:b/>
        </w:rPr>
        <w:t>:</w:t>
      </w:r>
    </w:p>
    <w:tbl>
      <w:tblPr>
        <w:tblStyle w:val="Svtlseznamzvraznn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1479"/>
        <w:gridCol w:w="1793"/>
        <w:gridCol w:w="1318"/>
        <w:gridCol w:w="2348"/>
      </w:tblGrid>
      <w:tr w:rsidR="009E542C" w14:paraId="73528CD4" w14:textId="77777777" w:rsidTr="00C37C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14:paraId="2EAA3A1A" w14:textId="77777777" w:rsidR="009E542C" w:rsidRDefault="009E542C" w:rsidP="009E542C">
            <w:pPr>
              <w:pStyle w:val="Nadpis2"/>
              <w:keepNext w:val="0"/>
              <w:numPr>
                <w:ilvl w:val="0"/>
                <w:numId w:val="0"/>
              </w:numPr>
              <w:spacing w:before="0" w:after="0"/>
              <w:jc w:val="center"/>
              <w:outlineLvl w:val="1"/>
              <w:rPr>
                <w:b/>
              </w:rPr>
            </w:pPr>
          </w:p>
        </w:tc>
        <w:tc>
          <w:tcPr>
            <w:tcW w:w="0" w:type="auto"/>
            <w:vAlign w:val="center"/>
          </w:tcPr>
          <w:p w14:paraId="5383C140"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Počet nároků</w:t>
            </w:r>
          </w:p>
        </w:tc>
        <w:tc>
          <w:tcPr>
            <w:tcW w:w="0" w:type="auto"/>
            <w:vAlign w:val="center"/>
          </w:tcPr>
          <w:p w14:paraId="00998ADF"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Náklady na 1 řízení</w:t>
            </w:r>
          </w:p>
        </w:tc>
        <w:tc>
          <w:tcPr>
            <w:tcW w:w="0" w:type="auto"/>
            <w:vAlign w:val="center"/>
          </w:tcPr>
          <w:p w14:paraId="1D713F97"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Počet řízení</w:t>
            </w:r>
          </w:p>
        </w:tc>
        <w:tc>
          <w:tcPr>
            <w:tcW w:w="2348" w:type="dxa"/>
            <w:vAlign w:val="center"/>
          </w:tcPr>
          <w:p w14:paraId="1CA14EA3" w14:textId="77777777" w:rsidR="009E542C" w:rsidRDefault="009E542C" w:rsidP="009E542C">
            <w:pPr>
              <w:pStyle w:val="Nadpis2"/>
              <w:keepNext w:val="0"/>
              <w:numPr>
                <w:ilvl w:val="0"/>
                <w:numId w:val="0"/>
              </w:numPr>
              <w:spacing w:before="0" w:after="0"/>
              <w:jc w:val="center"/>
              <w:outlineLvl w:val="1"/>
              <w:cnfStyle w:val="100000000000" w:firstRow="1" w:lastRow="0" w:firstColumn="0" w:lastColumn="0" w:oddVBand="0" w:evenVBand="0" w:oddHBand="0" w:evenHBand="0" w:firstRowFirstColumn="0" w:firstRowLastColumn="0" w:lastRowFirstColumn="0" w:lastRowLastColumn="0"/>
              <w:rPr>
                <w:b/>
              </w:rPr>
            </w:pPr>
            <w:r>
              <w:rPr>
                <w:b/>
              </w:rPr>
              <w:t>Celkové náklady na straně soudu</w:t>
            </w:r>
          </w:p>
        </w:tc>
      </w:tr>
      <w:tr w:rsidR="009E542C" w14:paraId="3B09A8DC" w14:textId="77777777" w:rsidTr="00C37C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14:paraId="40F19FC2" w14:textId="77777777" w:rsidR="009E542C" w:rsidRDefault="009E542C" w:rsidP="009E542C">
            <w:pPr>
              <w:pStyle w:val="Nadpis2"/>
              <w:keepNext w:val="0"/>
              <w:numPr>
                <w:ilvl w:val="0"/>
                <w:numId w:val="0"/>
              </w:numPr>
              <w:spacing w:before="0" w:after="0"/>
              <w:jc w:val="center"/>
              <w:outlineLvl w:val="1"/>
              <w:rPr>
                <w:b/>
              </w:rPr>
            </w:pPr>
            <w:r>
              <w:rPr>
                <w:b/>
              </w:rPr>
              <w:t>Individuální vymáhání (1.st. okresní soud)</w:t>
            </w:r>
          </w:p>
        </w:tc>
        <w:tc>
          <w:tcPr>
            <w:tcW w:w="0" w:type="auto"/>
            <w:tcBorders>
              <w:top w:val="none" w:sz="0" w:space="0" w:color="auto"/>
              <w:bottom w:val="none" w:sz="0" w:space="0" w:color="auto"/>
            </w:tcBorders>
            <w:vAlign w:val="center"/>
          </w:tcPr>
          <w:p w14:paraId="108AA594"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69</w:t>
            </w:r>
            <w:r>
              <w:rPr>
                <w:rStyle w:val="Znakapoznpodarou"/>
                <w:b w:val="0"/>
              </w:rPr>
              <w:footnoteReference w:id="28"/>
            </w:r>
          </w:p>
        </w:tc>
        <w:tc>
          <w:tcPr>
            <w:tcW w:w="0" w:type="auto"/>
            <w:tcBorders>
              <w:top w:val="none" w:sz="0" w:space="0" w:color="auto"/>
              <w:bottom w:val="none" w:sz="0" w:space="0" w:color="auto"/>
            </w:tcBorders>
            <w:vAlign w:val="center"/>
          </w:tcPr>
          <w:p w14:paraId="31FED8E9"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5.415,-Kč</w:t>
            </w:r>
          </w:p>
        </w:tc>
        <w:tc>
          <w:tcPr>
            <w:tcW w:w="0" w:type="auto"/>
            <w:tcBorders>
              <w:top w:val="none" w:sz="0" w:space="0" w:color="auto"/>
              <w:bottom w:val="none" w:sz="0" w:space="0" w:color="auto"/>
            </w:tcBorders>
            <w:vAlign w:val="center"/>
          </w:tcPr>
          <w:p w14:paraId="18D43AB0" w14:textId="77777777" w:rsidR="009E542C" w:rsidRPr="00131B5E"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Pr>
                <w:b w:val="0"/>
              </w:rPr>
              <w:t>69</w:t>
            </w:r>
          </w:p>
        </w:tc>
        <w:tc>
          <w:tcPr>
            <w:tcW w:w="2348" w:type="dxa"/>
            <w:tcBorders>
              <w:top w:val="none" w:sz="0" w:space="0" w:color="auto"/>
              <w:bottom w:val="none" w:sz="0" w:space="0" w:color="auto"/>
              <w:right w:val="none" w:sz="0" w:space="0" w:color="auto"/>
            </w:tcBorders>
            <w:vAlign w:val="center"/>
          </w:tcPr>
          <w:p w14:paraId="20DC35D3" w14:textId="77777777" w:rsidR="009E542C"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rPr>
            </w:pPr>
            <w:r w:rsidRPr="00E520E7">
              <w:rPr>
                <w:b w:val="0"/>
              </w:rPr>
              <w:t>373</w:t>
            </w:r>
            <w:r>
              <w:rPr>
                <w:b w:val="0"/>
              </w:rPr>
              <w:t>.</w:t>
            </w:r>
            <w:r w:rsidRPr="00E520E7">
              <w:rPr>
                <w:b w:val="0"/>
              </w:rPr>
              <w:t>635</w:t>
            </w:r>
            <w:r>
              <w:rPr>
                <w:b w:val="0"/>
              </w:rPr>
              <w:t>,- Kč</w:t>
            </w:r>
          </w:p>
        </w:tc>
      </w:tr>
      <w:tr w:rsidR="009E542C" w14:paraId="64403376" w14:textId="77777777" w:rsidTr="00C37C58">
        <w:tc>
          <w:tcPr>
            <w:cnfStyle w:val="001000000000" w:firstRow="0" w:lastRow="0" w:firstColumn="1" w:lastColumn="0" w:oddVBand="0" w:evenVBand="0" w:oddHBand="0" w:evenHBand="0" w:firstRowFirstColumn="0" w:firstRowLastColumn="0" w:lastRowFirstColumn="0" w:lastRowLastColumn="0"/>
            <w:tcW w:w="0" w:type="auto"/>
            <w:vAlign w:val="center"/>
          </w:tcPr>
          <w:p w14:paraId="7C9FC527" w14:textId="77777777" w:rsidR="009E542C" w:rsidRDefault="009E542C" w:rsidP="009E542C">
            <w:pPr>
              <w:pStyle w:val="Nadpis2"/>
              <w:keepNext w:val="0"/>
              <w:numPr>
                <w:ilvl w:val="0"/>
                <w:numId w:val="0"/>
              </w:numPr>
              <w:spacing w:before="0" w:after="0"/>
              <w:jc w:val="center"/>
              <w:outlineLvl w:val="1"/>
              <w:rPr>
                <w:b/>
              </w:rPr>
            </w:pPr>
            <w:r>
              <w:rPr>
                <w:b/>
              </w:rPr>
              <w:t>Hromadná žaloba (1.st. krajský soud)</w:t>
            </w:r>
          </w:p>
        </w:tc>
        <w:tc>
          <w:tcPr>
            <w:tcW w:w="0" w:type="auto"/>
            <w:vAlign w:val="center"/>
          </w:tcPr>
          <w:p w14:paraId="185B6314"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69</w:t>
            </w:r>
          </w:p>
        </w:tc>
        <w:tc>
          <w:tcPr>
            <w:tcW w:w="0" w:type="auto"/>
            <w:vAlign w:val="center"/>
          </w:tcPr>
          <w:p w14:paraId="04F4BE20"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26.061,-Kč</w:t>
            </w:r>
          </w:p>
        </w:tc>
        <w:tc>
          <w:tcPr>
            <w:tcW w:w="0" w:type="auto"/>
            <w:vAlign w:val="center"/>
          </w:tcPr>
          <w:p w14:paraId="3C2E8C85"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1</w:t>
            </w:r>
          </w:p>
        </w:tc>
        <w:tc>
          <w:tcPr>
            <w:tcW w:w="2348" w:type="dxa"/>
            <w:vAlign w:val="center"/>
          </w:tcPr>
          <w:p w14:paraId="60D19B50" w14:textId="77777777" w:rsidR="009E542C" w:rsidRDefault="009E542C" w:rsidP="009E542C">
            <w:pPr>
              <w:pStyle w:val="Nadpis2"/>
              <w:keepNext w:val="0"/>
              <w:numPr>
                <w:ilvl w:val="0"/>
                <w:numId w:val="0"/>
              </w:numPr>
              <w:spacing w:before="0" w:after="0"/>
              <w:jc w:val="center"/>
              <w:outlineLvl w:val="1"/>
              <w:cnfStyle w:val="000000000000" w:firstRow="0" w:lastRow="0" w:firstColumn="0" w:lastColumn="0" w:oddVBand="0" w:evenVBand="0" w:oddHBand="0" w:evenHBand="0" w:firstRowFirstColumn="0" w:firstRowLastColumn="0" w:lastRowFirstColumn="0" w:lastRowLastColumn="0"/>
              <w:rPr>
                <w:b w:val="0"/>
              </w:rPr>
            </w:pPr>
            <w:r>
              <w:rPr>
                <w:b w:val="0"/>
              </w:rPr>
              <w:t>26.061,-Kč</w:t>
            </w:r>
          </w:p>
        </w:tc>
      </w:tr>
      <w:tr w:rsidR="009E542C" w14:paraId="5F9147C2" w14:textId="77777777" w:rsidTr="00C37C58">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vAlign w:val="center"/>
          </w:tcPr>
          <w:p w14:paraId="0E03292F" w14:textId="77777777" w:rsidR="009E542C" w:rsidRPr="00325300" w:rsidRDefault="009E542C" w:rsidP="009E542C">
            <w:pPr>
              <w:pStyle w:val="Nadpis2"/>
              <w:keepNext w:val="0"/>
              <w:numPr>
                <w:ilvl w:val="0"/>
                <w:numId w:val="0"/>
              </w:numPr>
              <w:spacing w:before="0" w:after="0"/>
              <w:jc w:val="center"/>
              <w:outlineLvl w:val="1"/>
              <w:rPr>
                <w:b/>
                <w:color w:val="C00000"/>
              </w:rPr>
            </w:pPr>
            <w:r w:rsidRPr="00325300">
              <w:rPr>
                <w:b/>
                <w:color w:val="C00000"/>
              </w:rPr>
              <w:t>Úspora na straně státu</w:t>
            </w:r>
          </w:p>
        </w:tc>
        <w:tc>
          <w:tcPr>
            <w:tcW w:w="0" w:type="auto"/>
            <w:tcBorders>
              <w:top w:val="none" w:sz="0" w:space="0" w:color="auto"/>
              <w:bottom w:val="none" w:sz="0" w:space="0" w:color="auto"/>
            </w:tcBorders>
            <w:vAlign w:val="center"/>
          </w:tcPr>
          <w:p w14:paraId="2A4FB875"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0" w:type="auto"/>
            <w:tcBorders>
              <w:top w:val="none" w:sz="0" w:space="0" w:color="auto"/>
              <w:bottom w:val="none" w:sz="0" w:space="0" w:color="auto"/>
            </w:tcBorders>
            <w:vAlign w:val="center"/>
          </w:tcPr>
          <w:p w14:paraId="4F6425D0"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0" w:type="auto"/>
            <w:tcBorders>
              <w:top w:val="none" w:sz="0" w:space="0" w:color="auto"/>
              <w:bottom w:val="none" w:sz="0" w:space="0" w:color="auto"/>
            </w:tcBorders>
            <w:vAlign w:val="center"/>
          </w:tcPr>
          <w:p w14:paraId="500B7713"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p>
        </w:tc>
        <w:tc>
          <w:tcPr>
            <w:tcW w:w="2348" w:type="dxa"/>
            <w:tcBorders>
              <w:top w:val="none" w:sz="0" w:space="0" w:color="auto"/>
              <w:bottom w:val="none" w:sz="0" w:space="0" w:color="auto"/>
              <w:right w:val="none" w:sz="0" w:space="0" w:color="auto"/>
            </w:tcBorders>
            <w:vAlign w:val="center"/>
          </w:tcPr>
          <w:p w14:paraId="62E3FDED" w14:textId="77777777" w:rsidR="009E542C" w:rsidRPr="00325300" w:rsidRDefault="009E542C" w:rsidP="009E542C">
            <w:pPr>
              <w:pStyle w:val="Nadpis2"/>
              <w:keepNext w:val="0"/>
              <w:numPr>
                <w:ilvl w:val="0"/>
                <w:numId w:val="0"/>
              </w:numPr>
              <w:spacing w:before="0" w:after="0"/>
              <w:jc w:val="center"/>
              <w:outlineLvl w:val="1"/>
              <w:cnfStyle w:val="000000100000" w:firstRow="0" w:lastRow="0" w:firstColumn="0" w:lastColumn="0" w:oddVBand="0" w:evenVBand="0" w:oddHBand="1" w:evenHBand="0" w:firstRowFirstColumn="0" w:firstRowLastColumn="0" w:lastRowFirstColumn="0" w:lastRowLastColumn="0"/>
              <w:rPr>
                <w:b w:val="0"/>
                <w:color w:val="C00000"/>
              </w:rPr>
            </w:pPr>
            <w:r w:rsidRPr="00325300">
              <w:rPr>
                <w:b w:val="0"/>
                <w:color w:val="C00000"/>
              </w:rPr>
              <w:t>347.574,- Kč.</w:t>
            </w:r>
          </w:p>
        </w:tc>
      </w:tr>
    </w:tbl>
    <w:p w14:paraId="637AD56F" w14:textId="77777777" w:rsidR="009E542C" w:rsidRDefault="009E542C" w:rsidP="009E542C">
      <w:pPr>
        <w:keepNext w:val="0"/>
      </w:pPr>
    </w:p>
    <w:p w14:paraId="7A5AFC1B" w14:textId="77777777" w:rsidR="009E542C" w:rsidRDefault="009E542C" w:rsidP="009E542C">
      <w:pPr>
        <w:keepNext w:val="0"/>
      </w:pPr>
      <w:r>
        <w:t>Uvedené údaje jsou pouze orientační, skutečné úspory mohou zkreslovat některé z následujících faktorů:</w:t>
      </w:r>
    </w:p>
    <w:p w14:paraId="0F869085" w14:textId="77777777" w:rsidR="009E542C" w:rsidRDefault="009E542C" w:rsidP="009E542C">
      <w:pPr>
        <w:keepNext w:val="0"/>
        <w:ind w:left="567"/>
      </w:pPr>
      <w:r>
        <w:t>1. ne všechny zvažované nároky se dnes uplatňují v tak velké míře (vyšší nároky se zpravidla uplatňují, nižší méně);</w:t>
      </w:r>
    </w:p>
    <w:p w14:paraId="386309C5" w14:textId="77777777" w:rsidR="009E542C" w:rsidRDefault="009E542C" w:rsidP="009E542C">
      <w:pPr>
        <w:keepNext w:val="0"/>
        <w:ind w:left="567"/>
      </w:pPr>
      <w:r>
        <w:t>2. někteří členové skupiny budou upřednostňovat uplatňování nároků individuálně (odhadem však méně než 1-5%);</w:t>
      </w:r>
    </w:p>
    <w:p w14:paraId="4A7AA109" w14:textId="77777777" w:rsidR="009E542C" w:rsidRDefault="009E542C" w:rsidP="009E542C">
      <w:pPr>
        <w:keepNext w:val="0"/>
        <w:ind w:left="567"/>
      </w:pPr>
      <w:r>
        <w:t>3. v případě individuálního řízení se nezohledňuje možnost soudů tato řízení spojit;</w:t>
      </w:r>
    </w:p>
    <w:p w14:paraId="5D80A145" w14:textId="77777777" w:rsidR="009E542C" w:rsidRDefault="009E542C" w:rsidP="009E542C">
      <w:pPr>
        <w:keepNext w:val="0"/>
        <w:ind w:left="567"/>
      </w:pPr>
      <w:r>
        <w:t>4. výpočty počítají pouze s nalézacím řízením v prvním stupni; zohledněny nejsou náklady na odvolací/dovolací řízení či výkon rozhodnutí;</w:t>
      </w:r>
    </w:p>
    <w:p w14:paraId="2AB7CD74" w14:textId="77777777" w:rsidR="009E542C" w:rsidRDefault="009E542C" w:rsidP="009E542C">
      <w:pPr>
        <w:keepNext w:val="0"/>
        <w:ind w:left="567"/>
      </w:pPr>
      <w:r>
        <w:t>5. náklady na projednání hromadného řízení zřejmě budou drobně vyšší než průměrné náklady řízení před krajským soudem jakožto soudem prvního stupně.</w:t>
      </w:r>
    </w:p>
    <w:p w14:paraId="68519881" w14:textId="77777777" w:rsidR="009E542C" w:rsidRDefault="009E542C" w:rsidP="009E542C">
      <w:pPr>
        <w:keepNext w:val="0"/>
        <w:ind w:left="567"/>
      </w:pPr>
    </w:p>
    <w:p w14:paraId="1D548400" w14:textId="77777777" w:rsidR="009E542C" w:rsidRDefault="009E542C" w:rsidP="009E542C">
      <w:pPr>
        <w:keepNext w:val="0"/>
      </w:pPr>
      <w:r>
        <w:t>Přes tato drobná zkreslení je však zřejmé, že úspory na straně státu budou obrovské. Tyto úspory budou nepochybně převyšovat náklady na zaškolení soudců a personální a technické vybavení dotčených soudů, které budou zanedbatelné.</w:t>
      </w:r>
    </w:p>
    <w:p w14:paraId="4E58C67F" w14:textId="77777777" w:rsidR="009E542C" w:rsidRDefault="009E542C" w:rsidP="009E542C">
      <w:pPr>
        <w:keepNext w:val="0"/>
      </w:pPr>
    </w:p>
    <w:p w14:paraId="74025730" w14:textId="77777777" w:rsidR="009E542C" w:rsidRDefault="009E542C" w:rsidP="009E542C">
      <w:pPr>
        <w:keepNext w:val="0"/>
      </w:pPr>
      <w:r>
        <w:t>Rovněž lze předpokládat, že na straně státu dojde k dalšímu pozitivnímu dopadu na státní rozpočet v rozsahu zbývající částky ve společném fondu, která zůstane od oprávněných subjektů</w:t>
      </w:r>
      <w:r w:rsidRPr="009B133D">
        <w:t xml:space="preserve"> </w:t>
      </w:r>
      <w:r>
        <w:t>nevyzvednuta. Tato částka podle věcného záměru propadne státu a bude moci být využita například v boji s nekalými praktikami podnikatelů.</w:t>
      </w:r>
    </w:p>
    <w:p w14:paraId="279C3AE1" w14:textId="77777777" w:rsidR="009E542C" w:rsidRDefault="009E542C" w:rsidP="009E542C">
      <w:pPr>
        <w:keepNext w:val="0"/>
      </w:pPr>
    </w:p>
    <w:p w14:paraId="37B784EE" w14:textId="18D7BDE2" w:rsidR="009E542C" w:rsidRPr="005A7C1A" w:rsidRDefault="009E542C" w:rsidP="009E542C">
      <w:pPr>
        <w:keepNext w:val="0"/>
      </w:pPr>
      <w:r>
        <w:t xml:space="preserve">Konečně se sníží tlak na činnost kontrolních a dozorových státních orgánů, který je v současné době z důvodu chybějící úpravy kolektivní procesní ochrany velmi vysoký.   </w:t>
      </w:r>
    </w:p>
    <w:p w14:paraId="687400FB" w14:textId="77777777" w:rsidR="00342760" w:rsidRDefault="00342760" w:rsidP="009E542C">
      <w:pPr>
        <w:keepNext w:val="0"/>
      </w:pPr>
    </w:p>
    <w:p w14:paraId="1FDDEC1F" w14:textId="77777777" w:rsidR="00342760" w:rsidRDefault="00342760" w:rsidP="009E542C">
      <w:pPr>
        <w:pStyle w:val="Nadpis3"/>
        <w:keepNext w:val="0"/>
      </w:pPr>
      <w:r>
        <w:t>Sociální dopady</w:t>
      </w:r>
    </w:p>
    <w:p w14:paraId="1FB81171" w14:textId="309B0C32" w:rsidR="00342760" w:rsidRDefault="00342760" w:rsidP="009E542C">
      <w:pPr>
        <w:keepNext w:val="0"/>
      </w:pPr>
      <w:r>
        <w:t>S přijetím zákona o hromadných žalobách lze spatřovat nepřímo pozitivní dopad zejména v oblasti ochrany spotřebitelů, kterým se obecně zlepší přístup k justici – budou moci snáz uplatňovat i</w:t>
      </w:r>
      <w:r w:rsidR="00B203DE">
        <w:t> </w:t>
      </w:r>
      <w:r>
        <w:t>bagatelní nároky, aniž by byli zatíženi poplatkovou povinností či hrazením nákladů řízení.</w:t>
      </w:r>
    </w:p>
    <w:p w14:paraId="45568243" w14:textId="77777777" w:rsidR="00342760" w:rsidRDefault="00342760" w:rsidP="009E542C">
      <w:pPr>
        <w:keepNext w:val="0"/>
      </w:pPr>
    </w:p>
    <w:p w14:paraId="5A952B14" w14:textId="77777777" w:rsidR="00342760" w:rsidRDefault="00342760" w:rsidP="009E542C">
      <w:pPr>
        <w:pStyle w:val="Nadpis3"/>
        <w:keepNext w:val="0"/>
      </w:pPr>
      <w:r>
        <w:t>Dopady na podnikatelské prostředí</w:t>
      </w:r>
    </w:p>
    <w:p w14:paraId="27A28272" w14:textId="0A8F8DC2" w:rsidR="00342760" w:rsidRDefault="00342760" w:rsidP="009E542C">
      <w:pPr>
        <w:keepNext w:val="0"/>
      </w:pPr>
      <w:r>
        <w:t>Jak bylo výše řečeno, dosavadní situace nahrává nezdravému podnikatelskému prostředí. Se</w:t>
      </w:r>
      <w:r w:rsidR="00B203DE">
        <w:t> </w:t>
      </w:r>
      <w:r>
        <w:t>zavedením nové právní úpravy však dojde ke zlepšení této situace a to jednak pro případ, kdy podnikatelé zejména v oblasti ochrany spotřebitele budou nuceni upouštět od svého protiprávního jednání. Na druhou stranu, jestliže samotnému podnikateli vznikne uplatnitelný nárok, bude i jemu náležet procesní legitimace k podání hromadné žaloby. Tímto dojde veskrze k pozitivním dopadům na podnikatelské prostředí.</w:t>
      </w:r>
    </w:p>
    <w:p w14:paraId="22D01F74" w14:textId="77777777" w:rsidR="00342760" w:rsidRDefault="00342760" w:rsidP="009E542C">
      <w:pPr>
        <w:keepNext w:val="0"/>
      </w:pPr>
    </w:p>
    <w:p w14:paraId="207323A3" w14:textId="77777777" w:rsidR="00342760" w:rsidRDefault="00342760" w:rsidP="009E542C">
      <w:pPr>
        <w:pStyle w:val="Nadpis3"/>
        <w:keepNext w:val="0"/>
      </w:pPr>
      <w:r>
        <w:t>Dopady na životní prostředí</w:t>
      </w:r>
    </w:p>
    <w:p w14:paraId="152EBB10" w14:textId="23B89BD8" w:rsidR="00342760" w:rsidRDefault="00342760" w:rsidP="009E542C">
      <w:pPr>
        <w:keepNext w:val="0"/>
      </w:pPr>
      <w:r>
        <w:t xml:space="preserve">Ve světle nové právní úpravy lze mít dopady na oblast životního prostředí za pozitivní. Bude zde možnost </w:t>
      </w:r>
      <w:r w:rsidR="00D16266">
        <w:t>obrany</w:t>
      </w:r>
      <w:r>
        <w:t xml:space="preserve"> proti škůdci tak, aby se zdržel protiprávního jednání. Následně bude také možné se domáhat vůči němu i náhrady škody. Taková úprava povede též k preventivním účelům z hlediska dalšího poškozování životního prostředí, neboť škůdci nebudou mít již zájem </w:t>
      </w:r>
      <w:r w:rsidR="00D16266">
        <w:t>pokračovat</w:t>
      </w:r>
      <w:r>
        <w:t xml:space="preserve"> v</w:t>
      </w:r>
      <w:r w:rsidR="00B203DE">
        <w:t> </w:t>
      </w:r>
      <w:r>
        <w:t>protiprávním jednání pod rizikem hromadného uplatňování nároků ze strany poškozených.</w:t>
      </w:r>
    </w:p>
    <w:p w14:paraId="6C4F6FA8" w14:textId="7ACF47C5" w:rsidR="006D2959" w:rsidRDefault="006D2959" w:rsidP="009E542C">
      <w:pPr>
        <w:pStyle w:val="Nadpis2"/>
        <w:keepNext w:val="0"/>
        <w:spacing w:line="360" w:lineRule="auto"/>
      </w:pPr>
      <w:r w:rsidRPr="006D2959">
        <w:t xml:space="preserve">Zhodnocení dopadů navrhované řešení </w:t>
      </w:r>
      <w:r w:rsidR="00B203DE">
        <w:t>ve vztahu k zákazu diskriminace</w:t>
      </w:r>
    </w:p>
    <w:p w14:paraId="163445C8" w14:textId="42DB6AF0" w:rsidR="006D2959" w:rsidRDefault="006D2959" w:rsidP="009E542C">
      <w:pPr>
        <w:keepNext w:val="0"/>
      </w:pPr>
      <w:r w:rsidRPr="005660B7">
        <w:t xml:space="preserve">Navrhované varianty úpravy nejsou v rozporu </w:t>
      </w:r>
      <w:r w:rsidR="00D16266">
        <w:t xml:space="preserve">se zákazem </w:t>
      </w:r>
      <w:r w:rsidRPr="005660B7">
        <w:t>diskriminace. Rovněž nejsou v rozporu se zákonem č. 198/2009 Sb., o rovném zacházení a o právních prostředcích ochrany před diskriminací a o změně některých zákonů (antidiskriminační zákon). Neobsahují také žádná</w:t>
      </w:r>
      <w:r>
        <w:t xml:space="preserve"> ustanov</w:t>
      </w:r>
      <w:r w:rsidR="00342760">
        <w:t>ení, která by narušovala</w:t>
      </w:r>
      <w:r w:rsidRPr="005660B7">
        <w:t xml:space="preserve"> </w:t>
      </w:r>
      <w:r w:rsidR="00342760">
        <w:t>právo na rovné zacházení a vedla</w:t>
      </w:r>
      <w:r w:rsidRPr="005660B7">
        <w:t xml:space="preserve"> k diskriminaci.</w:t>
      </w:r>
    </w:p>
    <w:p w14:paraId="6E65D76E" w14:textId="77777777" w:rsidR="006D2959" w:rsidRPr="005660B7" w:rsidRDefault="006D2959" w:rsidP="009E542C">
      <w:pPr>
        <w:keepNext w:val="0"/>
      </w:pPr>
    </w:p>
    <w:p w14:paraId="1DB1AC9A" w14:textId="757C0167" w:rsidR="006D2959" w:rsidRDefault="006D2959" w:rsidP="009E542C">
      <w:pPr>
        <w:keepNext w:val="0"/>
      </w:pPr>
      <w:r w:rsidRPr="005660B7">
        <w:t xml:space="preserve">Naopak lze očekávat </w:t>
      </w:r>
      <w:r>
        <w:t xml:space="preserve">nepřímo pozitivní </w:t>
      </w:r>
      <w:r w:rsidRPr="005660B7">
        <w:t>dopady zejména v oblasti diskriminace v zaměstnání, kdy bude dána možnost hromadného uplatňování nároků obětem diskriminace, které budou mít větší šanci na úspěch ve sporu. Současně takové opatření bude sloužit jako prevence vůči diskriminačnímu chování jako takovému.</w:t>
      </w:r>
      <w:r w:rsidR="002621F1">
        <w:t xml:space="preserve"> </w:t>
      </w:r>
    </w:p>
    <w:p w14:paraId="45C20F70" w14:textId="77777777" w:rsidR="006D2959" w:rsidRPr="005660B7" w:rsidRDefault="006D2959" w:rsidP="009E542C">
      <w:pPr>
        <w:pStyle w:val="Nadpis2"/>
        <w:keepNext w:val="0"/>
        <w:spacing w:line="360" w:lineRule="auto"/>
      </w:pPr>
      <w:r w:rsidRPr="005660B7">
        <w:t>Dopady na ochranu soukromí a osobních údajů</w:t>
      </w:r>
    </w:p>
    <w:p w14:paraId="4E6CCF99" w14:textId="1878B273" w:rsidR="001E1AC2" w:rsidRDefault="001E1AC2" w:rsidP="009E542C">
      <w:pPr>
        <w:keepNext w:val="0"/>
      </w:pPr>
      <w:r>
        <w:t xml:space="preserve">Věcný záměr počítá se zpracováním osobních údajů fyzických osob (tj. zejména členů skupiny) příslušnými zpracovateli (tj. soudy a advokáty). Zejména je v této souvislosti nezbytné poukázat na vznik </w:t>
      </w:r>
      <w:r w:rsidR="009E542C">
        <w:t>databáze</w:t>
      </w:r>
      <w:r>
        <w:t xml:space="preserve"> skupinových řízení. Navrhovaná právní úprava tak má nepochybně dopady na ochranu soukromí a osobních údajů, přičemž z pohledu ochrany soukromí a osobních údajů lze k věcnému záměru uvést následující.</w:t>
      </w:r>
    </w:p>
    <w:p w14:paraId="09A471E4" w14:textId="77777777" w:rsidR="00924B11" w:rsidRDefault="00924B11" w:rsidP="009E542C">
      <w:pPr>
        <w:keepNext w:val="0"/>
      </w:pPr>
    </w:p>
    <w:p w14:paraId="3F6512C6" w14:textId="2C9788F0" w:rsidR="001E1AC2" w:rsidRDefault="001E1AC2" w:rsidP="009E542C">
      <w:pPr>
        <w:keepNext w:val="0"/>
      </w:pPr>
      <w:r>
        <w:t>Zaprvé, právo fyzických osob na ochranu v souvislosti se zpracováním osobních údajů je právem základním (viz čl. 8 odst. 1 Listiny základních práv EU a čl. 10 odst. 2 a 3 Listiny základních práv a svobod). Nicméně právo na ochranu osobních údajů není právem absolutním; musí být posuzováno v souvislosti se svou funkcí ve společnosti a v souladu se zásadou proporcionality musí být v rovnováze s dalšími základními právy. V kontextu tzv. hromadných žalob zejména s právem na účinnou soudní ochranu a právem na spravedlivý proces.</w:t>
      </w:r>
    </w:p>
    <w:p w14:paraId="3CCB51EB" w14:textId="77777777" w:rsidR="001E1AC2" w:rsidRDefault="001E1AC2" w:rsidP="009E542C">
      <w:pPr>
        <w:keepNext w:val="0"/>
      </w:pPr>
    </w:p>
    <w:p w14:paraId="238E08E1" w14:textId="6F29351C" w:rsidR="001E1AC2" w:rsidRDefault="001E1AC2" w:rsidP="009E542C">
      <w:pPr>
        <w:keepNext w:val="0"/>
      </w:pPr>
      <w:r>
        <w:t>Zadruhé, jakékoliv zpracování osobních údajů by mělo být prováděno zákonným a spravedlivým způsobem. Účel, rozsah, způsob a další podrobnosti stran zpracování osobních zákonů tak budou jasně a srozumitelně stanoveny v zákoně. Navíc navrhovaná právní úprava tzv. hromadných žalob naváže na stávající právní úpravu, kdy právní úpravu obsaženou</w:t>
      </w:r>
      <w:r w:rsidRPr="001A3B47">
        <w:t xml:space="preserve"> v procesních kodexech (jako např. § 44 </w:t>
      </w:r>
      <w:r>
        <w:t>o.s.ř.</w:t>
      </w:r>
      <w:r w:rsidRPr="001A3B47">
        <w:t>) a jiných právních předpisech (viz např. vyhláška č. 37/1992 Sb., o jednacím řádu pro okresní a krajské soudy, ve znění pozdějších předpisů</w:t>
      </w:r>
      <w:r>
        <w:t xml:space="preserve">, </w:t>
      </w:r>
      <w:r w:rsidRPr="001A3B47">
        <w:t>nebo instrukc</w:t>
      </w:r>
      <w:r>
        <w:t>e</w:t>
      </w:r>
      <w:r w:rsidRPr="001A3B47">
        <w:t xml:space="preserve"> Ministerstva spravedlnosti ze dne 3. prosince 2001, č. j. 505/2001–Org, kterou se vydává vnitřní a kancelářský řád pro okresní, krajské a vrchní soudy, ve znění pozdějších předpisů) </w:t>
      </w:r>
      <w:r>
        <w:t xml:space="preserve">je nezbytné považovat za </w:t>
      </w:r>
      <w:r>
        <w:rPr>
          <w:i/>
        </w:rPr>
        <w:t xml:space="preserve">lex specialis </w:t>
      </w:r>
      <w:r>
        <w:t xml:space="preserve">vůči </w:t>
      </w:r>
      <w:r w:rsidRPr="001A3B47">
        <w:t xml:space="preserve">ustanovením zákona č. 101/2000 Sb., o ochraně osobních údajů, ve znění pozdějších předpisů. </w:t>
      </w:r>
      <w:r>
        <w:t>V tomto slova smyslu tak již nyní je pro fyzické osoby účastnící se soudního řízení jasné a transparentní, jaké údaje jsou v souvislosti se soudním řízením shromažďovány, používány nebo jinak zapracovávány, jakož i v jakém rozsahu a jakými prostředky. Navrhovaná právní úprava na tomto stavu ničeho měnit nebude; toliko vhodně upraví drobné odchylky vynucené zvláštní povahou řízení o tzv. hromadných žalobách.</w:t>
      </w:r>
    </w:p>
    <w:p w14:paraId="4C6D1A9B" w14:textId="77777777" w:rsidR="001E1AC2" w:rsidRDefault="001E1AC2" w:rsidP="009E542C">
      <w:pPr>
        <w:keepNext w:val="0"/>
      </w:pPr>
    </w:p>
    <w:p w14:paraId="1AF75624" w14:textId="61170CF4" w:rsidR="001E1AC2" w:rsidRDefault="001E1AC2" w:rsidP="009E542C">
      <w:pPr>
        <w:keepNext w:val="0"/>
      </w:pPr>
      <w:r>
        <w:t xml:space="preserve">Zatřetí, zásada transparentnosti vyžaduje, aby všechny informace a všechna sdělení týkající se zpracování těchto údajů byly snadno přístupné a srozumitelné a podávané za použití jasných a jednoduchých jazykových prostředků. Tohoto cíle bude dosaženo nejen jasnou a srozumitelnou právní úpravou, nýbrž i publikací rozhodných informací prostřednictvím veřejné datové sítě. Subjekty údajů tak budou </w:t>
      </w:r>
      <w:r>
        <w:rPr>
          <w:i/>
        </w:rPr>
        <w:t xml:space="preserve">inter alia </w:t>
      </w:r>
      <w:r>
        <w:t>informovány o totožnosti správce nebo účelu zpracování jejich osobních údajů.</w:t>
      </w:r>
    </w:p>
    <w:p w14:paraId="396ABC6B" w14:textId="77777777" w:rsidR="001E1AC2" w:rsidRDefault="001E1AC2" w:rsidP="009E542C">
      <w:pPr>
        <w:keepNext w:val="0"/>
      </w:pPr>
    </w:p>
    <w:p w14:paraId="1DB0519C" w14:textId="61A392CB" w:rsidR="001E1AC2" w:rsidRDefault="001E1AC2" w:rsidP="009E542C">
      <w:pPr>
        <w:keepNext w:val="0"/>
      </w:pPr>
      <w:r>
        <w:t xml:space="preserve">Začtvrté, navrhovaná právní úpravy výslovně počítá s tím, že zpracování osobních údajů pro potřeby řízení o tzv. hromadných žalobách bude přiměřené, relevantní a omezené na to, co je nezbytné z hlediska účelu, pro který budou zpracovávány. Za tímto účelem bude rovněž omezena doba, po kterou budou osobní údaje uchovávány, a to na nezbytné minimum, a to v návaznosti na instrukci Ministerstva spravedlnosti ze dne 19. prosince 2008, č. j. </w:t>
      </w:r>
      <w:r w:rsidRPr="000049DB">
        <w:t>94/2007-OIS-ST</w:t>
      </w:r>
      <w:r>
        <w:t>, kterou se vydává skartační řád pro okresní, krajské a vrchní soudy, ve znění pozdějších předpisů.</w:t>
      </w:r>
    </w:p>
    <w:p w14:paraId="3855EB5B" w14:textId="77777777" w:rsidR="001E1AC2" w:rsidRDefault="001E1AC2" w:rsidP="009E542C">
      <w:pPr>
        <w:keepNext w:val="0"/>
      </w:pPr>
    </w:p>
    <w:p w14:paraId="10379FCC" w14:textId="337A38B1" w:rsidR="001E1AC2" w:rsidRDefault="001E1AC2" w:rsidP="009E542C">
      <w:pPr>
        <w:keepNext w:val="0"/>
      </w:pPr>
      <w:r>
        <w:t xml:space="preserve">Zapáté, zpracování osobních údajů bude probíhat způsobem, který zaručí náležitou bezpečnost a důvěrnost těchto údajů. Neoprávněný přístup k osobním údajům a k zařízení používanému k jejich zpracování nebo jejich neoprávněné použití bude fakticky vyloučeno. Navrhovaná právní úprava v tomto ohledu počítá s využitím již existujících technických a programových prostředků, kterými (budoucí) zpracovatelé v současnosti disponují (např. v podobě informačních systému používaných soudy). Co se </w:t>
      </w:r>
      <w:r w:rsidR="009E542C">
        <w:t>databáze</w:t>
      </w:r>
      <w:r>
        <w:t xml:space="preserve"> skupinových řízení týče, </w:t>
      </w:r>
      <w:r w:rsidR="009E542C">
        <w:t>bude veřejná</w:t>
      </w:r>
      <w:r>
        <w:t xml:space="preserve"> a spravován</w:t>
      </w:r>
      <w:r w:rsidR="009E542C">
        <w:t>a</w:t>
      </w:r>
      <w:r>
        <w:t xml:space="preserve"> Ministerstvem spravedlnosti ČR, které bude rovněž garantovat zajištění shora uvedených zásad.</w:t>
      </w:r>
    </w:p>
    <w:p w14:paraId="049B21D0" w14:textId="40FA0B95" w:rsidR="001E1AC2" w:rsidRDefault="001E1AC2" w:rsidP="009E542C">
      <w:pPr>
        <w:pStyle w:val="Nadpis2"/>
        <w:keepNext w:val="0"/>
        <w:numPr>
          <w:ilvl w:val="0"/>
          <w:numId w:val="0"/>
        </w:numPr>
        <w:spacing w:line="360" w:lineRule="auto"/>
        <w:rPr>
          <w:b w:val="0"/>
        </w:rPr>
      </w:pPr>
      <w:r w:rsidRPr="001E1AC2">
        <w:rPr>
          <w:b w:val="0"/>
        </w:rPr>
        <w:t>Ve světle výše uvedeného lze proto uzavřít, že jakkoliv je možné legitimně očekávat dopady navrhované právní úpravy na oblast soukromí a ochrany osobních údajů, všechny tyto dopady byly pečlivě zváženy a vyhodnoceny, přičemž navrhovaná právní úprava poskytne dostatečné garance zajišťující řádnou ochranu dotčených práv fyzických osob.</w:t>
      </w:r>
    </w:p>
    <w:p w14:paraId="72DDA687" w14:textId="1BD21CB6" w:rsidR="009E542C" w:rsidRPr="001E1AC2" w:rsidRDefault="009E542C" w:rsidP="009E542C">
      <w:pPr>
        <w:pStyle w:val="Nadpis2"/>
        <w:keepNext w:val="0"/>
        <w:numPr>
          <w:ilvl w:val="0"/>
          <w:numId w:val="0"/>
        </w:numPr>
        <w:spacing w:line="360" w:lineRule="auto"/>
        <w:rPr>
          <w:b w:val="0"/>
        </w:rPr>
      </w:pPr>
      <w:r>
        <w:rPr>
          <w:b w:val="0"/>
        </w:rPr>
        <w:t>Vedle toho lze očekávat i pozitivní dopad na ochranu soukromí a osobních údajů, neboť jde o jednu z oblastí, na kterou bude možné hromadnou žalobu využít.</w:t>
      </w:r>
    </w:p>
    <w:p w14:paraId="15476DC9" w14:textId="351825A0" w:rsidR="006D2959" w:rsidRPr="005660B7" w:rsidRDefault="00342760" w:rsidP="009E542C">
      <w:pPr>
        <w:pStyle w:val="Nadpis2"/>
        <w:keepNext w:val="0"/>
        <w:spacing w:line="360" w:lineRule="auto"/>
      </w:pPr>
      <w:r>
        <w:t>Zhodnocení korupčních rizik</w:t>
      </w:r>
    </w:p>
    <w:p w14:paraId="704B6307" w14:textId="37BDB924" w:rsidR="006D2959" w:rsidRPr="005660B7" w:rsidRDefault="006D2959" w:rsidP="009E542C">
      <w:pPr>
        <w:keepNext w:val="0"/>
      </w:pPr>
      <w:r w:rsidRPr="005660B7">
        <w:t xml:space="preserve">Konkrétní zhodnocení dopadů vzhledem ke korupčním rizikům je detailně popsáno v kapitole 5.10 </w:t>
      </w:r>
      <w:r w:rsidR="009A17D1">
        <w:t xml:space="preserve">závěrečné </w:t>
      </w:r>
      <w:r w:rsidRPr="005660B7">
        <w:t xml:space="preserve">zprávy </w:t>
      </w:r>
      <w:r w:rsidR="009A17D1">
        <w:t>z hodnocení dopadů regulace</w:t>
      </w:r>
      <w:r w:rsidRPr="005660B7">
        <w:t xml:space="preserve">. </w:t>
      </w:r>
      <w:r>
        <w:t>Dopady nové právní úpravy jsou posuzovány z hlediska její přiměřenosti, efektivity a odpovědnosti. Současně bylo hodnoceno, zda existují dostatečné opravné prostředky a kontrolní mechanismy. Korupční rizika spojená s přijetím zákona o</w:t>
      </w:r>
      <w:r w:rsidR="00B203DE">
        <w:t> </w:t>
      </w:r>
      <w:r>
        <w:t xml:space="preserve">hromadných žalobách byla vyhodnocena jako vyhovující a nepřinášející významná rizika. </w:t>
      </w:r>
    </w:p>
    <w:p w14:paraId="69B68B07" w14:textId="77777777" w:rsidR="006D2959" w:rsidRPr="005660B7" w:rsidRDefault="006D2959" w:rsidP="009E542C">
      <w:pPr>
        <w:pStyle w:val="Nadpis2"/>
        <w:keepNext w:val="0"/>
        <w:spacing w:line="360" w:lineRule="auto"/>
      </w:pPr>
      <w:r w:rsidRPr="005660B7">
        <w:t>Dopady na bezpečnost a obranu státu</w:t>
      </w:r>
    </w:p>
    <w:p w14:paraId="7144ED20" w14:textId="3B64DC78" w:rsidR="007966BA" w:rsidRPr="005660B7" w:rsidRDefault="006D2959" w:rsidP="009E542C">
      <w:pPr>
        <w:keepNext w:val="0"/>
      </w:pPr>
      <w:r w:rsidRPr="005660B7">
        <w:t>Navrhované varianty úpravy nebudou mít dop</w:t>
      </w:r>
      <w:r w:rsidR="00924B11">
        <w:t>ad na bezpečnost a obranu státu.</w:t>
      </w:r>
    </w:p>
    <w:p w14:paraId="5A10D7AA" w14:textId="314EBF0F" w:rsidR="00902FE6" w:rsidRPr="005660B7" w:rsidRDefault="00902FE6" w:rsidP="00342760"/>
    <w:sectPr w:rsidR="00902FE6" w:rsidRPr="005660B7" w:rsidSect="008020F7">
      <w:headerReference w:type="default" r:id="rId11"/>
      <w:footerReference w:type="default" r:id="rId12"/>
      <w:pgSz w:w="11906" w:h="16838"/>
      <w:pgMar w:top="1701" w:right="851"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01D6" w14:textId="77777777" w:rsidR="009B4AAD" w:rsidRDefault="009B4AAD" w:rsidP="00F737B8">
      <w:pPr>
        <w:spacing w:line="240" w:lineRule="auto"/>
      </w:pPr>
      <w:r>
        <w:separator/>
      </w:r>
    </w:p>
  </w:endnote>
  <w:endnote w:type="continuationSeparator" w:id="0">
    <w:p w14:paraId="2B988B03" w14:textId="77777777" w:rsidR="009B4AAD" w:rsidRDefault="009B4AAD" w:rsidP="00F737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011EB" w14:textId="7A9C0367" w:rsidR="001573C3" w:rsidRPr="00101A9D" w:rsidRDefault="001573C3" w:rsidP="00691D29">
    <w:pPr>
      <w:pStyle w:val="Zpat"/>
      <w:jc w:val="center"/>
      <w:rPr>
        <w:szCs w:val="24"/>
      </w:rPr>
    </w:pPr>
    <w:r w:rsidRPr="00691D29">
      <w:rPr>
        <w:szCs w:val="24"/>
      </w:rPr>
      <w:fldChar w:fldCharType="begin"/>
    </w:r>
    <w:r w:rsidRPr="00691D29">
      <w:rPr>
        <w:szCs w:val="24"/>
      </w:rPr>
      <w:instrText>PAGE   \* MERGEFORMAT</w:instrText>
    </w:r>
    <w:r w:rsidRPr="00691D29">
      <w:rPr>
        <w:szCs w:val="24"/>
      </w:rPr>
      <w:fldChar w:fldCharType="separate"/>
    </w:r>
    <w:r w:rsidR="00A51CCA">
      <w:rPr>
        <w:noProof/>
        <w:szCs w:val="24"/>
      </w:rPr>
      <w:t>1</w:t>
    </w:r>
    <w:r w:rsidRPr="00691D29">
      <w:rPr>
        <w:szCs w:val="24"/>
      </w:rPr>
      <w:fldChar w:fldCharType="end"/>
    </w:r>
  </w:p>
  <w:p w14:paraId="38FC3538" w14:textId="77777777" w:rsidR="001573C3" w:rsidRDefault="001573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32CD0" w14:textId="77777777" w:rsidR="009B4AAD" w:rsidRDefault="009B4AAD" w:rsidP="00F737B8">
      <w:pPr>
        <w:spacing w:line="240" w:lineRule="auto"/>
      </w:pPr>
      <w:r>
        <w:separator/>
      </w:r>
    </w:p>
  </w:footnote>
  <w:footnote w:type="continuationSeparator" w:id="0">
    <w:p w14:paraId="75606B2A" w14:textId="77777777" w:rsidR="009B4AAD" w:rsidRDefault="009B4AAD" w:rsidP="00F737B8">
      <w:pPr>
        <w:spacing w:line="240" w:lineRule="auto"/>
      </w:pPr>
      <w:r>
        <w:continuationSeparator/>
      </w:r>
    </w:p>
  </w:footnote>
  <w:footnote w:id="1">
    <w:p w14:paraId="069BE5CC" w14:textId="03FB15CE" w:rsidR="001573C3" w:rsidRDefault="001573C3" w:rsidP="008A73B4">
      <w:pPr>
        <w:pStyle w:val="Textpoznpodarou"/>
        <w:spacing w:line="240" w:lineRule="auto"/>
      </w:pPr>
      <w:r>
        <w:rPr>
          <w:rStyle w:val="Znakapoznpodarou"/>
        </w:rPr>
        <w:footnoteRef/>
      </w:r>
      <w:r>
        <w:t xml:space="preserve"> Hovoří se rovněž o tzv. datové ekonomice, která umožňuje zvláště velkým korporacím snáze shromažďovat informace o chování spotřebitelů. K tomu srov. </w:t>
      </w:r>
      <w:hyperlink r:id="rId1" w:history="1">
        <w:r w:rsidRPr="00E82B40">
          <w:rPr>
            <w:rStyle w:val="Hypertextovodkaz"/>
          </w:rPr>
          <w:t>https://www.economist.com/news/leaders/21721656-data-economy-demands-new-approach-antitrust-rules-worlds-most-valuable-resource</w:t>
        </w:r>
      </w:hyperlink>
      <w:r>
        <w:t xml:space="preserve">, </w:t>
      </w:r>
      <w:hyperlink r:id="rId2" w:history="1">
        <w:r w:rsidRPr="007B5422">
          <w:rPr>
            <w:rStyle w:val="Hypertextovodkaz"/>
          </w:rPr>
          <w:t>https://www.economist.com/news/briefing/21721634-how-it-shaping-up-data-giving-rise-new-economy</w:t>
        </w:r>
      </w:hyperlink>
      <w:r>
        <w:t xml:space="preserve">. </w:t>
      </w:r>
    </w:p>
  </w:footnote>
  <w:footnote w:id="2">
    <w:p w14:paraId="7A55E015" w14:textId="59D75D7E" w:rsidR="001573C3" w:rsidRDefault="001573C3" w:rsidP="008A73B4">
      <w:pPr>
        <w:pStyle w:val="Textpoznpodarou"/>
        <w:spacing w:line="240" w:lineRule="auto"/>
      </w:pPr>
      <w:r>
        <w:rPr>
          <w:rStyle w:val="Znakapoznpodarou"/>
        </w:rPr>
        <w:footnoteRef/>
      </w:r>
      <w:r>
        <w:t xml:space="preserve"> Alespoň v Německu - srov. </w:t>
      </w:r>
      <w:hyperlink r:id="rId3" w:history="1">
        <w:r w:rsidRPr="00D4218E">
          <w:rPr>
            <w:rStyle w:val="Hypertextovodkaz"/>
          </w:rPr>
          <w:t>http://www.spiegel.de/wirtschaft/service/kreditbearbeitung-gebuehren-sind-unzulaessig-a-1001688.html</w:t>
        </w:r>
      </w:hyperlink>
      <w:r>
        <w:rPr>
          <w:rStyle w:val="Hypertextovodkaz"/>
        </w:rPr>
        <w:t>.</w:t>
      </w:r>
    </w:p>
  </w:footnote>
  <w:footnote w:id="3">
    <w:p w14:paraId="5E26F490" w14:textId="50C9BEEF" w:rsidR="001573C3" w:rsidRDefault="001573C3" w:rsidP="008A73B4">
      <w:pPr>
        <w:pStyle w:val="Textpoznpodarou"/>
        <w:spacing w:line="240" w:lineRule="auto"/>
      </w:pPr>
      <w:r>
        <w:rPr>
          <w:rStyle w:val="Znakapoznpodarou"/>
        </w:rPr>
        <w:footnoteRef/>
      </w:r>
      <w:r>
        <w:t xml:space="preserve"> Viz </w:t>
      </w:r>
      <w:hyperlink r:id="rId4" w:history="1">
        <w:r w:rsidRPr="00D4218E">
          <w:rPr>
            <w:rStyle w:val="Hypertextovodkaz"/>
          </w:rPr>
          <w:t>http://pravniradce.ihned.cz/c1-65404080-ctu-uctuje-vam-operator-za-obnovu-dat-bez-souhlasu-penize-vam-vrati</w:t>
        </w:r>
      </w:hyperlink>
      <w:r>
        <w:rPr>
          <w:rStyle w:val="Hypertextovodkaz"/>
        </w:rPr>
        <w:t>.</w:t>
      </w:r>
    </w:p>
  </w:footnote>
  <w:footnote w:id="4">
    <w:p w14:paraId="0B679A22" w14:textId="5311F81C" w:rsidR="001573C3" w:rsidRDefault="001573C3" w:rsidP="008A73B4">
      <w:pPr>
        <w:pStyle w:val="Textpoznpodarou"/>
        <w:spacing w:line="240" w:lineRule="auto"/>
      </w:pPr>
      <w:r>
        <w:rPr>
          <w:rStyle w:val="Znakapoznpodarou"/>
        </w:rPr>
        <w:footnoteRef/>
      </w:r>
      <w:r>
        <w:t xml:space="preserve">Např. </w:t>
      </w:r>
      <w:hyperlink r:id="rId5" w:history="1">
        <w:r w:rsidRPr="00524C5F">
          <w:rPr>
            <w:rStyle w:val="Hypertextovodkaz"/>
          </w:rPr>
          <w:t>http://ekonomika.idnes.cz/korea-po-skandalu-s-emisemi-prekontroluje-vozy-vw-a-audi-pkt-/eko-zahranicni.aspx?c=A150922_092217_ekonomika_rts</w:t>
        </w:r>
      </w:hyperlink>
      <w:r>
        <w:t>.</w:t>
      </w:r>
    </w:p>
  </w:footnote>
  <w:footnote w:id="5">
    <w:p w14:paraId="45074D7E" w14:textId="5380B026" w:rsidR="001573C3" w:rsidRDefault="001573C3" w:rsidP="008A73B4">
      <w:pPr>
        <w:pStyle w:val="Textpoznpodarou"/>
        <w:spacing w:line="240" w:lineRule="auto"/>
      </w:pPr>
      <w:r>
        <w:rPr>
          <w:rStyle w:val="Znakapoznpodarou"/>
        </w:rPr>
        <w:footnoteRef/>
      </w:r>
      <w:r>
        <w:t xml:space="preserve"> </w:t>
      </w:r>
      <w:hyperlink r:id="rId6" w:history="1">
        <w:r w:rsidRPr="00D4218E">
          <w:rPr>
            <w:rStyle w:val="Hypertextovodkaz"/>
          </w:rPr>
          <w:t>http://www.ceskatelevize.cz/ct24/svet/2047656-stejny-obal-ale-horsi-kvalita-potravin-nez-v-nemecku-v4-tlaci-na-evropskou-komisi-aby</w:t>
        </w:r>
      </w:hyperlink>
    </w:p>
  </w:footnote>
  <w:footnote w:id="6">
    <w:p w14:paraId="6F591C28" w14:textId="50B47FB8" w:rsidR="001573C3" w:rsidRDefault="001573C3" w:rsidP="008A73B4">
      <w:pPr>
        <w:pStyle w:val="Textpoznpodarou"/>
        <w:spacing w:line="240" w:lineRule="auto"/>
      </w:pPr>
      <w:r>
        <w:rPr>
          <w:rStyle w:val="Znakapoznpodarou"/>
        </w:rPr>
        <w:footnoteRef/>
      </w:r>
      <w:r>
        <w:t xml:space="preserve"> Příkladmo </w:t>
      </w:r>
      <w:hyperlink r:id="rId7" w:anchor="utm_source=facebook&amp;utm_medium=pr_post&amp;utm_campaign=adost" w:history="1">
        <w:r w:rsidRPr="00D4218E">
          <w:rPr>
            <w:rStyle w:val="Hypertextovodkaz"/>
          </w:rPr>
          <w:t>https://www.stream.cz/adost/10016204-kurvitka-proc-se-spotrebic-pokazi-kratce-po-skonceni-zarucni-lhuty#utm_source=facebook&amp;utm_medium=pr_post&amp;utm_campaign=adost</w:t>
        </w:r>
      </w:hyperlink>
      <w:r>
        <w:rPr>
          <w:rStyle w:val="Hypertextovodkaz"/>
        </w:rPr>
        <w:t>.</w:t>
      </w:r>
    </w:p>
  </w:footnote>
  <w:footnote w:id="7">
    <w:p w14:paraId="39097ACB" w14:textId="062720E1" w:rsidR="001573C3" w:rsidRDefault="001573C3" w:rsidP="008A73B4">
      <w:pPr>
        <w:pStyle w:val="Textpoznpodarou"/>
        <w:spacing w:line="240" w:lineRule="auto"/>
      </w:pPr>
      <w:r>
        <w:rPr>
          <w:rStyle w:val="Znakapoznpodarou"/>
        </w:rPr>
        <w:footnoteRef/>
      </w:r>
      <w:r>
        <w:t xml:space="preserve"> </w:t>
      </w:r>
      <w:hyperlink r:id="rId8" w:history="1">
        <w:r w:rsidRPr="00D4218E">
          <w:rPr>
            <w:rStyle w:val="Hypertextovodkaz"/>
          </w:rPr>
          <w:t>http://zpravy.idnes.cz/z-neratovicke-spolany-unikla-kyselina-dhv-/domaci.aspx?c=A001120_104949_domaci_jpl</w:t>
        </w:r>
      </w:hyperlink>
    </w:p>
  </w:footnote>
  <w:footnote w:id="8">
    <w:p w14:paraId="1B86C244" w14:textId="5C0CC659" w:rsidR="001573C3" w:rsidRDefault="001573C3" w:rsidP="008A73B4">
      <w:pPr>
        <w:pStyle w:val="Textpoznpodarou"/>
        <w:spacing w:line="240" w:lineRule="auto"/>
      </w:pPr>
      <w:r>
        <w:rPr>
          <w:rStyle w:val="Znakapoznpodarou"/>
        </w:rPr>
        <w:footnoteRef/>
      </w:r>
      <w:r>
        <w:t xml:space="preserve"> </w:t>
      </w:r>
      <w:hyperlink r:id="rId9" w:history="1">
        <w:r w:rsidRPr="00D4218E">
          <w:rPr>
            <w:rStyle w:val="Hypertextovodkaz"/>
          </w:rPr>
          <w:t>http://frankbold.org/pro-media/tiskova-zprava/zlepsi-se-stav-ovzdusi-na-ostravsku-jeste-pred-rokem-2020</w:t>
        </w:r>
      </w:hyperlink>
    </w:p>
  </w:footnote>
  <w:footnote w:id="9">
    <w:p w14:paraId="47D4CE29" w14:textId="3A29D9CA" w:rsidR="001573C3" w:rsidRDefault="001573C3" w:rsidP="008A73B4">
      <w:pPr>
        <w:pStyle w:val="Textpoznpodarou"/>
        <w:spacing w:line="240" w:lineRule="auto"/>
      </w:pPr>
      <w:r>
        <w:rPr>
          <w:rStyle w:val="Znakapoznpodarou"/>
        </w:rPr>
        <w:footnoteRef/>
      </w:r>
      <w:r>
        <w:t xml:space="preserve"> </w:t>
      </w:r>
      <w:hyperlink r:id="rId10" w:history="1">
        <w:r w:rsidRPr="00D4218E">
          <w:rPr>
            <w:rStyle w:val="Hypertextovodkaz"/>
          </w:rPr>
          <w:t>https://en.wikipedia.org/wiki/Deepwater_Horizon_oil_spill</w:t>
        </w:r>
      </w:hyperlink>
    </w:p>
  </w:footnote>
  <w:footnote w:id="10">
    <w:p w14:paraId="557645A9" w14:textId="60EC1D7A" w:rsidR="001573C3" w:rsidRDefault="001573C3" w:rsidP="008A73B4">
      <w:pPr>
        <w:pStyle w:val="Textpoznpodarou"/>
        <w:spacing w:line="240" w:lineRule="auto"/>
      </w:pPr>
      <w:r>
        <w:rPr>
          <w:rStyle w:val="Znakapoznpodarou"/>
        </w:rPr>
        <w:footnoteRef/>
      </w:r>
      <w:r>
        <w:t xml:space="preserve"> </w:t>
      </w:r>
      <w:hyperlink r:id="rId11" w:history="1">
        <w:r w:rsidRPr="00D4218E">
          <w:rPr>
            <w:rStyle w:val="Hypertextovodkaz"/>
          </w:rPr>
          <w:t>https://en.wikipedia.org/wiki/Fukushima_Daiichi_nuclear_disaster</w:t>
        </w:r>
      </w:hyperlink>
    </w:p>
  </w:footnote>
  <w:footnote w:id="11">
    <w:p w14:paraId="0C6F7EC8" w14:textId="2E3F689D" w:rsidR="001573C3" w:rsidRDefault="001573C3" w:rsidP="008A73B4">
      <w:pPr>
        <w:pStyle w:val="Textpoznpodarou"/>
        <w:spacing w:line="240" w:lineRule="auto"/>
      </w:pPr>
      <w:r>
        <w:rPr>
          <w:rStyle w:val="Znakapoznpodarou"/>
        </w:rPr>
        <w:footnoteRef/>
      </w:r>
      <w:r>
        <w:t xml:space="preserve"> Proto ostatně není tato teorie ani jednoznačně přijímána.</w:t>
      </w:r>
    </w:p>
  </w:footnote>
  <w:footnote w:id="12">
    <w:p w14:paraId="5AFF65F7" w14:textId="40177A9E" w:rsidR="001573C3" w:rsidRDefault="001573C3" w:rsidP="008A73B4">
      <w:pPr>
        <w:pStyle w:val="Textpoznpodarou"/>
        <w:spacing w:line="240" w:lineRule="auto"/>
      </w:pPr>
      <w:r>
        <w:rPr>
          <w:rStyle w:val="Znakapoznpodarou"/>
        </w:rPr>
        <w:footnoteRef/>
      </w:r>
      <w:r>
        <w:t xml:space="preserve"> Blíže k dopadu na státní rozpočet viz kapitolu 5.1 závěrečné zprávy z hodnocení dopadů regulace.</w:t>
      </w:r>
    </w:p>
  </w:footnote>
  <w:footnote w:id="13">
    <w:p w14:paraId="7BAF25D7" w14:textId="73014C55" w:rsidR="001573C3" w:rsidRDefault="001573C3" w:rsidP="008A73B4">
      <w:pPr>
        <w:pStyle w:val="Textpoznpodarou"/>
        <w:spacing w:line="240" w:lineRule="auto"/>
      </w:pPr>
      <w:r>
        <w:rPr>
          <w:rStyle w:val="Znakapoznpodarou"/>
        </w:rPr>
        <w:footnoteRef/>
      </w:r>
      <w:r>
        <w:t xml:space="preserve"> Blíže k</w:t>
      </w:r>
      <w:r w:rsidRPr="00412C57">
        <w:t xml:space="preserve"> ústavně-právnímu rozboru srov. </w:t>
      </w:r>
      <w:r>
        <w:t>kapitolu 5.3.1.</w:t>
      </w:r>
    </w:p>
  </w:footnote>
  <w:footnote w:id="14">
    <w:p w14:paraId="5E266FD2" w14:textId="749F0F41" w:rsidR="001573C3" w:rsidRDefault="001573C3" w:rsidP="008A73B4">
      <w:pPr>
        <w:pStyle w:val="Textpoznpodarou"/>
        <w:spacing w:line="240" w:lineRule="auto"/>
      </w:pPr>
      <w:r>
        <w:rPr>
          <w:rStyle w:val="Znakapoznpodarou"/>
        </w:rPr>
        <w:footnoteRef/>
      </w:r>
      <w:r>
        <w:t xml:space="preserve"> Report of the Fitness Check on 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 (‘Unfair Commercial Practices Directive’); Council Directive 93/13/EEC of 5 April 1993 on unfair terms in consumer contracts; Directive 98/6/EC of the European Parliament and of the Council of 16 February 1998 on consumer protection in the indication of the prices of products offered to consumers; Directive 1999/44/EC of the European Parliament and of the Council of 25 May 1999 on certain aspects of the sale of consumer goods and associated guarantees; Directive 2009/22/EC of the European Parliament and of the Council of 23 April 2009 on injunctions for the protection of consumers' interests; Directive 2006/114/EC of the European Parliament and of the Council of 12 December 2006 concerning misleading and comparative advertising – dostupné zde: </w:t>
      </w:r>
      <w:bookmarkStart w:id="1" w:name="_Hlk485731727"/>
      <w:r>
        <w:fldChar w:fldCharType="begin"/>
      </w:r>
      <w:r>
        <w:instrText xml:space="preserve"> HYPERLINK "</w:instrText>
      </w:r>
      <w:r w:rsidRPr="00FC2159">
        <w:instrText>http://ec.europa.eu/newsroom/document.cfm?doc_id=44639</w:instrText>
      </w:r>
      <w:r>
        <w:instrText xml:space="preserve">" </w:instrText>
      </w:r>
      <w:r>
        <w:fldChar w:fldCharType="separate"/>
      </w:r>
      <w:r w:rsidRPr="003920F5">
        <w:rPr>
          <w:rStyle w:val="Hypertextovodkaz"/>
        </w:rPr>
        <w:t>http://ec.europa.eu/newsroom/document.cfm?doc_id=44639</w:t>
      </w:r>
      <w:r>
        <w:fldChar w:fldCharType="end"/>
      </w:r>
      <w:bookmarkEnd w:id="1"/>
      <w:r>
        <w:t xml:space="preserve">; stručné shrnutí v tiskové zprávě ze dne 29.5.2017 je dostupné na </w:t>
      </w:r>
      <w:r w:rsidRPr="00FC2159">
        <w:t>http://europa.eu/rapid/press-release_IP-17-1448_cs.htm</w:t>
      </w:r>
      <w:r>
        <w:t>).</w:t>
      </w:r>
    </w:p>
  </w:footnote>
  <w:footnote w:id="15">
    <w:p w14:paraId="1D352E03" w14:textId="1E73B159" w:rsidR="001573C3" w:rsidRDefault="001573C3" w:rsidP="008A73B4">
      <w:pPr>
        <w:pStyle w:val="Textpoznpodarou"/>
        <w:spacing w:line="240" w:lineRule="auto"/>
      </w:pPr>
      <w:r>
        <w:rPr>
          <w:rStyle w:val="Znakapoznpodarou"/>
        </w:rPr>
        <w:footnoteRef/>
      </w:r>
      <w:r>
        <w:t xml:space="preserve"> </w:t>
      </w:r>
      <w:r w:rsidRPr="00A8329C">
        <w:t xml:space="preserve">Ministerstvo oslovilo na základě kontaktů uveřejněných na webových stránkách Ministerstva </w:t>
      </w:r>
      <w:r>
        <w:t>průmyslu a obchodu</w:t>
      </w:r>
      <w:r w:rsidRPr="00A8329C">
        <w:t xml:space="preserve"> (http://www.mpo.cz/cz/ochrana-spotrebitele/kontakty-pro-spotrebitele/kontakty-na-vybrane-spotrebitelske-organizac</w:t>
      </w:r>
      <w:r>
        <w:t>e--5724/)</w:t>
      </w:r>
      <w:r w:rsidRPr="00A8329C">
        <w:t xml:space="preserve"> vybrané spotřebitelské organizace, které se věnují ochraně spotřebitele, a</w:t>
      </w:r>
      <w:r>
        <w:t xml:space="preserve"> dále organizace,</w:t>
      </w:r>
      <w:r w:rsidRPr="00A8329C">
        <w:t xml:space="preserve"> které taktéž působí i v oblasti práva autorského, práv souvisejících a práv průmyslových. Účelem průzkumu bylo zejména zjištění, jak se aplikace stávající legislativy </w:t>
      </w:r>
      <w:r>
        <w:t>ve vztahu k problematice hromadné ochrany práv</w:t>
      </w:r>
      <w:r w:rsidRPr="00A8329C">
        <w:t xml:space="preserve"> projevuje v</w:t>
      </w:r>
      <w:r>
        <w:t> </w:t>
      </w:r>
      <w:r w:rsidRPr="00A8329C">
        <w:t>praxi</w:t>
      </w:r>
      <w:r>
        <w:t>,</w:t>
      </w:r>
      <w:r w:rsidRPr="00A8329C">
        <w:t xml:space="preserve"> a současně shromáždění všech souvisejících poznatků, které by mohly být následně využity.</w:t>
      </w:r>
    </w:p>
  </w:footnote>
  <w:footnote w:id="16">
    <w:p w14:paraId="5EB2210C" w14:textId="77777777" w:rsidR="005F04D9" w:rsidRDefault="005F04D9" w:rsidP="008A73B4">
      <w:pPr>
        <w:pStyle w:val="Textpoznpodarou"/>
        <w:spacing w:line="240" w:lineRule="auto"/>
      </w:pPr>
      <w:r>
        <w:rPr>
          <w:rStyle w:val="Znakapoznpodarou"/>
        </w:rPr>
        <w:footnoteRef/>
      </w:r>
      <w:r>
        <w:t xml:space="preserve"> Více zde: </w:t>
      </w:r>
      <w:hyperlink r:id="rId12" w:history="1">
        <w:r w:rsidRPr="003332A1">
          <w:rPr>
            <w:rStyle w:val="Hypertextovodkaz"/>
          </w:rPr>
          <w:t>http://www.spolecnaobrana.net/</w:t>
        </w:r>
      </w:hyperlink>
      <w:r>
        <w:t xml:space="preserve">. </w:t>
      </w:r>
    </w:p>
  </w:footnote>
  <w:footnote w:id="17">
    <w:p w14:paraId="72AAB22E" w14:textId="77777777" w:rsidR="005F04D9" w:rsidRDefault="005F04D9" w:rsidP="008A73B4">
      <w:pPr>
        <w:pStyle w:val="Textpoznpodarou"/>
        <w:spacing w:line="240" w:lineRule="auto"/>
      </w:pPr>
      <w:r>
        <w:rPr>
          <w:rStyle w:val="Znakapoznpodarou"/>
        </w:rPr>
        <w:footnoteRef/>
      </w:r>
      <w:r>
        <w:t xml:space="preserve"> </w:t>
      </w:r>
      <w:hyperlink r:id="rId13" w:history="1">
        <w:r w:rsidRPr="003332A1">
          <w:rPr>
            <w:rStyle w:val="Hypertextovodkaz"/>
          </w:rPr>
          <w:t>https://www.tipcars.com/magazin/aktuality/cesti-spotrebitele-zaluji-kvuli-afere-dieselgate-skodu-i-volkswagen-o-nahradu-skody-az-21-miliard.html</w:t>
        </w:r>
      </w:hyperlink>
      <w:r>
        <w:t xml:space="preserve"> </w:t>
      </w:r>
    </w:p>
  </w:footnote>
  <w:footnote w:id="18">
    <w:p w14:paraId="19829356" w14:textId="77777777" w:rsidR="005F04D9" w:rsidRDefault="005F04D9" w:rsidP="008A73B4">
      <w:pPr>
        <w:pStyle w:val="Textpoznpodarou"/>
        <w:spacing w:line="240" w:lineRule="auto"/>
      </w:pPr>
      <w:r>
        <w:rPr>
          <w:rStyle w:val="Znakapoznpodarou"/>
        </w:rPr>
        <w:footnoteRef/>
      </w:r>
      <w:r>
        <w:t xml:space="preserve"> </w:t>
      </w:r>
      <w:hyperlink r:id="rId14" w:history="1">
        <w:r w:rsidRPr="003332A1">
          <w:rPr>
            <w:rStyle w:val="Hypertextovodkaz"/>
          </w:rPr>
          <w:t>https://de.wikipedia.org/wiki/Abgasskandal</w:t>
        </w:r>
      </w:hyperlink>
      <w:r>
        <w:t xml:space="preserve"> </w:t>
      </w:r>
    </w:p>
  </w:footnote>
  <w:footnote w:id="19">
    <w:p w14:paraId="415B1133" w14:textId="77777777" w:rsidR="005F04D9" w:rsidRDefault="005F04D9" w:rsidP="008A73B4">
      <w:pPr>
        <w:pStyle w:val="Textpoznpodarou"/>
        <w:spacing w:line="240" w:lineRule="auto"/>
      </w:pPr>
      <w:r>
        <w:rPr>
          <w:rStyle w:val="Znakapoznpodarou"/>
        </w:rPr>
        <w:footnoteRef/>
      </w:r>
      <w:r>
        <w:t xml:space="preserve"> </w:t>
      </w:r>
      <w:hyperlink r:id="rId15" w:anchor="textContent_142" w:history="1">
        <w:r w:rsidRPr="003332A1">
          <w:rPr>
            <w:rStyle w:val="Hypertextovodkaz"/>
          </w:rPr>
          <w:t>https://safediesel.cz/cs/aktuality?shareId=142#textContent_142</w:t>
        </w:r>
      </w:hyperlink>
      <w:r>
        <w:t xml:space="preserve"> </w:t>
      </w:r>
    </w:p>
  </w:footnote>
  <w:footnote w:id="20">
    <w:p w14:paraId="504AC20B" w14:textId="3E281B6C" w:rsidR="008A73B4" w:rsidRDefault="008A73B4" w:rsidP="008A73B4">
      <w:pPr>
        <w:pStyle w:val="Textpoznpodarou"/>
        <w:spacing w:line="240" w:lineRule="auto"/>
      </w:pPr>
      <w:r>
        <w:rPr>
          <w:rStyle w:val="Znakapoznpodarou"/>
        </w:rPr>
        <w:footnoteRef/>
      </w:r>
      <w:r>
        <w:t xml:space="preserve"> </w:t>
      </w:r>
      <w:r w:rsidRPr="008A73B4">
        <w:t>Šlo o praxi mobilních operátorů, kteří klientům po vyčerpání měsíčního datového balíčku bez jejich souhlasu tento balíček obnovili, a za poskytnuté služby pochopitelně následně žádali úplatu (šlo o cca 50,-Kč).</w:t>
      </w:r>
    </w:p>
  </w:footnote>
  <w:footnote w:id="21">
    <w:p w14:paraId="72864FD7" w14:textId="77777777" w:rsidR="00AF14CB" w:rsidRDefault="00AF14CB" w:rsidP="00AF14CB">
      <w:pPr>
        <w:pStyle w:val="Textpoznpodarou"/>
        <w:spacing w:line="240" w:lineRule="auto"/>
      </w:pPr>
      <w:r>
        <w:rPr>
          <w:rStyle w:val="Znakapoznpodarou"/>
        </w:rPr>
        <w:footnoteRef/>
      </w:r>
      <w:r>
        <w:t xml:space="preserve"> Náklady jsou úmyslně vyšší. Lze předpokládat, že v případě specializace advokátů na tento typ řízení, ušetří advokátní následně v důsledku „automatizace“ některých kroků a položek.</w:t>
      </w:r>
    </w:p>
  </w:footnote>
  <w:footnote w:id="22">
    <w:p w14:paraId="25B1D1AF" w14:textId="77777777" w:rsidR="00AF14CB" w:rsidRDefault="00AF14CB" w:rsidP="00AF14CB">
      <w:pPr>
        <w:pStyle w:val="Textpoznpodarou"/>
        <w:spacing w:line="240" w:lineRule="auto"/>
      </w:pPr>
      <w:r>
        <w:rPr>
          <w:rStyle w:val="Znakapoznpodarou"/>
        </w:rPr>
        <w:footnoteRef/>
      </w:r>
      <w:r>
        <w:t xml:space="preserve"> Předpokládejme, že by se soudní poplatek určoval jako 50.000,- za zahájení řízení, a ve druhé fázi jako 2% z hodnoty předmětu sporu.</w:t>
      </w:r>
    </w:p>
  </w:footnote>
  <w:footnote w:id="23">
    <w:p w14:paraId="586B36BF" w14:textId="77777777" w:rsidR="00AF48CC" w:rsidRDefault="00AF48CC" w:rsidP="00AF48CC">
      <w:pPr>
        <w:pStyle w:val="Textpoznpodarou"/>
        <w:spacing w:line="240" w:lineRule="auto"/>
      </w:pPr>
      <w:r>
        <w:rPr>
          <w:rStyle w:val="Znakapoznpodarou"/>
        </w:rPr>
        <w:footnoteRef/>
      </w:r>
      <w:r>
        <w:t xml:space="preserve"> </w:t>
      </w:r>
      <w:r w:rsidRPr="00E73E07">
        <w:t>https://vki.at/sammelaktion-pip-brustimplantate</w:t>
      </w:r>
    </w:p>
  </w:footnote>
  <w:footnote w:id="24">
    <w:p w14:paraId="24202278" w14:textId="77777777" w:rsidR="00AF48CC" w:rsidRDefault="00AF48CC" w:rsidP="00AF48CC">
      <w:pPr>
        <w:pStyle w:val="Textpoznpodarou"/>
        <w:spacing w:line="240" w:lineRule="auto"/>
      </w:pPr>
      <w:r>
        <w:rPr>
          <w:rStyle w:val="Znakapoznpodarou"/>
        </w:rPr>
        <w:footnoteRef/>
      </w:r>
      <w:r>
        <w:t xml:space="preserve"> Předpokládejme, že by se soudní poplatek určoval jako 50.000,- za zahájení řízení, a ve druhé fázi jako 2% z hodnoty předmětu sporu, nejvýše však 5.000.000.</w:t>
      </w:r>
    </w:p>
  </w:footnote>
  <w:footnote w:id="25">
    <w:p w14:paraId="30647B9A" w14:textId="26060DD1" w:rsidR="001573C3" w:rsidRDefault="001573C3" w:rsidP="008A73B4">
      <w:pPr>
        <w:pStyle w:val="Textpoznpodarou"/>
        <w:spacing w:line="240" w:lineRule="auto"/>
      </w:pPr>
      <w:r>
        <w:rPr>
          <w:rStyle w:val="Znakapoznpodarou"/>
        </w:rPr>
        <w:footnoteRef/>
      </w:r>
      <w:r>
        <w:t xml:space="preserve"> Srov. </w:t>
      </w:r>
      <w:r w:rsidRPr="00272780">
        <w:t>http://ec.europa.eu/newsroom/just/item-detail.cfm?item_id=59539</w:t>
      </w:r>
      <w:r>
        <w:t>.</w:t>
      </w:r>
    </w:p>
  </w:footnote>
  <w:footnote w:id="26">
    <w:p w14:paraId="16736A37" w14:textId="77777777" w:rsidR="009E542C" w:rsidRDefault="009E542C" w:rsidP="009E542C">
      <w:pPr>
        <w:pStyle w:val="Textpoznpodarou"/>
        <w:spacing w:line="240" w:lineRule="auto"/>
      </w:pPr>
      <w:r>
        <w:rPr>
          <w:rStyle w:val="Znakapoznpodarou"/>
        </w:rPr>
        <w:footnoteRef/>
      </w:r>
      <w:r>
        <w:t xml:space="preserve"> Jde o průměrné náklady na jedno soudní řízení v civilních věcech v letech 2013-2015.</w:t>
      </w:r>
    </w:p>
  </w:footnote>
  <w:footnote w:id="27">
    <w:p w14:paraId="64BE8BF5" w14:textId="77777777" w:rsidR="009E542C" w:rsidRDefault="009E542C" w:rsidP="009E542C">
      <w:pPr>
        <w:pStyle w:val="Textpoznpodarou"/>
        <w:spacing w:line="240" w:lineRule="auto"/>
      </w:pPr>
      <w:r>
        <w:rPr>
          <w:rStyle w:val="Znakapoznpodarou"/>
        </w:rPr>
        <w:footnoteRef/>
      </w:r>
      <w:r>
        <w:t xml:space="preserve"> Pro zjednodušení se zde vychází z toho, že věcně příslušnými k projednání hromadných žalob by byly v prvním stupni krajské soudy.</w:t>
      </w:r>
    </w:p>
  </w:footnote>
  <w:footnote w:id="28">
    <w:p w14:paraId="7D0C16E2" w14:textId="77777777" w:rsidR="009E542C" w:rsidRDefault="009E542C" w:rsidP="009E542C">
      <w:pPr>
        <w:pStyle w:val="Textpoznpodarou"/>
        <w:spacing w:line="240" w:lineRule="auto"/>
      </w:pPr>
      <w:r>
        <w:rPr>
          <w:rStyle w:val="Znakapoznpodarou"/>
        </w:rPr>
        <w:footnoteRef/>
      </w:r>
      <w:r>
        <w:t xml:space="preserve"> Uvedené číslo uvádí počet poškozených žen, které se přihlásily spotřebitelské organizaci Verein für Konsumenteninformation; skutečné číslo může být vyšší.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D107C" w14:textId="77777777" w:rsidR="001573C3" w:rsidRPr="008020F7" w:rsidRDefault="001573C3" w:rsidP="008020F7">
    <w:pPr>
      <w:keepNext w:val="0"/>
      <w:tabs>
        <w:tab w:val="center" w:pos="4536"/>
        <w:tab w:val="right" w:pos="9072"/>
      </w:tabs>
      <w:spacing w:line="240" w:lineRule="auto"/>
      <w:jc w:val="left"/>
      <w:rPr>
        <w:sz w:val="22"/>
      </w:rPr>
    </w:pPr>
    <w:r w:rsidRPr="008020F7">
      <w:rPr>
        <w:sz w:val="22"/>
      </w:rPr>
      <w:t>Odbor legislativní</w:t>
    </w:r>
    <w:r w:rsidRPr="008020F7">
      <w:rPr>
        <w:sz w:val="22"/>
      </w:rPr>
      <w:tab/>
    </w:r>
    <w:r w:rsidRPr="008020F7">
      <w:rPr>
        <w:b/>
        <w:sz w:val="22"/>
      </w:rPr>
      <w:t>Ministerstvo spravedlnosti</w:t>
    </w:r>
  </w:p>
  <w:p w14:paraId="11685D3B" w14:textId="38BE4016" w:rsidR="001573C3" w:rsidRDefault="001573C3" w:rsidP="008020F7">
    <w:pPr>
      <w:pStyle w:val="Zhlav"/>
    </w:pPr>
    <w:r w:rsidRPr="008020F7">
      <w:rPr>
        <w:sz w:val="22"/>
      </w:rPr>
      <w:tab/>
      <w:t>Vyšehradská 16, 128 10 Praha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032DC"/>
    <w:multiLevelType w:val="multilevel"/>
    <w:tmpl w:val="8090B5C4"/>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rPr>
    </w:lvl>
    <w:lvl w:ilvl="2">
      <w:start w:val="1"/>
      <w:numFmt w:val="decimal"/>
      <w:pStyle w:val="Nadpis3"/>
      <w:lvlText w:val="%1.%2.%3"/>
      <w:lvlJc w:val="left"/>
      <w:pPr>
        <w:ind w:left="720" w:hanging="720"/>
      </w:pPr>
      <w:rPr>
        <w:b w:val="0"/>
        <w:i w:val="0"/>
      </w:rPr>
    </w:lvl>
    <w:lvl w:ilvl="3">
      <w:start w:val="1"/>
      <w:numFmt w:val="decimal"/>
      <w:pStyle w:val="Nadpis4"/>
      <w:lvlText w:val="%1.%2.%3.%4"/>
      <w:lvlJc w:val="left"/>
      <w:pPr>
        <w:ind w:left="864" w:hanging="864"/>
      </w:pPr>
      <w:rPr>
        <w:b w:val="0"/>
      </w:rPr>
    </w:lvl>
    <w:lvl w:ilvl="4">
      <w:start w:val="1"/>
      <w:numFmt w:val="decimal"/>
      <w:pStyle w:val="Nadpis5"/>
      <w:lvlText w:val="%1.%2.%3.%4.%5"/>
      <w:lvlJc w:val="left"/>
      <w:pPr>
        <w:ind w:left="1008" w:hanging="1008"/>
      </w:pPr>
      <w:rPr>
        <w:b w:val="0"/>
        <w:i w:val="0"/>
      </w:r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FC0683F"/>
    <w:multiLevelType w:val="hybridMultilevel"/>
    <w:tmpl w:val="633202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80D48"/>
    <w:multiLevelType w:val="hybridMultilevel"/>
    <w:tmpl w:val="8EF8384C"/>
    <w:lvl w:ilvl="0" w:tplc="7A5A6D04">
      <w:start w:val="1"/>
      <w:numFmt w:val="bullet"/>
      <w:lvlText w:val="-"/>
      <w:lvlJc w:val="left"/>
      <w:pPr>
        <w:ind w:left="720" w:hanging="360"/>
      </w:pPr>
      <w:rPr>
        <w:rFonts w:ascii="Calibri" w:eastAsia="Lucida Sans Unicode" w:hAnsi="Calibri"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6F07AC"/>
    <w:multiLevelType w:val="hybridMultilevel"/>
    <w:tmpl w:val="9528AFBC"/>
    <w:lvl w:ilvl="0" w:tplc="EBD866A0">
      <w:start w:val="1"/>
      <w:numFmt w:val="lowerRoman"/>
      <w:lvlText w:val="%1."/>
      <w:lvlJc w:val="left"/>
      <w:pPr>
        <w:ind w:left="1428" w:hanging="72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15756765"/>
    <w:multiLevelType w:val="hybridMultilevel"/>
    <w:tmpl w:val="AF365BA0"/>
    <w:lvl w:ilvl="0" w:tplc="D67A868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6" w15:restartNumberingAfterBreak="0">
    <w:nsid w:val="1AC00017"/>
    <w:multiLevelType w:val="hybridMultilevel"/>
    <w:tmpl w:val="4B964222"/>
    <w:lvl w:ilvl="0" w:tplc="7A5A6D04">
      <w:start w:val="1"/>
      <w:numFmt w:val="bullet"/>
      <w:lvlText w:val="-"/>
      <w:lvlJc w:val="left"/>
      <w:pPr>
        <w:ind w:left="720" w:hanging="360"/>
      </w:pPr>
      <w:rPr>
        <w:rFonts w:ascii="Calibri" w:eastAsia="Lucida Sans Unicode" w:hAnsi="Calibri"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902B22"/>
    <w:multiLevelType w:val="hybridMultilevel"/>
    <w:tmpl w:val="327880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A3B90"/>
    <w:multiLevelType w:val="hybridMultilevel"/>
    <w:tmpl w:val="19C88EE4"/>
    <w:lvl w:ilvl="0" w:tplc="9C562FE6">
      <w:start w:val="1"/>
      <w:numFmt w:val="upperLetter"/>
      <w:pStyle w:val="Podnadpis"/>
      <w:lvlText w:val="%1"/>
      <w:lvlJc w:val="left"/>
      <w:pPr>
        <w:ind w:left="360" w:hanging="360"/>
      </w:pPr>
      <w:rPr>
        <w:rFonts w:hint="default"/>
        <w:b/>
      </w:rPr>
    </w:lvl>
    <w:lvl w:ilvl="1" w:tplc="AC3C3008">
      <w:numFmt w:val="bullet"/>
      <w:lvlText w:val="-"/>
      <w:lvlJc w:val="left"/>
      <w:pPr>
        <w:ind w:left="1440" w:hanging="360"/>
      </w:pPr>
      <w:rPr>
        <w:rFonts w:ascii="Times New Roman" w:eastAsia="Times New Roman" w:hAnsi="Times New Roman" w:cs="Times New Roman" w:hint="default"/>
      </w:rPr>
    </w:lvl>
    <w:lvl w:ilvl="2" w:tplc="53EC0538">
      <w:start w:val="1"/>
      <w:numFmt w:val="lowerLetter"/>
      <w:lvlText w:val="%3)"/>
      <w:lvlJc w:val="left"/>
      <w:pPr>
        <w:ind w:left="2340" w:hanging="360"/>
      </w:pPr>
      <w:rPr>
        <w:rFonts w:hint="default"/>
        <w:b w:val="0"/>
        <w:i w:val="0"/>
      </w:rPr>
    </w:lvl>
    <w:lvl w:ilvl="3" w:tplc="3FDE9374">
      <w:start w:val="1"/>
      <w:numFmt w:val="low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1B0413"/>
    <w:multiLevelType w:val="hybridMultilevel"/>
    <w:tmpl w:val="A83EC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1019D8"/>
    <w:multiLevelType w:val="hybridMultilevel"/>
    <w:tmpl w:val="356A9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FF72B0"/>
    <w:multiLevelType w:val="hybridMultilevel"/>
    <w:tmpl w:val="97761E2C"/>
    <w:lvl w:ilvl="0" w:tplc="D67A868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75697B"/>
    <w:multiLevelType w:val="hybridMultilevel"/>
    <w:tmpl w:val="B74449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D02D22"/>
    <w:multiLevelType w:val="hybridMultilevel"/>
    <w:tmpl w:val="96D85CD4"/>
    <w:lvl w:ilvl="0" w:tplc="D67A868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D1B4F0F"/>
    <w:multiLevelType w:val="hybridMultilevel"/>
    <w:tmpl w:val="96F83452"/>
    <w:lvl w:ilvl="0" w:tplc="0405000F">
      <w:start w:val="1"/>
      <w:numFmt w:val="decimal"/>
      <w:lvlText w:val="%1."/>
      <w:lvlJc w:val="left"/>
      <w:pPr>
        <w:ind w:left="720" w:hanging="360"/>
      </w:pPr>
      <w:rPr>
        <w:rFonts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E64CA9"/>
    <w:multiLevelType w:val="hybridMultilevel"/>
    <w:tmpl w:val="6E287A5A"/>
    <w:lvl w:ilvl="0" w:tplc="D67A868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94648B"/>
    <w:multiLevelType w:val="hybridMultilevel"/>
    <w:tmpl w:val="0D584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C131A1"/>
    <w:multiLevelType w:val="hybridMultilevel"/>
    <w:tmpl w:val="45542F0E"/>
    <w:lvl w:ilvl="0" w:tplc="D67A868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5582CA0"/>
    <w:multiLevelType w:val="hybridMultilevel"/>
    <w:tmpl w:val="FF38B538"/>
    <w:lvl w:ilvl="0" w:tplc="D67A868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0" w15:restartNumberingAfterBreak="0">
    <w:nsid w:val="6CB36E14"/>
    <w:multiLevelType w:val="hybridMultilevel"/>
    <w:tmpl w:val="714A8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7643FC"/>
    <w:multiLevelType w:val="hybridMultilevel"/>
    <w:tmpl w:val="9A96E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11C04BC"/>
    <w:multiLevelType w:val="hybridMultilevel"/>
    <w:tmpl w:val="BF965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AED23ED"/>
    <w:multiLevelType w:val="hybridMultilevel"/>
    <w:tmpl w:val="DB2001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lvlOverride w:ilvl="0">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2"/>
  </w:num>
  <w:num w:numId="6">
    <w:abstractNumId w:val="14"/>
  </w:num>
  <w:num w:numId="7">
    <w:abstractNumId w:val="7"/>
  </w:num>
  <w:num w:numId="8">
    <w:abstractNumId w:val="3"/>
  </w:num>
  <w:num w:numId="9">
    <w:abstractNumId w:val="12"/>
  </w:num>
  <w:num w:numId="10">
    <w:abstractNumId w:val="16"/>
  </w:num>
  <w:num w:numId="11">
    <w:abstractNumId w:val="22"/>
  </w:num>
  <w:num w:numId="12">
    <w:abstractNumId w:val="20"/>
  </w:num>
  <w:num w:numId="13">
    <w:abstractNumId w:val="21"/>
  </w:num>
  <w:num w:numId="14">
    <w:abstractNumId w:val="10"/>
  </w:num>
  <w:num w:numId="15">
    <w:abstractNumId w:val="9"/>
  </w:num>
  <w:num w:numId="16">
    <w:abstractNumId w:val="6"/>
  </w:num>
  <w:num w:numId="17">
    <w:abstractNumId w:val="11"/>
  </w:num>
  <w:num w:numId="18">
    <w:abstractNumId w:val="18"/>
  </w:num>
  <w:num w:numId="19">
    <w:abstractNumId w:val="4"/>
  </w:num>
  <w:num w:numId="20">
    <w:abstractNumId w:val="15"/>
  </w:num>
  <w:num w:numId="21">
    <w:abstractNumId w:val="1"/>
  </w:num>
  <w:num w:numId="22">
    <w:abstractNumId w:val="23"/>
  </w:num>
  <w:num w:numId="23">
    <w:abstractNumId w:val="17"/>
  </w:num>
  <w:num w:numId="2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199"/>
    <w:rsid w:val="0000110A"/>
    <w:rsid w:val="00001B4F"/>
    <w:rsid w:val="000039B2"/>
    <w:rsid w:val="000046E8"/>
    <w:rsid w:val="000061B2"/>
    <w:rsid w:val="0000666B"/>
    <w:rsid w:val="00006BA1"/>
    <w:rsid w:val="000076E7"/>
    <w:rsid w:val="00010749"/>
    <w:rsid w:val="00010799"/>
    <w:rsid w:val="00011296"/>
    <w:rsid w:val="00012037"/>
    <w:rsid w:val="0001411B"/>
    <w:rsid w:val="000146BD"/>
    <w:rsid w:val="00020850"/>
    <w:rsid w:val="00021CA2"/>
    <w:rsid w:val="00021ED0"/>
    <w:rsid w:val="000243E4"/>
    <w:rsid w:val="00024A3B"/>
    <w:rsid w:val="00024C8D"/>
    <w:rsid w:val="00025812"/>
    <w:rsid w:val="00026DAA"/>
    <w:rsid w:val="00027690"/>
    <w:rsid w:val="00027830"/>
    <w:rsid w:val="00027C80"/>
    <w:rsid w:val="00031979"/>
    <w:rsid w:val="00031AA3"/>
    <w:rsid w:val="00032DD9"/>
    <w:rsid w:val="000332FC"/>
    <w:rsid w:val="00034479"/>
    <w:rsid w:val="0003499B"/>
    <w:rsid w:val="00036308"/>
    <w:rsid w:val="00041736"/>
    <w:rsid w:val="000420C0"/>
    <w:rsid w:val="00042451"/>
    <w:rsid w:val="00042D3C"/>
    <w:rsid w:val="00042D53"/>
    <w:rsid w:val="00043780"/>
    <w:rsid w:val="00043BD4"/>
    <w:rsid w:val="00045733"/>
    <w:rsid w:val="00047AC4"/>
    <w:rsid w:val="0005258C"/>
    <w:rsid w:val="0005414E"/>
    <w:rsid w:val="00054379"/>
    <w:rsid w:val="000558A0"/>
    <w:rsid w:val="00057935"/>
    <w:rsid w:val="00057A0F"/>
    <w:rsid w:val="00060BC2"/>
    <w:rsid w:val="00060E6C"/>
    <w:rsid w:val="00061BBE"/>
    <w:rsid w:val="000629CA"/>
    <w:rsid w:val="000632DF"/>
    <w:rsid w:val="000633C6"/>
    <w:rsid w:val="0006382B"/>
    <w:rsid w:val="00064A24"/>
    <w:rsid w:val="000657C6"/>
    <w:rsid w:val="00065CB2"/>
    <w:rsid w:val="00067889"/>
    <w:rsid w:val="00072FAC"/>
    <w:rsid w:val="00072FCE"/>
    <w:rsid w:val="00073A93"/>
    <w:rsid w:val="00074F92"/>
    <w:rsid w:val="000761EA"/>
    <w:rsid w:val="00080787"/>
    <w:rsid w:val="00083E3D"/>
    <w:rsid w:val="000849D6"/>
    <w:rsid w:val="000865E4"/>
    <w:rsid w:val="000873D6"/>
    <w:rsid w:val="000878E2"/>
    <w:rsid w:val="0009037C"/>
    <w:rsid w:val="00090419"/>
    <w:rsid w:val="00091D31"/>
    <w:rsid w:val="00092065"/>
    <w:rsid w:val="00093629"/>
    <w:rsid w:val="00093C1B"/>
    <w:rsid w:val="00095AFE"/>
    <w:rsid w:val="000A3BF1"/>
    <w:rsid w:val="000A4951"/>
    <w:rsid w:val="000A58FC"/>
    <w:rsid w:val="000A665B"/>
    <w:rsid w:val="000A6B29"/>
    <w:rsid w:val="000A7B3F"/>
    <w:rsid w:val="000A7F7B"/>
    <w:rsid w:val="000B15BC"/>
    <w:rsid w:val="000B241F"/>
    <w:rsid w:val="000B3A12"/>
    <w:rsid w:val="000B455C"/>
    <w:rsid w:val="000B6793"/>
    <w:rsid w:val="000B799F"/>
    <w:rsid w:val="000C2C15"/>
    <w:rsid w:val="000C2D8B"/>
    <w:rsid w:val="000C6A32"/>
    <w:rsid w:val="000C7C92"/>
    <w:rsid w:val="000C7F04"/>
    <w:rsid w:val="000D1088"/>
    <w:rsid w:val="000D10F7"/>
    <w:rsid w:val="000D2D2C"/>
    <w:rsid w:val="000D4A16"/>
    <w:rsid w:val="000D795D"/>
    <w:rsid w:val="000D7EC5"/>
    <w:rsid w:val="000E4098"/>
    <w:rsid w:val="000E4266"/>
    <w:rsid w:val="000E4CD2"/>
    <w:rsid w:val="000E4D39"/>
    <w:rsid w:val="000E4F39"/>
    <w:rsid w:val="000E5BDF"/>
    <w:rsid w:val="000E684B"/>
    <w:rsid w:val="000E69F6"/>
    <w:rsid w:val="000E6B63"/>
    <w:rsid w:val="000F029E"/>
    <w:rsid w:val="000F056E"/>
    <w:rsid w:val="000F3274"/>
    <w:rsid w:val="000F65B7"/>
    <w:rsid w:val="000F7073"/>
    <w:rsid w:val="00100F75"/>
    <w:rsid w:val="001019BC"/>
    <w:rsid w:val="00101A9D"/>
    <w:rsid w:val="0010286E"/>
    <w:rsid w:val="00103455"/>
    <w:rsid w:val="001036CE"/>
    <w:rsid w:val="00103AE7"/>
    <w:rsid w:val="00104627"/>
    <w:rsid w:val="001050FC"/>
    <w:rsid w:val="001052B5"/>
    <w:rsid w:val="001064EB"/>
    <w:rsid w:val="001066E9"/>
    <w:rsid w:val="00107E95"/>
    <w:rsid w:val="0011103F"/>
    <w:rsid w:val="001119A0"/>
    <w:rsid w:val="00111FBA"/>
    <w:rsid w:val="0011209B"/>
    <w:rsid w:val="001137E1"/>
    <w:rsid w:val="00113B09"/>
    <w:rsid w:val="0011444A"/>
    <w:rsid w:val="00114986"/>
    <w:rsid w:val="00116188"/>
    <w:rsid w:val="0011684A"/>
    <w:rsid w:val="00120450"/>
    <w:rsid w:val="00122B86"/>
    <w:rsid w:val="00130857"/>
    <w:rsid w:val="00132352"/>
    <w:rsid w:val="00133A32"/>
    <w:rsid w:val="00134743"/>
    <w:rsid w:val="00136971"/>
    <w:rsid w:val="001419C8"/>
    <w:rsid w:val="00141F42"/>
    <w:rsid w:val="00142760"/>
    <w:rsid w:val="00142D5C"/>
    <w:rsid w:val="0014619A"/>
    <w:rsid w:val="00146BD9"/>
    <w:rsid w:val="00146E7E"/>
    <w:rsid w:val="00152277"/>
    <w:rsid w:val="00155FB5"/>
    <w:rsid w:val="001560D6"/>
    <w:rsid w:val="00156500"/>
    <w:rsid w:val="001573C3"/>
    <w:rsid w:val="00157E4B"/>
    <w:rsid w:val="00165F82"/>
    <w:rsid w:val="001669D4"/>
    <w:rsid w:val="00166EC5"/>
    <w:rsid w:val="00171232"/>
    <w:rsid w:val="00174DA0"/>
    <w:rsid w:val="00174FE4"/>
    <w:rsid w:val="00175672"/>
    <w:rsid w:val="0017741F"/>
    <w:rsid w:val="00177725"/>
    <w:rsid w:val="00177A8F"/>
    <w:rsid w:val="001805F3"/>
    <w:rsid w:val="001835D6"/>
    <w:rsid w:val="0018602E"/>
    <w:rsid w:val="00191FF4"/>
    <w:rsid w:val="00192657"/>
    <w:rsid w:val="00193AD5"/>
    <w:rsid w:val="00193EAD"/>
    <w:rsid w:val="00193F7D"/>
    <w:rsid w:val="00197E6E"/>
    <w:rsid w:val="001A013B"/>
    <w:rsid w:val="001A0DA5"/>
    <w:rsid w:val="001A4000"/>
    <w:rsid w:val="001A481B"/>
    <w:rsid w:val="001A5400"/>
    <w:rsid w:val="001A654E"/>
    <w:rsid w:val="001A6DB4"/>
    <w:rsid w:val="001A7426"/>
    <w:rsid w:val="001B0D49"/>
    <w:rsid w:val="001B16DC"/>
    <w:rsid w:val="001B234A"/>
    <w:rsid w:val="001B4174"/>
    <w:rsid w:val="001B43FA"/>
    <w:rsid w:val="001B4F2F"/>
    <w:rsid w:val="001B6CAA"/>
    <w:rsid w:val="001B796E"/>
    <w:rsid w:val="001B7D8F"/>
    <w:rsid w:val="001C2A29"/>
    <w:rsid w:val="001C441B"/>
    <w:rsid w:val="001C4683"/>
    <w:rsid w:val="001C5D56"/>
    <w:rsid w:val="001C71B8"/>
    <w:rsid w:val="001D06BE"/>
    <w:rsid w:val="001D16EA"/>
    <w:rsid w:val="001D36E1"/>
    <w:rsid w:val="001D4164"/>
    <w:rsid w:val="001D4D33"/>
    <w:rsid w:val="001D65ED"/>
    <w:rsid w:val="001D6CE6"/>
    <w:rsid w:val="001D73AC"/>
    <w:rsid w:val="001E043A"/>
    <w:rsid w:val="001E0EB8"/>
    <w:rsid w:val="001E1AC2"/>
    <w:rsid w:val="001E3030"/>
    <w:rsid w:val="001E30F1"/>
    <w:rsid w:val="001E3410"/>
    <w:rsid w:val="001E35D3"/>
    <w:rsid w:val="001E39D5"/>
    <w:rsid w:val="001E59C8"/>
    <w:rsid w:val="001F169B"/>
    <w:rsid w:val="001F2985"/>
    <w:rsid w:val="001F2D02"/>
    <w:rsid w:val="001F3063"/>
    <w:rsid w:val="001F4639"/>
    <w:rsid w:val="001F5D81"/>
    <w:rsid w:val="001F7FD9"/>
    <w:rsid w:val="002008CC"/>
    <w:rsid w:val="002022D4"/>
    <w:rsid w:val="002028F5"/>
    <w:rsid w:val="00202B33"/>
    <w:rsid w:val="00206037"/>
    <w:rsid w:val="00210747"/>
    <w:rsid w:val="00210ED4"/>
    <w:rsid w:val="002125BA"/>
    <w:rsid w:val="00213A4C"/>
    <w:rsid w:val="00214562"/>
    <w:rsid w:val="00214A5E"/>
    <w:rsid w:val="00214BBB"/>
    <w:rsid w:val="00214EF5"/>
    <w:rsid w:val="0022080D"/>
    <w:rsid w:val="00221B9D"/>
    <w:rsid w:val="00222555"/>
    <w:rsid w:val="002249D3"/>
    <w:rsid w:val="00224A52"/>
    <w:rsid w:val="00224F14"/>
    <w:rsid w:val="00225201"/>
    <w:rsid w:val="00225D35"/>
    <w:rsid w:val="0022644A"/>
    <w:rsid w:val="00227C13"/>
    <w:rsid w:val="0023012A"/>
    <w:rsid w:val="00230249"/>
    <w:rsid w:val="002305A5"/>
    <w:rsid w:val="00231451"/>
    <w:rsid w:val="00231DA2"/>
    <w:rsid w:val="00231E75"/>
    <w:rsid w:val="00232EDE"/>
    <w:rsid w:val="00233B29"/>
    <w:rsid w:val="00233DD7"/>
    <w:rsid w:val="00234158"/>
    <w:rsid w:val="00234D4D"/>
    <w:rsid w:val="0024066B"/>
    <w:rsid w:val="00240DB5"/>
    <w:rsid w:val="00244E66"/>
    <w:rsid w:val="0024607A"/>
    <w:rsid w:val="00252517"/>
    <w:rsid w:val="0025257C"/>
    <w:rsid w:val="002550BA"/>
    <w:rsid w:val="00255960"/>
    <w:rsid w:val="00256FD6"/>
    <w:rsid w:val="002615EE"/>
    <w:rsid w:val="002618A0"/>
    <w:rsid w:val="002621F1"/>
    <w:rsid w:val="002626C2"/>
    <w:rsid w:val="002626D6"/>
    <w:rsid w:val="0026318B"/>
    <w:rsid w:val="00266E46"/>
    <w:rsid w:val="00270FBA"/>
    <w:rsid w:val="002723E8"/>
    <w:rsid w:val="00272780"/>
    <w:rsid w:val="00272BB2"/>
    <w:rsid w:val="00273766"/>
    <w:rsid w:val="00275429"/>
    <w:rsid w:val="0027713D"/>
    <w:rsid w:val="00277165"/>
    <w:rsid w:val="00280074"/>
    <w:rsid w:val="00280729"/>
    <w:rsid w:val="002807F6"/>
    <w:rsid w:val="0028448D"/>
    <w:rsid w:val="00284CE1"/>
    <w:rsid w:val="0028530C"/>
    <w:rsid w:val="00286D88"/>
    <w:rsid w:val="00287E96"/>
    <w:rsid w:val="00287FD2"/>
    <w:rsid w:val="002929CD"/>
    <w:rsid w:val="00293105"/>
    <w:rsid w:val="00293628"/>
    <w:rsid w:val="00293B85"/>
    <w:rsid w:val="00294749"/>
    <w:rsid w:val="00296706"/>
    <w:rsid w:val="00296F11"/>
    <w:rsid w:val="002976C5"/>
    <w:rsid w:val="00297AE1"/>
    <w:rsid w:val="002A2B62"/>
    <w:rsid w:val="002A39B7"/>
    <w:rsid w:val="002A522D"/>
    <w:rsid w:val="002A621F"/>
    <w:rsid w:val="002B01C1"/>
    <w:rsid w:val="002B0702"/>
    <w:rsid w:val="002B0C17"/>
    <w:rsid w:val="002B1930"/>
    <w:rsid w:val="002B1DC5"/>
    <w:rsid w:val="002B2DB2"/>
    <w:rsid w:val="002B3BB6"/>
    <w:rsid w:val="002B41EB"/>
    <w:rsid w:val="002B436A"/>
    <w:rsid w:val="002B4408"/>
    <w:rsid w:val="002B6548"/>
    <w:rsid w:val="002B7C71"/>
    <w:rsid w:val="002C1983"/>
    <w:rsid w:val="002C1CCE"/>
    <w:rsid w:val="002C2664"/>
    <w:rsid w:val="002C2976"/>
    <w:rsid w:val="002C3D9A"/>
    <w:rsid w:val="002C7CB5"/>
    <w:rsid w:val="002D252B"/>
    <w:rsid w:val="002D29BF"/>
    <w:rsid w:val="002D3855"/>
    <w:rsid w:val="002D49EE"/>
    <w:rsid w:val="002D6860"/>
    <w:rsid w:val="002D693E"/>
    <w:rsid w:val="002D78DE"/>
    <w:rsid w:val="002E0D83"/>
    <w:rsid w:val="002E335D"/>
    <w:rsid w:val="002E6239"/>
    <w:rsid w:val="002F18A9"/>
    <w:rsid w:val="002F250A"/>
    <w:rsid w:val="002F3357"/>
    <w:rsid w:val="002F544F"/>
    <w:rsid w:val="002F6110"/>
    <w:rsid w:val="003000C0"/>
    <w:rsid w:val="00301508"/>
    <w:rsid w:val="003016AB"/>
    <w:rsid w:val="00302062"/>
    <w:rsid w:val="0030485A"/>
    <w:rsid w:val="00304978"/>
    <w:rsid w:val="00304F63"/>
    <w:rsid w:val="0030533E"/>
    <w:rsid w:val="00306245"/>
    <w:rsid w:val="00307448"/>
    <w:rsid w:val="00307548"/>
    <w:rsid w:val="003075FF"/>
    <w:rsid w:val="0031302C"/>
    <w:rsid w:val="0031471F"/>
    <w:rsid w:val="0031591D"/>
    <w:rsid w:val="00315AE7"/>
    <w:rsid w:val="00317540"/>
    <w:rsid w:val="003200FC"/>
    <w:rsid w:val="00320A39"/>
    <w:rsid w:val="00323C78"/>
    <w:rsid w:val="00326717"/>
    <w:rsid w:val="00326977"/>
    <w:rsid w:val="00326BC9"/>
    <w:rsid w:val="00326C1C"/>
    <w:rsid w:val="00326CF3"/>
    <w:rsid w:val="0032755B"/>
    <w:rsid w:val="00327D39"/>
    <w:rsid w:val="00327EA8"/>
    <w:rsid w:val="003312DC"/>
    <w:rsid w:val="00331D4A"/>
    <w:rsid w:val="00332AAF"/>
    <w:rsid w:val="00333942"/>
    <w:rsid w:val="00334D06"/>
    <w:rsid w:val="00335895"/>
    <w:rsid w:val="00337267"/>
    <w:rsid w:val="003373D7"/>
    <w:rsid w:val="003373E6"/>
    <w:rsid w:val="00337522"/>
    <w:rsid w:val="00340BDA"/>
    <w:rsid w:val="003426F3"/>
    <w:rsid w:val="00342760"/>
    <w:rsid w:val="00342DEC"/>
    <w:rsid w:val="003441F8"/>
    <w:rsid w:val="0034528E"/>
    <w:rsid w:val="00345567"/>
    <w:rsid w:val="00346440"/>
    <w:rsid w:val="00346BF1"/>
    <w:rsid w:val="00350DCA"/>
    <w:rsid w:val="00352331"/>
    <w:rsid w:val="00353E5D"/>
    <w:rsid w:val="00354C11"/>
    <w:rsid w:val="00355771"/>
    <w:rsid w:val="0035692C"/>
    <w:rsid w:val="00356B26"/>
    <w:rsid w:val="00357BB9"/>
    <w:rsid w:val="00360530"/>
    <w:rsid w:val="00360A1F"/>
    <w:rsid w:val="003626E6"/>
    <w:rsid w:val="0036381C"/>
    <w:rsid w:val="0036481F"/>
    <w:rsid w:val="00365153"/>
    <w:rsid w:val="00365C1D"/>
    <w:rsid w:val="00366572"/>
    <w:rsid w:val="00366851"/>
    <w:rsid w:val="0036707E"/>
    <w:rsid w:val="00367A03"/>
    <w:rsid w:val="003703FB"/>
    <w:rsid w:val="00370F55"/>
    <w:rsid w:val="00371236"/>
    <w:rsid w:val="003713A9"/>
    <w:rsid w:val="00371573"/>
    <w:rsid w:val="00371AA4"/>
    <w:rsid w:val="00372DB5"/>
    <w:rsid w:val="00372FFE"/>
    <w:rsid w:val="00374C37"/>
    <w:rsid w:val="00375C93"/>
    <w:rsid w:val="00376556"/>
    <w:rsid w:val="003771FE"/>
    <w:rsid w:val="00377A63"/>
    <w:rsid w:val="003804F1"/>
    <w:rsid w:val="003814DB"/>
    <w:rsid w:val="003819F3"/>
    <w:rsid w:val="0038427C"/>
    <w:rsid w:val="00384F0B"/>
    <w:rsid w:val="00386946"/>
    <w:rsid w:val="00392D91"/>
    <w:rsid w:val="003939DC"/>
    <w:rsid w:val="00393F06"/>
    <w:rsid w:val="003942C0"/>
    <w:rsid w:val="00395380"/>
    <w:rsid w:val="00395AA4"/>
    <w:rsid w:val="00397977"/>
    <w:rsid w:val="00397A7D"/>
    <w:rsid w:val="00397F0A"/>
    <w:rsid w:val="003A2509"/>
    <w:rsid w:val="003A261D"/>
    <w:rsid w:val="003A488E"/>
    <w:rsid w:val="003A4F9F"/>
    <w:rsid w:val="003A563A"/>
    <w:rsid w:val="003B254F"/>
    <w:rsid w:val="003B3D90"/>
    <w:rsid w:val="003B4C32"/>
    <w:rsid w:val="003B4D77"/>
    <w:rsid w:val="003B5984"/>
    <w:rsid w:val="003B6C47"/>
    <w:rsid w:val="003B73CD"/>
    <w:rsid w:val="003B7F7D"/>
    <w:rsid w:val="003C06CD"/>
    <w:rsid w:val="003C1BE5"/>
    <w:rsid w:val="003C2AEF"/>
    <w:rsid w:val="003C34AC"/>
    <w:rsid w:val="003C3553"/>
    <w:rsid w:val="003C4F27"/>
    <w:rsid w:val="003C6850"/>
    <w:rsid w:val="003C6EBD"/>
    <w:rsid w:val="003D275D"/>
    <w:rsid w:val="003D584E"/>
    <w:rsid w:val="003D5E64"/>
    <w:rsid w:val="003D63B2"/>
    <w:rsid w:val="003E0902"/>
    <w:rsid w:val="003E1101"/>
    <w:rsid w:val="003E121D"/>
    <w:rsid w:val="003E3997"/>
    <w:rsid w:val="003E3F16"/>
    <w:rsid w:val="003E64A1"/>
    <w:rsid w:val="003E65D0"/>
    <w:rsid w:val="003E72C5"/>
    <w:rsid w:val="003E75DB"/>
    <w:rsid w:val="003F1309"/>
    <w:rsid w:val="003F2430"/>
    <w:rsid w:val="003F28D3"/>
    <w:rsid w:val="003F28F7"/>
    <w:rsid w:val="003F38D4"/>
    <w:rsid w:val="003F3CD4"/>
    <w:rsid w:val="003F47F1"/>
    <w:rsid w:val="003F497A"/>
    <w:rsid w:val="003F57B3"/>
    <w:rsid w:val="003F723D"/>
    <w:rsid w:val="003F7FDE"/>
    <w:rsid w:val="004018F7"/>
    <w:rsid w:val="004041F5"/>
    <w:rsid w:val="00404C18"/>
    <w:rsid w:val="004114C2"/>
    <w:rsid w:val="00412C57"/>
    <w:rsid w:val="004134BA"/>
    <w:rsid w:val="00415FA0"/>
    <w:rsid w:val="00417433"/>
    <w:rsid w:val="00417503"/>
    <w:rsid w:val="00420924"/>
    <w:rsid w:val="004224C4"/>
    <w:rsid w:val="00422A0A"/>
    <w:rsid w:val="00423367"/>
    <w:rsid w:val="00423850"/>
    <w:rsid w:val="00423B0A"/>
    <w:rsid w:val="00423BBB"/>
    <w:rsid w:val="00423FDD"/>
    <w:rsid w:val="00425EC7"/>
    <w:rsid w:val="00426EA8"/>
    <w:rsid w:val="00427396"/>
    <w:rsid w:val="004278FD"/>
    <w:rsid w:val="0043064A"/>
    <w:rsid w:val="004307BE"/>
    <w:rsid w:val="004318FC"/>
    <w:rsid w:val="00431C10"/>
    <w:rsid w:val="00440D0E"/>
    <w:rsid w:val="004414FE"/>
    <w:rsid w:val="00441843"/>
    <w:rsid w:val="00442526"/>
    <w:rsid w:val="00442F42"/>
    <w:rsid w:val="004432E0"/>
    <w:rsid w:val="0044440D"/>
    <w:rsid w:val="00445FDE"/>
    <w:rsid w:val="00445FF5"/>
    <w:rsid w:val="00446A9C"/>
    <w:rsid w:val="00447B22"/>
    <w:rsid w:val="004501C1"/>
    <w:rsid w:val="0045027F"/>
    <w:rsid w:val="0045152E"/>
    <w:rsid w:val="00456078"/>
    <w:rsid w:val="00457F02"/>
    <w:rsid w:val="0046011D"/>
    <w:rsid w:val="00460C95"/>
    <w:rsid w:val="00462632"/>
    <w:rsid w:val="00462C54"/>
    <w:rsid w:val="00464695"/>
    <w:rsid w:val="00466890"/>
    <w:rsid w:val="00466A5E"/>
    <w:rsid w:val="00472E3F"/>
    <w:rsid w:val="0047385E"/>
    <w:rsid w:val="00473C08"/>
    <w:rsid w:val="00475ABF"/>
    <w:rsid w:val="0047672A"/>
    <w:rsid w:val="00476C9F"/>
    <w:rsid w:val="00481A1C"/>
    <w:rsid w:val="004830EB"/>
    <w:rsid w:val="004848E1"/>
    <w:rsid w:val="004851FC"/>
    <w:rsid w:val="00487769"/>
    <w:rsid w:val="004877D7"/>
    <w:rsid w:val="004921F6"/>
    <w:rsid w:val="004929E5"/>
    <w:rsid w:val="00495110"/>
    <w:rsid w:val="004A15EC"/>
    <w:rsid w:val="004A2224"/>
    <w:rsid w:val="004A41C8"/>
    <w:rsid w:val="004A556A"/>
    <w:rsid w:val="004A652B"/>
    <w:rsid w:val="004A69A6"/>
    <w:rsid w:val="004A6F34"/>
    <w:rsid w:val="004A745E"/>
    <w:rsid w:val="004A77B8"/>
    <w:rsid w:val="004B2202"/>
    <w:rsid w:val="004B37BB"/>
    <w:rsid w:val="004B431A"/>
    <w:rsid w:val="004B45F3"/>
    <w:rsid w:val="004B46A9"/>
    <w:rsid w:val="004B4867"/>
    <w:rsid w:val="004B5AE3"/>
    <w:rsid w:val="004B7A5F"/>
    <w:rsid w:val="004B7C15"/>
    <w:rsid w:val="004C0606"/>
    <w:rsid w:val="004C133E"/>
    <w:rsid w:val="004C294D"/>
    <w:rsid w:val="004C3EEB"/>
    <w:rsid w:val="004C4219"/>
    <w:rsid w:val="004C4374"/>
    <w:rsid w:val="004C4568"/>
    <w:rsid w:val="004C538D"/>
    <w:rsid w:val="004C62E5"/>
    <w:rsid w:val="004C6A1C"/>
    <w:rsid w:val="004D2C0C"/>
    <w:rsid w:val="004D38CB"/>
    <w:rsid w:val="004D3C20"/>
    <w:rsid w:val="004D3CAB"/>
    <w:rsid w:val="004D4EF1"/>
    <w:rsid w:val="004D4FF0"/>
    <w:rsid w:val="004D58D8"/>
    <w:rsid w:val="004E3EAC"/>
    <w:rsid w:val="004E4115"/>
    <w:rsid w:val="004E5670"/>
    <w:rsid w:val="004E7570"/>
    <w:rsid w:val="004F007A"/>
    <w:rsid w:val="004F00BA"/>
    <w:rsid w:val="004F143B"/>
    <w:rsid w:val="004F1587"/>
    <w:rsid w:val="004F3C8A"/>
    <w:rsid w:val="004F6D81"/>
    <w:rsid w:val="004F72E9"/>
    <w:rsid w:val="004F772B"/>
    <w:rsid w:val="004F7B45"/>
    <w:rsid w:val="00501A5C"/>
    <w:rsid w:val="00502910"/>
    <w:rsid w:val="005034B5"/>
    <w:rsid w:val="005058BC"/>
    <w:rsid w:val="00506F05"/>
    <w:rsid w:val="005079D4"/>
    <w:rsid w:val="00511893"/>
    <w:rsid w:val="005132B3"/>
    <w:rsid w:val="00513A2A"/>
    <w:rsid w:val="005140CD"/>
    <w:rsid w:val="00514656"/>
    <w:rsid w:val="00515461"/>
    <w:rsid w:val="00515EC0"/>
    <w:rsid w:val="00516655"/>
    <w:rsid w:val="00520A2E"/>
    <w:rsid w:val="00521008"/>
    <w:rsid w:val="00521E5B"/>
    <w:rsid w:val="00523A08"/>
    <w:rsid w:val="00524EA7"/>
    <w:rsid w:val="00525C56"/>
    <w:rsid w:val="00525D22"/>
    <w:rsid w:val="00525E95"/>
    <w:rsid w:val="00526DC7"/>
    <w:rsid w:val="00531AF2"/>
    <w:rsid w:val="00532DC4"/>
    <w:rsid w:val="00534E29"/>
    <w:rsid w:val="00534ED1"/>
    <w:rsid w:val="00535128"/>
    <w:rsid w:val="00536C67"/>
    <w:rsid w:val="00537452"/>
    <w:rsid w:val="00537807"/>
    <w:rsid w:val="00541471"/>
    <w:rsid w:val="005436B0"/>
    <w:rsid w:val="00544329"/>
    <w:rsid w:val="005463AA"/>
    <w:rsid w:val="00550115"/>
    <w:rsid w:val="00550584"/>
    <w:rsid w:val="00550621"/>
    <w:rsid w:val="00550E28"/>
    <w:rsid w:val="0055378D"/>
    <w:rsid w:val="005552DD"/>
    <w:rsid w:val="00555E8E"/>
    <w:rsid w:val="005573F5"/>
    <w:rsid w:val="005613AC"/>
    <w:rsid w:val="00563303"/>
    <w:rsid w:val="00563568"/>
    <w:rsid w:val="00563B17"/>
    <w:rsid w:val="00564309"/>
    <w:rsid w:val="005660B7"/>
    <w:rsid w:val="005662C2"/>
    <w:rsid w:val="005675D8"/>
    <w:rsid w:val="00570A78"/>
    <w:rsid w:val="005732D8"/>
    <w:rsid w:val="00573C0F"/>
    <w:rsid w:val="00574E6A"/>
    <w:rsid w:val="005753EC"/>
    <w:rsid w:val="0057612F"/>
    <w:rsid w:val="00576454"/>
    <w:rsid w:val="00576C9C"/>
    <w:rsid w:val="005774C5"/>
    <w:rsid w:val="00577746"/>
    <w:rsid w:val="0058164A"/>
    <w:rsid w:val="0058316B"/>
    <w:rsid w:val="005869C1"/>
    <w:rsid w:val="005878DF"/>
    <w:rsid w:val="005949C3"/>
    <w:rsid w:val="005954AE"/>
    <w:rsid w:val="005954EE"/>
    <w:rsid w:val="0059699B"/>
    <w:rsid w:val="005A0263"/>
    <w:rsid w:val="005A0955"/>
    <w:rsid w:val="005A0C3B"/>
    <w:rsid w:val="005A4638"/>
    <w:rsid w:val="005A4CCC"/>
    <w:rsid w:val="005A5E9C"/>
    <w:rsid w:val="005A6F5D"/>
    <w:rsid w:val="005B03A8"/>
    <w:rsid w:val="005B0D29"/>
    <w:rsid w:val="005B1B11"/>
    <w:rsid w:val="005B1D05"/>
    <w:rsid w:val="005B58C7"/>
    <w:rsid w:val="005B6A63"/>
    <w:rsid w:val="005B78FA"/>
    <w:rsid w:val="005B7927"/>
    <w:rsid w:val="005B7A8D"/>
    <w:rsid w:val="005B7B2A"/>
    <w:rsid w:val="005C132A"/>
    <w:rsid w:val="005C19FD"/>
    <w:rsid w:val="005C1E1A"/>
    <w:rsid w:val="005C5D97"/>
    <w:rsid w:val="005C71A7"/>
    <w:rsid w:val="005D0045"/>
    <w:rsid w:val="005D17E3"/>
    <w:rsid w:val="005D1896"/>
    <w:rsid w:val="005D3F18"/>
    <w:rsid w:val="005D42AB"/>
    <w:rsid w:val="005D49D6"/>
    <w:rsid w:val="005D65CE"/>
    <w:rsid w:val="005D7BF5"/>
    <w:rsid w:val="005E169F"/>
    <w:rsid w:val="005E21FA"/>
    <w:rsid w:val="005E2AF7"/>
    <w:rsid w:val="005E42BC"/>
    <w:rsid w:val="005E4582"/>
    <w:rsid w:val="005E6538"/>
    <w:rsid w:val="005E7575"/>
    <w:rsid w:val="005F04D9"/>
    <w:rsid w:val="005F1F3B"/>
    <w:rsid w:val="005F36DD"/>
    <w:rsid w:val="005F44D3"/>
    <w:rsid w:val="005F456A"/>
    <w:rsid w:val="005F4711"/>
    <w:rsid w:val="005F4B64"/>
    <w:rsid w:val="005F5A50"/>
    <w:rsid w:val="005F6AAC"/>
    <w:rsid w:val="006040F6"/>
    <w:rsid w:val="006046F0"/>
    <w:rsid w:val="00605C49"/>
    <w:rsid w:val="00606759"/>
    <w:rsid w:val="00607364"/>
    <w:rsid w:val="00610A74"/>
    <w:rsid w:val="00610CE6"/>
    <w:rsid w:val="006116F7"/>
    <w:rsid w:val="006130B4"/>
    <w:rsid w:val="00613A33"/>
    <w:rsid w:val="006144E9"/>
    <w:rsid w:val="006146C0"/>
    <w:rsid w:val="006161B6"/>
    <w:rsid w:val="00616D9E"/>
    <w:rsid w:val="00617232"/>
    <w:rsid w:val="00617378"/>
    <w:rsid w:val="006203D2"/>
    <w:rsid w:val="006212DD"/>
    <w:rsid w:val="0062168A"/>
    <w:rsid w:val="00621750"/>
    <w:rsid w:val="00621A0C"/>
    <w:rsid w:val="006228AE"/>
    <w:rsid w:val="00625213"/>
    <w:rsid w:val="00625C56"/>
    <w:rsid w:val="00627082"/>
    <w:rsid w:val="006324B7"/>
    <w:rsid w:val="0063260B"/>
    <w:rsid w:val="00632A32"/>
    <w:rsid w:val="00632D53"/>
    <w:rsid w:val="0063316A"/>
    <w:rsid w:val="006331AF"/>
    <w:rsid w:val="0063357B"/>
    <w:rsid w:val="00633F1A"/>
    <w:rsid w:val="00640A8F"/>
    <w:rsid w:val="00641526"/>
    <w:rsid w:val="006425FA"/>
    <w:rsid w:val="00642EAC"/>
    <w:rsid w:val="00643081"/>
    <w:rsid w:val="006452AE"/>
    <w:rsid w:val="00646BB9"/>
    <w:rsid w:val="00650EA7"/>
    <w:rsid w:val="00651634"/>
    <w:rsid w:val="0065185C"/>
    <w:rsid w:val="00652F87"/>
    <w:rsid w:val="00657EE8"/>
    <w:rsid w:val="0066043B"/>
    <w:rsid w:val="00660440"/>
    <w:rsid w:val="00660688"/>
    <w:rsid w:val="00660CFF"/>
    <w:rsid w:val="00661DB2"/>
    <w:rsid w:val="00661F18"/>
    <w:rsid w:val="0066326D"/>
    <w:rsid w:val="0066338B"/>
    <w:rsid w:val="00663720"/>
    <w:rsid w:val="006664BA"/>
    <w:rsid w:val="00666B5D"/>
    <w:rsid w:val="006709C1"/>
    <w:rsid w:val="006712D7"/>
    <w:rsid w:val="006716AD"/>
    <w:rsid w:val="006729F6"/>
    <w:rsid w:val="00674526"/>
    <w:rsid w:val="00675244"/>
    <w:rsid w:val="00675BE0"/>
    <w:rsid w:val="0068047A"/>
    <w:rsid w:val="006805F2"/>
    <w:rsid w:val="00680CDC"/>
    <w:rsid w:val="00682EA2"/>
    <w:rsid w:val="006841F7"/>
    <w:rsid w:val="0068564F"/>
    <w:rsid w:val="006856FE"/>
    <w:rsid w:val="00687375"/>
    <w:rsid w:val="0069082B"/>
    <w:rsid w:val="00691153"/>
    <w:rsid w:val="00691D29"/>
    <w:rsid w:val="0069206A"/>
    <w:rsid w:val="00695BF7"/>
    <w:rsid w:val="00696BF6"/>
    <w:rsid w:val="006A17FF"/>
    <w:rsid w:val="006A22A8"/>
    <w:rsid w:val="006A499C"/>
    <w:rsid w:val="006A5896"/>
    <w:rsid w:val="006A67CB"/>
    <w:rsid w:val="006A75AB"/>
    <w:rsid w:val="006A7742"/>
    <w:rsid w:val="006B0016"/>
    <w:rsid w:val="006B1EA8"/>
    <w:rsid w:val="006B2599"/>
    <w:rsid w:val="006C044B"/>
    <w:rsid w:val="006C0AA8"/>
    <w:rsid w:val="006C1054"/>
    <w:rsid w:val="006C2985"/>
    <w:rsid w:val="006C3686"/>
    <w:rsid w:val="006C3D4E"/>
    <w:rsid w:val="006C721E"/>
    <w:rsid w:val="006D0A06"/>
    <w:rsid w:val="006D16E4"/>
    <w:rsid w:val="006D1EF8"/>
    <w:rsid w:val="006D2959"/>
    <w:rsid w:val="006D3565"/>
    <w:rsid w:val="006D48E6"/>
    <w:rsid w:val="006D4BFB"/>
    <w:rsid w:val="006D502A"/>
    <w:rsid w:val="006D57E2"/>
    <w:rsid w:val="006D6071"/>
    <w:rsid w:val="006D7BBC"/>
    <w:rsid w:val="006E28B7"/>
    <w:rsid w:val="006E3240"/>
    <w:rsid w:val="006E3DC8"/>
    <w:rsid w:val="006E5773"/>
    <w:rsid w:val="006E5B87"/>
    <w:rsid w:val="006E691A"/>
    <w:rsid w:val="006E6BEC"/>
    <w:rsid w:val="006E6D8D"/>
    <w:rsid w:val="006E7799"/>
    <w:rsid w:val="006F0B91"/>
    <w:rsid w:val="006F24E0"/>
    <w:rsid w:val="006F31C0"/>
    <w:rsid w:val="006F4495"/>
    <w:rsid w:val="006F5675"/>
    <w:rsid w:val="006F63D5"/>
    <w:rsid w:val="006F68A8"/>
    <w:rsid w:val="006F79B6"/>
    <w:rsid w:val="00702E8C"/>
    <w:rsid w:val="00704736"/>
    <w:rsid w:val="007048C0"/>
    <w:rsid w:val="007065D6"/>
    <w:rsid w:val="00710879"/>
    <w:rsid w:val="007110CC"/>
    <w:rsid w:val="00711FF2"/>
    <w:rsid w:val="00713261"/>
    <w:rsid w:val="00714B46"/>
    <w:rsid w:val="00716494"/>
    <w:rsid w:val="00721CAB"/>
    <w:rsid w:val="00724401"/>
    <w:rsid w:val="00726452"/>
    <w:rsid w:val="00726BCE"/>
    <w:rsid w:val="00730456"/>
    <w:rsid w:val="00733CDF"/>
    <w:rsid w:val="00733D97"/>
    <w:rsid w:val="0073439B"/>
    <w:rsid w:val="007344D6"/>
    <w:rsid w:val="007345B2"/>
    <w:rsid w:val="007353E6"/>
    <w:rsid w:val="00735A87"/>
    <w:rsid w:val="00735A9D"/>
    <w:rsid w:val="00735DB5"/>
    <w:rsid w:val="00740FF6"/>
    <w:rsid w:val="007416CE"/>
    <w:rsid w:val="00742781"/>
    <w:rsid w:val="00743D0C"/>
    <w:rsid w:val="00744124"/>
    <w:rsid w:val="007455ED"/>
    <w:rsid w:val="007461A1"/>
    <w:rsid w:val="007464EE"/>
    <w:rsid w:val="007467F1"/>
    <w:rsid w:val="00747CE5"/>
    <w:rsid w:val="00752C87"/>
    <w:rsid w:val="00752E92"/>
    <w:rsid w:val="00753439"/>
    <w:rsid w:val="007535A0"/>
    <w:rsid w:val="00753B14"/>
    <w:rsid w:val="00753F5E"/>
    <w:rsid w:val="007545DF"/>
    <w:rsid w:val="007566EF"/>
    <w:rsid w:val="00756978"/>
    <w:rsid w:val="00757031"/>
    <w:rsid w:val="00757CA8"/>
    <w:rsid w:val="00761764"/>
    <w:rsid w:val="007635AD"/>
    <w:rsid w:val="00763F39"/>
    <w:rsid w:val="00766C27"/>
    <w:rsid w:val="00767D47"/>
    <w:rsid w:val="0077071F"/>
    <w:rsid w:val="0077284F"/>
    <w:rsid w:val="00773C6E"/>
    <w:rsid w:val="007743C6"/>
    <w:rsid w:val="007767E9"/>
    <w:rsid w:val="00781765"/>
    <w:rsid w:val="007839ED"/>
    <w:rsid w:val="007843B3"/>
    <w:rsid w:val="00784D0A"/>
    <w:rsid w:val="0078546D"/>
    <w:rsid w:val="00785D03"/>
    <w:rsid w:val="00786151"/>
    <w:rsid w:val="00786917"/>
    <w:rsid w:val="007879D7"/>
    <w:rsid w:val="00790A1E"/>
    <w:rsid w:val="00791C9F"/>
    <w:rsid w:val="00792B4E"/>
    <w:rsid w:val="00792FA3"/>
    <w:rsid w:val="007949E4"/>
    <w:rsid w:val="00795CF7"/>
    <w:rsid w:val="007966BA"/>
    <w:rsid w:val="0079702F"/>
    <w:rsid w:val="0079723A"/>
    <w:rsid w:val="007A235E"/>
    <w:rsid w:val="007A4153"/>
    <w:rsid w:val="007A552E"/>
    <w:rsid w:val="007A673D"/>
    <w:rsid w:val="007A6AD1"/>
    <w:rsid w:val="007B012F"/>
    <w:rsid w:val="007B0858"/>
    <w:rsid w:val="007B1015"/>
    <w:rsid w:val="007B2D79"/>
    <w:rsid w:val="007B2E8C"/>
    <w:rsid w:val="007B2FD7"/>
    <w:rsid w:val="007B4110"/>
    <w:rsid w:val="007B4282"/>
    <w:rsid w:val="007B5B3E"/>
    <w:rsid w:val="007C2481"/>
    <w:rsid w:val="007C2782"/>
    <w:rsid w:val="007C3CEC"/>
    <w:rsid w:val="007C434A"/>
    <w:rsid w:val="007C677C"/>
    <w:rsid w:val="007D1001"/>
    <w:rsid w:val="007D3AA6"/>
    <w:rsid w:val="007D4444"/>
    <w:rsid w:val="007D4874"/>
    <w:rsid w:val="007D5231"/>
    <w:rsid w:val="007D5CFA"/>
    <w:rsid w:val="007D63BF"/>
    <w:rsid w:val="007D6A2B"/>
    <w:rsid w:val="007D6BF0"/>
    <w:rsid w:val="007D72A7"/>
    <w:rsid w:val="007E0A13"/>
    <w:rsid w:val="007E0A82"/>
    <w:rsid w:val="007E2FC2"/>
    <w:rsid w:val="007E36AF"/>
    <w:rsid w:val="007E6F24"/>
    <w:rsid w:val="007E7ABE"/>
    <w:rsid w:val="007F0263"/>
    <w:rsid w:val="007F121D"/>
    <w:rsid w:val="007F1273"/>
    <w:rsid w:val="007F1BA2"/>
    <w:rsid w:val="007F29D2"/>
    <w:rsid w:val="007F41F4"/>
    <w:rsid w:val="007F434E"/>
    <w:rsid w:val="007F4547"/>
    <w:rsid w:val="007F6EE8"/>
    <w:rsid w:val="00801F20"/>
    <w:rsid w:val="008020F7"/>
    <w:rsid w:val="00803C31"/>
    <w:rsid w:val="00804399"/>
    <w:rsid w:val="00806A90"/>
    <w:rsid w:val="0080706B"/>
    <w:rsid w:val="00810B00"/>
    <w:rsid w:val="008111CA"/>
    <w:rsid w:val="00813620"/>
    <w:rsid w:val="00815A5B"/>
    <w:rsid w:val="008176B7"/>
    <w:rsid w:val="00817FE5"/>
    <w:rsid w:val="008203DE"/>
    <w:rsid w:val="00820C3A"/>
    <w:rsid w:val="00821705"/>
    <w:rsid w:val="00823687"/>
    <w:rsid w:val="00827538"/>
    <w:rsid w:val="00833273"/>
    <w:rsid w:val="00833542"/>
    <w:rsid w:val="008338F1"/>
    <w:rsid w:val="00836466"/>
    <w:rsid w:val="00836C73"/>
    <w:rsid w:val="00840333"/>
    <w:rsid w:val="00840906"/>
    <w:rsid w:val="008419F0"/>
    <w:rsid w:val="00841B52"/>
    <w:rsid w:val="00844A1A"/>
    <w:rsid w:val="0084788F"/>
    <w:rsid w:val="008542A3"/>
    <w:rsid w:val="0085535E"/>
    <w:rsid w:val="008558C2"/>
    <w:rsid w:val="008575DA"/>
    <w:rsid w:val="0085761C"/>
    <w:rsid w:val="008610FC"/>
    <w:rsid w:val="00861895"/>
    <w:rsid w:val="00861CCB"/>
    <w:rsid w:val="00861F44"/>
    <w:rsid w:val="00862B7E"/>
    <w:rsid w:val="00862F9E"/>
    <w:rsid w:val="0086368D"/>
    <w:rsid w:val="00866620"/>
    <w:rsid w:val="008671D4"/>
    <w:rsid w:val="008673A6"/>
    <w:rsid w:val="00870011"/>
    <w:rsid w:val="00872A06"/>
    <w:rsid w:val="00873C4D"/>
    <w:rsid w:val="00875E55"/>
    <w:rsid w:val="00875F47"/>
    <w:rsid w:val="00876686"/>
    <w:rsid w:val="008805D3"/>
    <w:rsid w:val="008815C8"/>
    <w:rsid w:val="00881754"/>
    <w:rsid w:val="00881E36"/>
    <w:rsid w:val="00881FC9"/>
    <w:rsid w:val="00882029"/>
    <w:rsid w:val="008820CB"/>
    <w:rsid w:val="00883E21"/>
    <w:rsid w:val="00884E51"/>
    <w:rsid w:val="00884EC7"/>
    <w:rsid w:val="00885401"/>
    <w:rsid w:val="00886906"/>
    <w:rsid w:val="00890C80"/>
    <w:rsid w:val="00891618"/>
    <w:rsid w:val="00891D67"/>
    <w:rsid w:val="00892015"/>
    <w:rsid w:val="00892F6F"/>
    <w:rsid w:val="008949A0"/>
    <w:rsid w:val="00895B61"/>
    <w:rsid w:val="00896054"/>
    <w:rsid w:val="008974CB"/>
    <w:rsid w:val="008A092E"/>
    <w:rsid w:val="008A0FD8"/>
    <w:rsid w:val="008A123C"/>
    <w:rsid w:val="008A215B"/>
    <w:rsid w:val="008A5FE0"/>
    <w:rsid w:val="008A73B4"/>
    <w:rsid w:val="008A7F32"/>
    <w:rsid w:val="008B1139"/>
    <w:rsid w:val="008B40B3"/>
    <w:rsid w:val="008B52DA"/>
    <w:rsid w:val="008B5A9E"/>
    <w:rsid w:val="008B61EF"/>
    <w:rsid w:val="008B6C81"/>
    <w:rsid w:val="008B7235"/>
    <w:rsid w:val="008B7A69"/>
    <w:rsid w:val="008B7BA5"/>
    <w:rsid w:val="008B7F5B"/>
    <w:rsid w:val="008C10EB"/>
    <w:rsid w:val="008C149B"/>
    <w:rsid w:val="008C1ACF"/>
    <w:rsid w:val="008C2973"/>
    <w:rsid w:val="008C2D8F"/>
    <w:rsid w:val="008C378F"/>
    <w:rsid w:val="008C3AB9"/>
    <w:rsid w:val="008C507D"/>
    <w:rsid w:val="008D32E7"/>
    <w:rsid w:val="008D39E9"/>
    <w:rsid w:val="008D3FD1"/>
    <w:rsid w:val="008D5100"/>
    <w:rsid w:val="008D5AE1"/>
    <w:rsid w:val="008E06A7"/>
    <w:rsid w:val="008E382C"/>
    <w:rsid w:val="008E426F"/>
    <w:rsid w:val="008E4930"/>
    <w:rsid w:val="008E5A85"/>
    <w:rsid w:val="008E6B64"/>
    <w:rsid w:val="008E6B6D"/>
    <w:rsid w:val="008E73DC"/>
    <w:rsid w:val="008E7CB2"/>
    <w:rsid w:val="008F0383"/>
    <w:rsid w:val="008F29BD"/>
    <w:rsid w:val="008F36EA"/>
    <w:rsid w:val="008F3E98"/>
    <w:rsid w:val="008F4B8C"/>
    <w:rsid w:val="008F57B1"/>
    <w:rsid w:val="008F6997"/>
    <w:rsid w:val="008F6E23"/>
    <w:rsid w:val="008F7449"/>
    <w:rsid w:val="008F7FF5"/>
    <w:rsid w:val="00901736"/>
    <w:rsid w:val="00901B4F"/>
    <w:rsid w:val="00901B66"/>
    <w:rsid w:val="00901E6C"/>
    <w:rsid w:val="00902FE6"/>
    <w:rsid w:val="00904956"/>
    <w:rsid w:val="00906325"/>
    <w:rsid w:val="0090771A"/>
    <w:rsid w:val="00907B41"/>
    <w:rsid w:val="009108A0"/>
    <w:rsid w:val="00911B78"/>
    <w:rsid w:val="00911F0F"/>
    <w:rsid w:val="00916760"/>
    <w:rsid w:val="009168CE"/>
    <w:rsid w:val="00916985"/>
    <w:rsid w:val="00916E5A"/>
    <w:rsid w:val="00917084"/>
    <w:rsid w:val="0091743B"/>
    <w:rsid w:val="00920E01"/>
    <w:rsid w:val="009219BF"/>
    <w:rsid w:val="00923A53"/>
    <w:rsid w:val="00924B11"/>
    <w:rsid w:val="009250A2"/>
    <w:rsid w:val="00927E40"/>
    <w:rsid w:val="00930FE1"/>
    <w:rsid w:val="00932040"/>
    <w:rsid w:val="0093226C"/>
    <w:rsid w:val="00934115"/>
    <w:rsid w:val="009356C4"/>
    <w:rsid w:val="0093614B"/>
    <w:rsid w:val="009363DA"/>
    <w:rsid w:val="00937335"/>
    <w:rsid w:val="00937C00"/>
    <w:rsid w:val="00937D62"/>
    <w:rsid w:val="009401EE"/>
    <w:rsid w:val="00940E1C"/>
    <w:rsid w:val="00942071"/>
    <w:rsid w:val="009429B8"/>
    <w:rsid w:val="00942BE2"/>
    <w:rsid w:val="00943972"/>
    <w:rsid w:val="009446A8"/>
    <w:rsid w:val="00944E3C"/>
    <w:rsid w:val="00947DB5"/>
    <w:rsid w:val="009504CF"/>
    <w:rsid w:val="00950501"/>
    <w:rsid w:val="00950D87"/>
    <w:rsid w:val="0095243F"/>
    <w:rsid w:val="00954455"/>
    <w:rsid w:val="00955D14"/>
    <w:rsid w:val="00955D7A"/>
    <w:rsid w:val="009568D1"/>
    <w:rsid w:val="009573DB"/>
    <w:rsid w:val="009576C2"/>
    <w:rsid w:val="00960AEB"/>
    <w:rsid w:val="00962E8A"/>
    <w:rsid w:val="0096408A"/>
    <w:rsid w:val="0096742F"/>
    <w:rsid w:val="009678E9"/>
    <w:rsid w:val="00971A3E"/>
    <w:rsid w:val="00972543"/>
    <w:rsid w:val="00972B9E"/>
    <w:rsid w:val="00972CD1"/>
    <w:rsid w:val="00975826"/>
    <w:rsid w:val="00976DBA"/>
    <w:rsid w:val="00983043"/>
    <w:rsid w:val="009849F2"/>
    <w:rsid w:val="009849F7"/>
    <w:rsid w:val="00984AC5"/>
    <w:rsid w:val="00985D66"/>
    <w:rsid w:val="00991BB5"/>
    <w:rsid w:val="00991E51"/>
    <w:rsid w:val="00992929"/>
    <w:rsid w:val="00993F59"/>
    <w:rsid w:val="009955F3"/>
    <w:rsid w:val="00997119"/>
    <w:rsid w:val="009A0904"/>
    <w:rsid w:val="009A17D1"/>
    <w:rsid w:val="009A1E5D"/>
    <w:rsid w:val="009A2F01"/>
    <w:rsid w:val="009A342B"/>
    <w:rsid w:val="009A612D"/>
    <w:rsid w:val="009A6881"/>
    <w:rsid w:val="009A7BA5"/>
    <w:rsid w:val="009B1378"/>
    <w:rsid w:val="009B1E5F"/>
    <w:rsid w:val="009B244A"/>
    <w:rsid w:val="009B2994"/>
    <w:rsid w:val="009B3B44"/>
    <w:rsid w:val="009B4AAD"/>
    <w:rsid w:val="009B62A8"/>
    <w:rsid w:val="009B7023"/>
    <w:rsid w:val="009B7FAB"/>
    <w:rsid w:val="009C2B28"/>
    <w:rsid w:val="009C33F8"/>
    <w:rsid w:val="009C45DF"/>
    <w:rsid w:val="009C4FB1"/>
    <w:rsid w:val="009C7570"/>
    <w:rsid w:val="009C7E21"/>
    <w:rsid w:val="009D04CF"/>
    <w:rsid w:val="009D10E1"/>
    <w:rsid w:val="009D158A"/>
    <w:rsid w:val="009D276A"/>
    <w:rsid w:val="009D5B4D"/>
    <w:rsid w:val="009D7F3A"/>
    <w:rsid w:val="009E0912"/>
    <w:rsid w:val="009E3310"/>
    <w:rsid w:val="009E477A"/>
    <w:rsid w:val="009E542C"/>
    <w:rsid w:val="009E64F9"/>
    <w:rsid w:val="009E6550"/>
    <w:rsid w:val="009E7EC7"/>
    <w:rsid w:val="009F1969"/>
    <w:rsid w:val="009F392D"/>
    <w:rsid w:val="009F528B"/>
    <w:rsid w:val="009F67F1"/>
    <w:rsid w:val="00A002C1"/>
    <w:rsid w:val="00A02791"/>
    <w:rsid w:val="00A02D79"/>
    <w:rsid w:val="00A0354C"/>
    <w:rsid w:val="00A03FDE"/>
    <w:rsid w:val="00A03FF9"/>
    <w:rsid w:val="00A042BA"/>
    <w:rsid w:val="00A047E9"/>
    <w:rsid w:val="00A057CF"/>
    <w:rsid w:val="00A05C3B"/>
    <w:rsid w:val="00A072EF"/>
    <w:rsid w:val="00A07428"/>
    <w:rsid w:val="00A076A6"/>
    <w:rsid w:val="00A108B7"/>
    <w:rsid w:val="00A1138D"/>
    <w:rsid w:val="00A14453"/>
    <w:rsid w:val="00A14522"/>
    <w:rsid w:val="00A14541"/>
    <w:rsid w:val="00A1617D"/>
    <w:rsid w:val="00A17663"/>
    <w:rsid w:val="00A20F22"/>
    <w:rsid w:val="00A218A0"/>
    <w:rsid w:val="00A23F81"/>
    <w:rsid w:val="00A2534E"/>
    <w:rsid w:val="00A30BB7"/>
    <w:rsid w:val="00A31B74"/>
    <w:rsid w:val="00A33928"/>
    <w:rsid w:val="00A34EB0"/>
    <w:rsid w:val="00A35A47"/>
    <w:rsid w:val="00A35B6E"/>
    <w:rsid w:val="00A35E1C"/>
    <w:rsid w:val="00A36314"/>
    <w:rsid w:val="00A42F3C"/>
    <w:rsid w:val="00A4394A"/>
    <w:rsid w:val="00A43F15"/>
    <w:rsid w:val="00A44A4C"/>
    <w:rsid w:val="00A50484"/>
    <w:rsid w:val="00A50EFA"/>
    <w:rsid w:val="00A51CCA"/>
    <w:rsid w:val="00A51D54"/>
    <w:rsid w:val="00A51DF2"/>
    <w:rsid w:val="00A51FA5"/>
    <w:rsid w:val="00A52E6E"/>
    <w:rsid w:val="00A539AB"/>
    <w:rsid w:val="00A53A38"/>
    <w:rsid w:val="00A53B61"/>
    <w:rsid w:val="00A5449B"/>
    <w:rsid w:val="00A5754A"/>
    <w:rsid w:val="00A60422"/>
    <w:rsid w:val="00A60F69"/>
    <w:rsid w:val="00A616FC"/>
    <w:rsid w:val="00A62579"/>
    <w:rsid w:val="00A6332C"/>
    <w:rsid w:val="00A64504"/>
    <w:rsid w:val="00A658E8"/>
    <w:rsid w:val="00A65921"/>
    <w:rsid w:val="00A72C3B"/>
    <w:rsid w:val="00A74199"/>
    <w:rsid w:val="00A74B2B"/>
    <w:rsid w:val="00A757FE"/>
    <w:rsid w:val="00A76CB7"/>
    <w:rsid w:val="00A775DA"/>
    <w:rsid w:val="00A8423D"/>
    <w:rsid w:val="00A866EB"/>
    <w:rsid w:val="00A8686F"/>
    <w:rsid w:val="00A86870"/>
    <w:rsid w:val="00A90EA1"/>
    <w:rsid w:val="00A91A88"/>
    <w:rsid w:val="00A91F1C"/>
    <w:rsid w:val="00A927D6"/>
    <w:rsid w:val="00A929B6"/>
    <w:rsid w:val="00A959DF"/>
    <w:rsid w:val="00A95EE8"/>
    <w:rsid w:val="00A96EEE"/>
    <w:rsid w:val="00A9711C"/>
    <w:rsid w:val="00AA23D5"/>
    <w:rsid w:val="00AA2FA6"/>
    <w:rsid w:val="00AA4431"/>
    <w:rsid w:val="00AA49F4"/>
    <w:rsid w:val="00AA4E02"/>
    <w:rsid w:val="00AA7F1E"/>
    <w:rsid w:val="00AB01FA"/>
    <w:rsid w:val="00AB0D16"/>
    <w:rsid w:val="00AB1C02"/>
    <w:rsid w:val="00AB2508"/>
    <w:rsid w:val="00AB473F"/>
    <w:rsid w:val="00AB5AF0"/>
    <w:rsid w:val="00AB642E"/>
    <w:rsid w:val="00AC0460"/>
    <w:rsid w:val="00AC082B"/>
    <w:rsid w:val="00AC0FC4"/>
    <w:rsid w:val="00AC22E8"/>
    <w:rsid w:val="00AC3F62"/>
    <w:rsid w:val="00AC5467"/>
    <w:rsid w:val="00AC55A7"/>
    <w:rsid w:val="00AD2083"/>
    <w:rsid w:val="00AD20D3"/>
    <w:rsid w:val="00AD228C"/>
    <w:rsid w:val="00AD730C"/>
    <w:rsid w:val="00AD7AE7"/>
    <w:rsid w:val="00AE01DB"/>
    <w:rsid w:val="00AE0E55"/>
    <w:rsid w:val="00AE14AE"/>
    <w:rsid w:val="00AE1BE8"/>
    <w:rsid w:val="00AE1C01"/>
    <w:rsid w:val="00AE28A0"/>
    <w:rsid w:val="00AE3591"/>
    <w:rsid w:val="00AE362E"/>
    <w:rsid w:val="00AE5E18"/>
    <w:rsid w:val="00AE6C65"/>
    <w:rsid w:val="00AE7D20"/>
    <w:rsid w:val="00AF06CF"/>
    <w:rsid w:val="00AF14CB"/>
    <w:rsid w:val="00AF2026"/>
    <w:rsid w:val="00AF23A6"/>
    <w:rsid w:val="00AF2B1B"/>
    <w:rsid w:val="00AF37BD"/>
    <w:rsid w:val="00AF4153"/>
    <w:rsid w:val="00AF48CC"/>
    <w:rsid w:val="00AF5115"/>
    <w:rsid w:val="00AF5366"/>
    <w:rsid w:val="00AF7B74"/>
    <w:rsid w:val="00B04D62"/>
    <w:rsid w:val="00B066EC"/>
    <w:rsid w:val="00B077A2"/>
    <w:rsid w:val="00B11F74"/>
    <w:rsid w:val="00B12339"/>
    <w:rsid w:val="00B123D1"/>
    <w:rsid w:val="00B1411E"/>
    <w:rsid w:val="00B142EC"/>
    <w:rsid w:val="00B143A4"/>
    <w:rsid w:val="00B174B1"/>
    <w:rsid w:val="00B203DE"/>
    <w:rsid w:val="00B21CC2"/>
    <w:rsid w:val="00B21F85"/>
    <w:rsid w:val="00B23700"/>
    <w:rsid w:val="00B248C4"/>
    <w:rsid w:val="00B258FC"/>
    <w:rsid w:val="00B263A4"/>
    <w:rsid w:val="00B27AB4"/>
    <w:rsid w:val="00B31B13"/>
    <w:rsid w:val="00B3274F"/>
    <w:rsid w:val="00B32B94"/>
    <w:rsid w:val="00B333D4"/>
    <w:rsid w:val="00B33A93"/>
    <w:rsid w:val="00B34DD7"/>
    <w:rsid w:val="00B35040"/>
    <w:rsid w:val="00B40583"/>
    <w:rsid w:val="00B40A4C"/>
    <w:rsid w:val="00B4193C"/>
    <w:rsid w:val="00B41C24"/>
    <w:rsid w:val="00B42FF6"/>
    <w:rsid w:val="00B43021"/>
    <w:rsid w:val="00B44106"/>
    <w:rsid w:val="00B44F68"/>
    <w:rsid w:val="00B46343"/>
    <w:rsid w:val="00B46743"/>
    <w:rsid w:val="00B46F05"/>
    <w:rsid w:val="00B47E03"/>
    <w:rsid w:val="00B5416F"/>
    <w:rsid w:val="00B54C10"/>
    <w:rsid w:val="00B54E36"/>
    <w:rsid w:val="00B56403"/>
    <w:rsid w:val="00B56A33"/>
    <w:rsid w:val="00B62C47"/>
    <w:rsid w:val="00B6507A"/>
    <w:rsid w:val="00B679B2"/>
    <w:rsid w:val="00B70169"/>
    <w:rsid w:val="00B708F8"/>
    <w:rsid w:val="00B7127A"/>
    <w:rsid w:val="00B71AC9"/>
    <w:rsid w:val="00B71FFF"/>
    <w:rsid w:val="00B7432E"/>
    <w:rsid w:val="00B74C6F"/>
    <w:rsid w:val="00B802B8"/>
    <w:rsid w:val="00B80CAB"/>
    <w:rsid w:val="00B8192F"/>
    <w:rsid w:val="00B81CDF"/>
    <w:rsid w:val="00B81FC0"/>
    <w:rsid w:val="00B82572"/>
    <w:rsid w:val="00B834B7"/>
    <w:rsid w:val="00B83EA6"/>
    <w:rsid w:val="00B84886"/>
    <w:rsid w:val="00B85A53"/>
    <w:rsid w:val="00B85AD5"/>
    <w:rsid w:val="00B869BA"/>
    <w:rsid w:val="00B86AF6"/>
    <w:rsid w:val="00B87F83"/>
    <w:rsid w:val="00B93756"/>
    <w:rsid w:val="00B93C93"/>
    <w:rsid w:val="00B95F8D"/>
    <w:rsid w:val="00B9619A"/>
    <w:rsid w:val="00B969D7"/>
    <w:rsid w:val="00B97247"/>
    <w:rsid w:val="00B97F3B"/>
    <w:rsid w:val="00BA1848"/>
    <w:rsid w:val="00BA1C4C"/>
    <w:rsid w:val="00BA31AF"/>
    <w:rsid w:val="00BA3AD3"/>
    <w:rsid w:val="00BA4724"/>
    <w:rsid w:val="00BA4738"/>
    <w:rsid w:val="00BA47FC"/>
    <w:rsid w:val="00BB049E"/>
    <w:rsid w:val="00BB1247"/>
    <w:rsid w:val="00BB212D"/>
    <w:rsid w:val="00BB2BF0"/>
    <w:rsid w:val="00BB3E5B"/>
    <w:rsid w:val="00BB4504"/>
    <w:rsid w:val="00BB4EDE"/>
    <w:rsid w:val="00BB5096"/>
    <w:rsid w:val="00BB5601"/>
    <w:rsid w:val="00BB5A8D"/>
    <w:rsid w:val="00BB6390"/>
    <w:rsid w:val="00BC0EED"/>
    <w:rsid w:val="00BC1690"/>
    <w:rsid w:val="00BC1961"/>
    <w:rsid w:val="00BC1EE0"/>
    <w:rsid w:val="00BC4A80"/>
    <w:rsid w:val="00BD1196"/>
    <w:rsid w:val="00BD27C1"/>
    <w:rsid w:val="00BD28FF"/>
    <w:rsid w:val="00BD3355"/>
    <w:rsid w:val="00BD3409"/>
    <w:rsid w:val="00BD7754"/>
    <w:rsid w:val="00BE0454"/>
    <w:rsid w:val="00BE19E0"/>
    <w:rsid w:val="00BE2E27"/>
    <w:rsid w:val="00BE48B4"/>
    <w:rsid w:val="00BF21CB"/>
    <w:rsid w:val="00BF3AA1"/>
    <w:rsid w:val="00BF3C44"/>
    <w:rsid w:val="00BF470C"/>
    <w:rsid w:val="00BF4ADD"/>
    <w:rsid w:val="00BF6A53"/>
    <w:rsid w:val="00BF7149"/>
    <w:rsid w:val="00BF7279"/>
    <w:rsid w:val="00C0090A"/>
    <w:rsid w:val="00C03DAC"/>
    <w:rsid w:val="00C046D9"/>
    <w:rsid w:val="00C04A0F"/>
    <w:rsid w:val="00C04FB2"/>
    <w:rsid w:val="00C056CA"/>
    <w:rsid w:val="00C05DB6"/>
    <w:rsid w:val="00C0611D"/>
    <w:rsid w:val="00C0732F"/>
    <w:rsid w:val="00C13F0C"/>
    <w:rsid w:val="00C13F23"/>
    <w:rsid w:val="00C13FF8"/>
    <w:rsid w:val="00C1607F"/>
    <w:rsid w:val="00C174EF"/>
    <w:rsid w:val="00C20C0C"/>
    <w:rsid w:val="00C20F8D"/>
    <w:rsid w:val="00C2225F"/>
    <w:rsid w:val="00C225FB"/>
    <w:rsid w:val="00C27067"/>
    <w:rsid w:val="00C27992"/>
    <w:rsid w:val="00C31309"/>
    <w:rsid w:val="00C31E6F"/>
    <w:rsid w:val="00C32947"/>
    <w:rsid w:val="00C35C54"/>
    <w:rsid w:val="00C3671F"/>
    <w:rsid w:val="00C36E01"/>
    <w:rsid w:val="00C376CF"/>
    <w:rsid w:val="00C4007D"/>
    <w:rsid w:val="00C40EBB"/>
    <w:rsid w:val="00C517A5"/>
    <w:rsid w:val="00C55B0B"/>
    <w:rsid w:val="00C55D07"/>
    <w:rsid w:val="00C573FB"/>
    <w:rsid w:val="00C57F79"/>
    <w:rsid w:val="00C61DC3"/>
    <w:rsid w:val="00C61F08"/>
    <w:rsid w:val="00C62A2B"/>
    <w:rsid w:val="00C63B9F"/>
    <w:rsid w:val="00C651A9"/>
    <w:rsid w:val="00C70EA0"/>
    <w:rsid w:val="00C71178"/>
    <w:rsid w:val="00C71284"/>
    <w:rsid w:val="00C71D06"/>
    <w:rsid w:val="00C73D44"/>
    <w:rsid w:val="00C76C0E"/>
    <w:rsid w:val="00C81099"/>
    <w:rsid w:val="00C81BF8"/>
    <w:rsid w:val="00C83BEB"/>
    <w:rsid w:val="00C84458"/>
    <w:rsid w:val="00C84E09"/>
    <w:rsid w:val="00C8643C"/>
    <w:rsid w:val="00C86A67"/>
    <w:rsid w:val="00C86ADE"/>
    <w:rsid w:val="00C86EFB"/>
    <w:rsid w:val="00C8784D"/>
    <w:rsid w:val="00C87D26"/>
    <w:rsid w:val="00C908FD"/>
    <w:rsid w:val="00C92F8C"/>
    <w:rsid w:val="00C9438E"/>
    <w:rsid w:val="00C9458E"/>
    <w:rsid w:val="00C95B49"/>
    <w:rsid w:val="00CA05AD"/>
    <w:rsid w:val="00CA2B8D"/>
    <w:rsid w:val="00CA2E79"/>
    <w:rsid w:val="00CA3E3D"/>
    <w:rsid w:val="00CA500B"/>
    <w:rsid w:val="00CB0067"/>
    <w:rsid w:val="00CB0700"/>
    <w:rsid w:val="00CB1616"/>
    <w:rsid w:val="00CB2559"/>
    <w:rsid w:val="00CB3456"/>
    <w:rsid w:val="00CB42E6"/>
    <w:rsid w:val="00CB5EB4"/>
    <w:rsid w:val="00CB6CA9"/>
    <w:rsid w:val="00CB7164"/>
    <w:rsid w:val="00CB74D6"/>
    <w:rsid w:val="00CB74FB"/>
    <w:rsid w:val="00CB792B"/>
    <w:rsid w:val="00CB792E"/>
    <w:rsid w:val="00CC0098"/>
    <w:rsid w:val="00CC1002"/>
    <w:rsid w:val="00CC1948"/>
    <w:rsid w:val="00CC212C"/>
    <w:rsid w:val="00CC2C9C"/>
    <w:rsid w:val="00CC31AD"/>
    <w:rsid w:val="00CC3814"/>
    <w:rsid w:val="00CC3FBA"/>
    <w:rsid w:val="00CC4120"/>
    <w:rsid w:val="00CC604A"/>
    <w:rsid w:val="00CC63ED"/>
    <w:rsid w:val="00CD3072"/>
    <w:rsid w:val="00CD6050"/>
    <w:rsid w:val="00CD6277"/>
    <w:rsid w:val="00CD7DAE"/>
    <w:rsid w:val="00CE272F"/>
    <w:rsid w:val="00CE2912"/>
    <w:rsid w:val="00CE325B"/>
    <w:rsid w:val="00CE341F"/>
    <w:rsid w:val="00CE3F54"/>
    <w:rsid w:val="00CE664D"/>
    <w:rsid w:val="00CE6A55"/>
    <w:rsid w:val="00CE6E71"/>
    <w:rsid w:val="00CE71A3"/>
    <w:rsid w:val="00CE79D0"/>
    <w:rsid w:val="00CE7E7B"/>
    <w:rsid w:val="00CF0AF1"/>
    <w:rsid w:val="00CF111B"/>
    <w:rsid w:val="00CF266C"/>
    <w:rsid w:val="00CF29B8"/>
    <w:rsid w:val="00CF681F"/>
    <w:rsid w:val="00CF766F"/>
    <w:rsid w:val="00CF77FD"/>
    <w:rsid w:val="00D00064"/>
    <w:rsid w:val="00D00561"/>
    <w:rsid w:val="00D00B4D"/>
    <w:rsid w:val="00D00C2F"/>
    <w:rsid w:val="00D017CF"/>
    <w:rsid w:val="00D03F44"/>
    <w:rsid w:val="00D04F2C"/>
    <w:rsid w:val="00D065DD"/>
    <w:rsid w:val="00D0726F"/>
    <w:rsid w:val="00D105C5"/>
    <w:rsid w:val="00D10680"/>
    <w:rsid w:val="00D108A1"/>
    <w:rsid w:val="00D12814"/>
    <w:rsid w:val="00D12FFA"/>
    <w:rsid w:val="00D13A84"/>
    <w:rsid w:val="00D14C61"/>
    <w:rsid w:val="00D15908"/>
    <w:rsid w:val="00D15C34"/>
    <w:rsid w:val="00D16266"/>
    <w:rsid w:val="00D17880"/>
    <w:rsid w:val="00D20671"/>
    <w:rsid w:val="00D25F68"/>
    <w:rsid w:val="00D31299"/>
    <w:rsid w:val="00D3180B"/>
    <w:rsid w:val="00D323D3"/>
    <w:rsid w:val="00D3243E"/>
    <w:rsid w:val="00D3258A"/>
    <w:rsid w:val="00D3369C"/>
    <w:rsid w:val="00D33A3E"/>
    <w:rsid w:val="00D33B7E"/>
    <w:rsid w:val="00D35A4D"/>
    <w:rsid w:val="00D415FE"/>
    <w:rsid w:val="00D4184C"/>
    <w:rsid w:val="00D441DD"/>
    <w:rsid w:val="00D44742"/>
    <w:rsid w:val="00D45128"/>
    <w:rsid w:val="00D5039C"/>
    <w:rsid w:val="00D53897"/>
    <w:rsid w:val="00D53E90"/>
    <w:rsid w:val="00D544DA"/>
    <w:rsid w:val="00D54B83"/>
    <w:rsid w:val="00D54CE4"/>
    <w:rsid w:val="00D55C01"/>
    <w:rsid w:val="00D55DE8"/>
    <w:rsid w:val="00D57901"/>
    <w:rsid w:val="00D61315"/>
    <w:rsid w:val="00D61FA3"/>
    <w:rsid w:val="00D6548D"/>
    <w:rsid w:val="00D66EDD"/>
    <w:rsid w:val="00D6731A"/>
    <w:rsid w:val="00D70436"/>
    <w:rsid w:val="00D70500"/>
    <w:rsid w:val="00D7065D"/>
    <w:rsid w:val="00D73663"/>
    <w:rsid w:val="00D738FC"/>
    <w:rsid w:val="00D774BF"/>
    <w:rsid w:val="00D80534"/>
    <w:rsid w:val="00D80AD6"/>
    <w:rsid w:val="00D80BF6"/>
    <w:rsid w:val="00D82861"/>
    <w:rsid w:val="00D82F09"/>
    <w:rsid w:val="00D842A8"/>
    <w:rsid w:val="00D85537"/>
    <w:rsid w:val="00D86261"/>
    <w:rsid w:val="00D86DF8"/>
    <w:rsid w:val="00D92A7A"/>
    <w:rsid w:val="00D93718"/>
    <w:rsid w:val="00D95300"/>
    <w:rsid w:val="00D96355"/>
    <w:rsid w:val="00D977FA"/>
    <w:rsid w:val="00DA1C14"/>
    <w:rsid w:val="00DA41D6"/>
    <w:rsid w:val="00DA53C2"/>
    <w:rsid w:val="00DA5B72"/>
    <w:rsid w:val="00DA5EF4"/>
    <w:rsid w:val="00DA6B2F"/>
    <w:rsid w:val="00DA79CD"/>
    <w:rsid w:val="00DB09DB"/>
    <w:rsid w:val="00DB0DFA"/>
    <w:rsid w:val="00DB2640"/>
    <w:rsid w:val="00DB3FCA"/>
    <w:rsid w:val="00DB44D4"/>
    <w:rsid w:val="00DB48E8"/>
    <w:rsid w:val="00DB6170"/>
    <w:rsid w:val="00DB6601"/>
    <w:rsid w:val="00DB69D5"/>
    <w:rsid w:val="00DB7739"/>
    <w:rsid w:val="00DB7ECE"/>
    <w:rsid w:val="00DC08B1"/>
    <w:rsid w:val="00DC3BBB"/>
    <w:rsid w:val="00DC3C91"/>
    <w:rsid w:val="00DC63D5"/>
    <w:rsid w:val="00DC6F8A"/>
    <w:rsid w:val="00DC732D"/>
    <w:rsid w:val="00DC76B5"/>
    <w:rsid w:val="00DD0229"/>
    <w:rsid w:val="00DD37B8"/>
    <w:rsid w:val="00DD436A"/>
    <w:rsid w:val="00DD5E9C"/>
    <w:rsid w:val="00DD5EF5"/>
    <w:rsid w:val="00DD6D01"/>
    <w:rsid w:val="00DD791C"/>
    <w:rsid w:val="00DD7984"/>
    <w:rsid w:val="00DE008D"/>
    <w:rsid w:val="00DE056F"/>
    <w:rsid w:val="00DE34F1"/>
    <w:rsid w:val="00DE3BA2"/>
    <w:rsid w:val="00DF0FAC"/>
    <w:rsid w:val="00DF21DA"/>
    <w:rsid w:val="00DF227E"/>
    <w:rsid w:val="00DF2907"/>
    <w:rsid w:val="00DF4C00"/>
    <w:rsid w:val="00DF61B9"/>
    <w:rsid w:val="00DF6C6A"/>
    <w:rsid w:val="00DF7242"/>
    <w:rsid w:val="00DF75A8"/>
    <w:rsid w:val="00E020F6"/>
    <w:rsid w:val="00E026C1"/>
    <w:rsid w:val="00E030FD"/>
    <w:rsid w:val="00E04080"/>
    <w:rsid w:val="00E07077"/>
    <w:rsid w:val="00E1011B"/>
    <w:rsid w:val="00E11C65"/>
    <w:rsid w:val="00E12BC7"/>
    <w:rsid w:val="00E140FC"/>
    <w:rsid w:val="00E15109"/>
    <w:rsid w:val="00E15334"/>
    <w:rsid w:val="00E16677"/>
    <w:rsid w:val="00E167C9"/>
    <w:rsid w:val="00E17037"/>
    <w:rsid w:val="00E17FA4"/>
    <w:rsid w:val="00E17FEA"/>
    <w:rsid w:val="00E20B56"/>
    <w:rsid w:val="00E2317B"/>
    <w:rsid w:val="00E241B9"/>
    <w:rsid w:val="00E2452D"/>
    <w:rsid w:val="00E2670C"/>
    <w:rsid w:val="00E27164"/>
    <w:rsid w:val="00E27250"/>
    <w:rsid w:val="00E31AB7"/>
    <w:rsid w:val="00E40F70"/>
    <w:rsid w:val="00E43FCF"/>
    <w:rsid w:val="00E454AF"/>
    <w:rsid w:val="00E45504"/>
    <w:rsid w:val="00E45CE2"/>
    <w:rsid w:val="00E47D21"/>
    <w:rsid w:val="00E5040E"/>
    <w:rsid w:val="00E51D74"/>
    <w:rsid w:val="00E55666"/>
    <w:rsid w:val="00E57CB6"/>
    <w:rsid w:val="00E602AB"/>
    <w:rsid w:val="00E60B8B"/>
    <w:rsid w:val="00E610D2"/>
    <w:rsid w:val="00E6199D"/>
    <w:rsid w:val="00E62325"/>
    <w:rsid w:val="00E64824"/>
    <w:rsid w:val="00E64B43"/>
    <w:rsid w:val="00E66461"/>
    <w:rsid w:val="00E66D34"/>
    <w:rsid w:val="00E67B4A"/>
    <w:rsid w:val="00E70D14"/>
    <w:rsid w:val="00E70F3F"/>
    <w:rsid w:val="00E7116D"/>
    <w:rsid w:val="00E7129C"/>
    <w:rsid w:val="00E727C6"/>
    <w:rsid w:val="00E73247"/>
    <w:rsid w:val="00E734DD"/>
    <w:rsid w:val="00E74DB1"/>
    <w:rsid w:val="00E7683E"/>
    <w:rsid w:val="00E811F5"/>
    <w:rsid w:val="00E81343"/>
    <w:rsid w:val="00E81DB9"/>
    <w:rsid w:val="00E831EF"/>
    <w:rsid w:val="00E834C9"/>
    <w:rsid w:val="00E83572"/>
    <w:rsid w:val="00E83A83"/>
    <w:rsid w:val="00E85856"/>
    <w:rsid w:val="00E86935"/>
    <w:rsid w:val="00E86E5C"/>
    <w:rsid w:val="00E90AF5"/>
    <w:rsid w:val="00E91D5C"/>
    <w:rsid w:val="00E92569"/>
    <w:rsid w:val="00E932BD"/>
    <w:rsid w:val="00E93F9C"/>
    <w:rsid w:val="00E947B5"/>
    <w:rsid w:val="00E95939"/>
    <w:rsid w:val="00E95CF4"/>
    <w:rsid w:val="00E9761A"/>
    <w:rsid w:val="00E97CC3"/>
    <w:rsid w:val="00EA091E"/>
    <w:rsid w:val="00EA26A5"/>
    <w:rsid w:val="00EA33C2"/>
    <w:rsid w:val="00EA3BCF"/>
    <w:rsid w:val="00EA4E31"/>
    <w:rsid w:val="00EB026F"/>
    <w:rsid w:val="00EB3B80"/>
    <w:rsid w:val="00EB4357"/>
    <w:rsid w:val="00EB5A2E"/>
    <w:rsid w:val="00EB5C4E"/>
    <w:rsid w:val="00EB694D"/>
    <w:rsid w:val="00EB6FC1"/>
    <w:rsid w:val="00EB735E"/>
    <w:rsid w:val="00EC3007"/>
    <w:rsid w:val="00EC4037"/>
    <w:rsid w:val="00EC6F0B"/>
    <w:rsid w:val="00EC7388"/>
    <w:rsid w:val="00ED28F4"/>
    <w:rsid w:val="00ED50B4"/>
    <w:rsid w:val="00ED7FA5"/>
    <w:rsid w:val="00EE29F8"/>
    <w:rsid w:val="00EE3B12"/>
    <w:rsid w:val="00EE5F44"/>
    <w:rsid w:val="00EF024F"/>
    <w:rsid w:val="00EF0C17"/>
    <w:rsid w:val="00EF0C3C"/>
    <w:rsid w:val="00EF2595"/>
    <w:rsid w:val="00EF33A2"/>
    <w:rsid w:val="00EF3C9A"/>
    <w:rsid w:val="00EF47B2"/>
    <w:rsid w:val="00EF4922"/>
    <w:rsid w:val="00EF5D4A"/>
    <w:rsid w:val="00EF6BD9"/>
    <w:rsid w:val="00EF71A5"/>
    <w:rsid w:val="00EF770F"/>
    <w:rsid w:val="00F001FF"/>
    <w:rsid w:val="00F00707"/>
    <w:rsid w:val="00F00D14"/>
    <w:rsid w:val="00F04458"/>
    <w:rsid w:val="00F068D4"/>
    <w:rsid w:val="00F070FE"/>
    <w:rsid w:val="00F10397"/>
    <w:rsid w:val="00F10E27"/>
    <w:rsid w:val="00F12044"/>
    <w:rsid w:val="00F12EDD"/>
    <w:rsid w:val="00F14A8A"/>
    <w:rsid w:val="00F14F69"/>
    <w:rsid w:val="00F16E69"/>
    <w:rsid w:val="00F173E6"/>
    <w:rsid w:val="00F2079F"/>
    <w:rsid w:val="00F207F8"/>
    <w:rsid w:val="00F20881"/>
    <w:rsid w:val="00F20D0E"/>
    <w:rsid w:val="00F21448"/>
    <w:rsid w:val="00F215EC"/>
    <w:rsid w:val="00F21A8F"/>
    <w:rsid w:val="00F23781"/>
    <w:rsid w:val="00F25FCF"/>
    <w:rsid w:val="00F263BF"/>
    <w:rsid w:val="00F26E14"/>
    <w:rsid w:val="00F27BA9"/>
    <w:rsid w:val="00F3104F"/>
    <w:rsid w:val="00F316F5"/>
    <w:rsid w:val="00F31C7E"/>
    <w:rsid w:val="00F31DCB"/>
    <w:rsid w:val="00F32502"/>
    <w:rsid w:val="00F32E36"/>
    <w:rsid w:val="00F33602"/>
    <w:rsid w:val="00F33B7B"/>
    <w:rsid w:val="00F35AEC"/>
    <w:rsid w:val="00F37609"/>
    <w:rsid w:val="00F40F73"/>
    <w:rsid w:val="00F41219"/>
    <w:rsid w:val="00F449DA"/>
    <w:rsid w:val="00F4531B"/>
    <w:rsid w:val="00F4656F"/>
    <w:rsid w:val="00F46803"/>
    <w:rsid w:val="00F46985"/>
    <w:rsid w:val="00F46E14"/>
    <w:rsid w:val="00F475D6"/>
    <w:rsid w:val="00F512DC"/>
    <w:rsid w:val="00F51B9C"/>
    <w:rsid w:val="00F521BE"/>
    <w:rsid w:val="00F524F9"/>
    <w:rsid w:val="00F52F93"/>
    <w:rsid w:val="00F551C0"/>
    <w:rsid w:val="00F553AF"/>
    <w:rsid w:val="00F5562B"/>
    <w:rsid w:val="00F55BD8"/>
    <w:rsid w:val="00F61E54"/>
    <w:rsid w:val="00F624F8"/>
    <w:rsid w:val="00F65DAA"/>
    <w:rsid w:val="00F667C8"/>
    <w:rsid w:val="00F66B54"/>
    <w:rsid w:val="00F67C61"/>
    <w:rsid w:val="00F70C2C"/>
    <w:rsid w:val="00F72B57"/>
    <w:rsid w:val="00F737B8"/>
    <w:rsid w:val="00F74046"/>
    <w:rsid w:val="00F75200"/>
    <w:rsid w:val="00F75568"/>
    <w:rsid w:val="00F76A81"/>
    <w:rsid w:val="00F816C7"/>
    <w:rsid w:val="00F81ED6"/>
    <w:rsid w:val="00F8574B"/>
    <w:rsid w:val="00F8726E"/>
    <w:rsid w:val="00F878D8"/>
    <w:rsid w:val="00F90D3F"/>
    <w:rsid w:val="00F90D45"/>
    <w:rsid w:val="00F921F6"/>
    <w:rsid w:val="00F92FFC"/>
    <w:rsid w:val="00F935E4"/>
    <w:rsid w:val="00F93D49"/>
    <w:rsid w:val="00F94765"/>
    <w:rsid w:val="00F94DB8"/>
    <w:rsid w:val="00F95CEF"/>
    <w:rsid w:val="00F9649B"/>
    <w:rsid w:val="00F96AFC"/>
    <w:rsid w:val="00F97024"/>
    <w:rsid w:val="00F97152"/>
    <w:rsid w:val="00F971AD"/>
    <w:rsid w:val="00F975BF"/>
    <w:rsid w:val="00F978F9"/>
    <w:rsid w:val="00FA0776"/>
    <w:rsid w:val="00FA22DA"/>
    <w:rsid w:val="00FA31B1"/>
    <w:rsid w:val="00FA3A0D"/>
    <w:rsid w:val="00FA3DB2"/>
    <w:rsid w:val="00FA51C5"/>
    <w:rsid w:val="00FA6715"/>
    <w:rsid w:val="00FA68E4"/>
    <w:rsid w:val="00FB0856"/>
    <w:rsid w:val="00FB0EFE"/>
    <w:rsid w:val="00FB176F"/>
    <w:rsid w:val="00FB46C4"/>
    <w:rsid w:val="00FB7276"/>
    <w:rsid w:val="00FC14F4"/>
    <w:rsid w:val="00FC2159"/>
    <w:rsid w:val="00FC2AD1"/>
    <w:rsid w:val="00FC2F3B"/>
    <w:rsid w:val="00FC34EF"/>
    <w:rsid w:val="00FC39CD"/>
    <w:rsid w:val="00FC4382"/>
    <w:rsid w:val="00FC685C"/>
    <w:rsid w:val="00FC6C1D"/>
    <w:rsid w:val="00FC75D1"/>
    <w:rsid w:val="00FC777B"/>
    <w:rsid w:val="00FD07C1"/>
    <w:rsid w:val="00FD29D1"/>
    <w:rsid w:val="00FD6F98"/>
    <w:rsid w:val="00FD7A38"/>
    <w:rsid w:val="00FD7D33"/>
    <w:rsid w:val="00FD7EC1"/>
    <w:rsid w:val="00FE0E5A"/>
    <w:rsid w:val="00FE1E75"/>
    <w:rsid w:val="00FE5B11"/>
    <w:rsid w:val="00FE6197"/>
    <w:rsid w:val="00FE790D"/>
    <w:rsid w:val="00FF00CD"/>
    <w:rsid w:val="00FF10E4"/>
    <w:rsid w:val="00FF143E"/>
    <w:rsid w:val="00FF1B4E"/>
    <w:rsid w:val="00FF1F01"/>
    <w:rsid w:val="00FF2CFB"/>
    <w:rsid w:val="00FF31D5"/>
    <w:rsid w:val="00FF494F"/>
    <w:rsid w:val="00FF56F2"/>
    <w:rsid w:val="00FF66D0"/>
    <w:rsid w:val="00FF66E2"/>
    <w:rsid w:val="00FF7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D7369"/>
  <w15:docId w15:val="{E2A68C9F-EEE0-426E-858F-39D3A229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13620"/>
    <w:pPr>
      <w:keepNext/>
      <w:spacing w:line="360" w:lineRule="auto"/>
      <w:jc w:val="both"/>
    </w:pPr>
    <w:rPr>
      <w:rFonts w:ascii="Times New Roman" w:hAnsi="Times New Roman"/>
      <w:sz w:val="24"/>
      <w:szCs w:val="22"/>
      <w:lang w:eastAsia="en-US"/>
    </w:rPr>
  </w:style>
  <w:style w:type="paragraph" w:styleId="Nadpis1">
    <w:name w:val="heading 1"/>
    <w:basedOn w:val="Normln"/>
    <w:next w:val="Nadpis2"/>
    <w:link w:val="Nadpis1Char"/>
    <w:uiPriority w:val="9"/>
    <w:qFormat/>
    <w:rsid w:val="00920E01"/>
    <w:pPr>
      <w:numPr>
        <w:numId w:val="3"/>
      </w:numPr>
      <w:spacing w:before="480" w:after="120"/>
      <w:ind w:left="-284" w:firstLine="0"/>
      <w:outlineLvl w:val="0"/>
    </w:pPr>
    <w:rPr>
      <w:rFonts w:eastAsia="Times New Roman"/>
      <w:b/>
      <w:bCs/>
      <w:kern w:val="32"/>
      <w:sz w:val="28"/>
      <w:szCs w:val="28"/>
      <w:u w:val="single"/>
    </w:rPr>
  </w:style>
  <w:style w:type="paragraph" w:styleId="Nadpis2">
    <w:name w:val="heading 2"/>
    <w:basedOn w:val="Nadpis1"/>
    <w:link w:val="Nadpis2Char"/>
    <w:uiPriority w:val="9"/>
    <w:qFormat/>
    <w:rsid w:val="00A658E8"/>
    <w:pPr>
      <w:numPr>
        <w:ilvl w:val="1"/>
      </w:numPr>
      <w:spacing w:before="240" w:after="240" w:line="240" w:lineRule="auto"/>
      <w:ind w:left="0" w:right="284" w:firstLine="0"/>
      <w:outlineLvl w:val="1"/>
    </w:pPr>
    <w:rPr>
      <w:sz w:val="24"/>
      <w:szCs w:val="24"/>
      <w:u w:val="none"/>
    </w:rPr>
  </w:style>
  <w:style w:type="paragraph" w:styleId="Nadpis3">
    <w:name w:val="heading 3"/>
    <w:basedOn w:val="Normln"/>
    <w:next w:val="Normln"/>
    <w:link w:val="Nadpis3Char"/>
    <w:uiPriority w:val="9"/>
    <w:qFormat/>
    <w:rsid w:val="00B56403"/>
    <w:pPr>
      <w:numPr>
        <w:ilvl w:val="2"/>
        <w:numId w:val="3"/>
      </w:numPr>
      <w:spacing w:before="120" w:after="120" w:line="240" w:lineRule="auto"/>
      <w:outlineLvl w:val="2"/>
    </w:pPr>
    <w:rPr>
      <w:rFonts w:eastAsia="Times New Roman"/>
      <w:b/>
      <w:bCs/>
      <w:i/>
      <w:iCs/>
      <w:szCs w:val="24"/>
    </w:rPr>
  </w:style>
  <w:style w:type="paragraph" w:styleId="Nadpis4">
    <w:name w:val="heading 4"/>
    <w:basedOn w:val="Normln"/>
    <w:next w:val="Normln"/>
    <w:link w:val="Nadpis4Char"/>
    <w:uiPriority w:val="99"/>
    <w:qFormat/>
    <w:rsid w:val="009B1378"/>
    <w:pPr>
      <w:numPr>
        <w:ilvl w:val="3"/>
        <w:numId w:val="3"/>
      </w:numPr>
      <w:spacing w:before="240" w:after="60"/>
      <w:outlineLvl w:val="3"/>
    </w:pPr>
    <w:rPr>
      <w:rFonts w:eastAsia="Times New Roman"/>
      <w:sz w:val="28"/>
      <w:szCs w:val="28"/>
    </w:rPr>
  </w:style>
  <w:style w:type="paragraph" w:styleId="Nadpis5">
    <w:name w:val="heading 5"/>
    <w:basedOn w:val="Normln"/>
    <w:next w:val="Normln"/>
    <w:link w:val="Nadpis5Char"/>
    <w:uiPriority w:val="99"/>
    <w:qFormat/>
    <w:rsid w:val="009B1378"/>
    <w:pPr>
      <w:numPr>
        <w:ilvl w:val="4"/>
        <w:numId w:val="3"/>
      </w:numPr>
      <w:spacing w:before="240" w:after="60"/>
      <w:outlineLvl w:val="4"/>
    </w:pPr>
    <w:rPr>
      <w:rFonts w:eastAsia="Times New Roman"/>
      <w:i/>
      <w:iCs/>
      <w:sz w:val="26"/>
      <w:szCs w:val="26"/>
    </w:rPr>
  </w:style>
  <w:style w:type="paragraph" w:styleId="Nadpis6">
    <w:name w:val="heading 6"/>
    <w:basedOn w:val="Normln"/>
    <w:next w:val="Normln"/>
    <w:link w:val="Nadpis6Char"/>
    <w:uiPriority w:val="99"/>
    <w:qFormat/>
    <w:rsid w:val="009B1378"/>
    <w:pPr>
      <w:numPr>
        <w:ilvl w:val="5"/>
        <w:numId w:val="3"/>
      </w:numPr>
      <w:spacing w:before="240" w:after="60"/>
      <w:outlineLvl w:val="5"/>
    </w:pPr>
    <w:rPr>
      <w:rFonts w:eastAsia="Times New Roman"/>
    </w:rPr>
  </w:style>
  <w:style w:type="paragraph" w:styleId="Nadpis7">
    <w:name w:val="heading 7"/>
    <w:basedOn w:val="Normln"/>
    <w:next w:val="Normln"/>
    <w:link w:val="Nadpis7Char"/>
    <w:uiPriority w:val="99"/>
    <w:qFormat/>
    <w:rsid w:val="009B1378"/>
    <w:pPr>
      <w:numPr>
        <w:ilvl w:val="6"/>
        <w:numId w:val="3"/>
      </w:numPr>
      <w:spacing w:before="240" w:after="60"/>
      <w:outlineLvl w:val="6"/>
    </w:pPr>
    <w:rPr>
      <w:rFonts w:eastAsia="Times New Roman"/>
      <w:szCs w:val="24"/>
    </w:rPr>
  </w:style>
  <w:style w:type="paragraph" w:styleId="Nadpis8">
    <w:name w:val="heading 8"/>
    <w:basedOn w:val="Normln"/>
    <w:next w:val="Normln"/>
    <w:link w:val="Nadpis8Char"/>
    <w:uiPriority w:val="99"/>
    <w:qFormat/>
    <w:rsid w:val="009B1378"/>
    <w:pPr>
      <w:numPr>
        <w:ilvl w:val="7"/>
        <w:numId w:val="3"/>
      </w:numPr>
      <w:spacing w:before="240" w:after="60"/>
      <w:outlineLvl w:val="7"/>
    </w:pPr>
    <w:rPr>
      <w:rFonts w:eastAsia="Times New Roman"/>
      <w:i/>
      <w:iCs/>
      <w:szCs w:val="24"/>
    </w:rPr>
  </w:style>
  <w:style w:type="paragraph" w:styleId="Nadpis9">
    <w:name w:val="heading 9"/>
    <w:basedOn w:val="Normln"/>
    <w:next w:val="Normln"/>
    <w:link w:val="Nadpis9Char"/>
    <w:uiPriority w:val="99"/>
    <w:qFormat/>
    <w:rsid w:val="009B1378"/>
    <w:pPr>
      <w:numPr>
        <w:ilvl w:val="8"/>
        <w:numId w:val="3"/>
      </w:numPr>
      <w:spacing w:before="240" w:after="60"/>
      <w:outlineLvl w:val="8"/>
    </w:pPr>
    <w:rPr>
      <w:rFonts w:ascii="Cambria" w:eastAsia="Times New Roman" w:hAnsi="Cambria" w:cs="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
    <w:rsid w:val="00A658E8"/>
    <w:rPr>
      <w:rFonts w:ascii="Times New Roman" w:eastAsia="Times New Roman" w:hAnsi="Times New Roman"/>
      <w:b/>
      <w:bCs/>
      <w:kern w:val="32"/>
      <w:sz w:val="24"/>
      <w:szCs w:val="24"/>
      <w:lang w:eastAsia="en-US"/>
    </w:rPr>
  </w:style>
  <w:style w:type="character" w:customStyle="1" w:styleId="Nadpis1Char">
    <w:name w:val="Nadpis 1 Char"/>
    <w:link w:val="Nadpis1"/>
    <w:uiPriority w:val="9"/>
    <w:rsid w:val="00920E01"/>
    <w:rPr>
      <w:rFonts w:ascii="Times New Roman" w:eastAsia="Times New Roman" w:hAnsi="Times New Roman"/>
      <w:b/>
      <w:bCs/>
      <w:kern w:val="32"/>
      <w:sz w:val="28"/>
      <w:szCs w:val="28"/>
      <w:u w:val="single"/>
      <w:lang w:eastAsia="en-US"/>
    </w:rPr>
  </w:style>
  <w:style w:type="character" w:customStyle="1" w:styleId="Nadpis3Char">
    <w:name w:val="Nadpis 3 Char"/>
    <w:link w:val="Nadpis3"/>
    <w:uiPriority w:val="9"/>
    <w:rsid w:val="00B56403"/>
    <w:rPr>
      <w:rFonts w:ascii="Times New Roman" w:eastAsia="Times New Roman" w:hAnsi="Times New Roman"/>
      <w:b/>
      <w:bCs/>
      <w:i/>
      <w:iCs/>
      <w:sz w:val="24"/>
      <w:szCs w:val="24"/>
      <w:lang w:eastAsia="en-US"/>
    </w:rPr>
  </w:style>
  <w:style w:type="character" w:customStyle="1" w:styleId="Nadpis4Char">
    <w:name w:val="Nadpis 4 Char"/>
    <w:link w:val="Nadpis4"/>
    <w:uiPriority w:val="99"/>
    <w:rsid w:val="009B1378"/>
    <w:rPr>
      <w:rFonts w:ascii="Times New Roman" w:eastAsia="Times New Roman" w:hAnsi="Times New Roman"/>
      <w:sz w:val="28"/>
      <w:szCs w:val="28"/>
      <w:lang w:eastAsia="en-US"/>
    </w:rPr>
  </w:style>
  <w:style w:type="character" w:customStyle="1" w:styleId="Nadpis5Char">
    <w:name w:val="Nadpis 5 Char"/>
    <w:link w:val="Nadpis5"/>
    <w:uiPriority w:val="99"/>
    <w:rsid w:val="009B1378"/>
    <w:rPr>
      <w:rFonts w:ascii="Times New Roman" w:eastAsia="Times New Roman" w:hAnsi="Times New Roman"/>
      <w:i/>
      <w:iCs/>
      <w:sz w:val="26"/>
      <w:szCs w:val="26"/>
      <w:lang w:eastAsia="en-US"/>
    </w:rPr>
  </w:style>
  <w:style w:type="character" w:customStyle="1" w:styleId="Nadpis6Char">
    <w:name w:val="Nadpis 6 Char"/>
    <w:link w:val="Nadpis6"/>
    <w:uiPriority w:val="99"/>
    <w:rsid w:val="009B1378"/>
    <w:rPr>
      <w:rFonts w:ascii="Times New Roman" w:eastAsia="Times New Roman" w:hAnsi="Times New Roman"/>
      <w:sz w:val="24"/>
      <w:szCs w:val="22"/>
      <w:lang w:eastAsia="en-US"/>
    </w:rPr>
  </w:style>
  <w:style w:type="character" w:customStyle="1" w:styleId="Nadpis7Char">
    <w:name w:val="Nadpis 7 Char"/>
    <w:link w:val="Nadpis7"/>
    <w:uiPriority w:val="99"/>
    <w:rsid w:val="009B1378"/>
    <w:rPr>
      <w:rFonts w:ascii="Times New Roman" w:eastAsia="Times New Roman" w:hAnsi="Times New Roman"/>
      <w:sz w:val="24"/>
      <w:szCs w:val="24"/>
      <w:lang w:eastAsia="en-US"/>
    </w:rPr>
  </w:style>
  <w:style w:type="character" w:customStyle="1" w:styleId="Nadpis8Char">
    <w:name w:val="Nadpis 8 Char"/>
    <w:link w:val="Nadpis8"/>
    <w:uiPriority w:val="99"/>
    <w:rsid w:val="009B1378"/>
    <w:rPr>
      <w:rFonts w:ascii="Times New Roman" w:eastAsia="Times New Roman" w:hAnsi="Times New Roman"/>
      <w:i/>
      <w:iCs/>
      <w:sz w:val="24"/>
      <w:szCs w:val="24"/>
      <w:lang w:eastAsia="en-US"/>
    </w:rPr>
  </w:style>
  <w:style w:type="character" w:customStyle="1" w:styleId="Nadpis9Char">
    <w:name w:val="Nadpis 9 Char"/>
    <w:link w:val="Nadpis9"/>
    <w:uiPriority w:val="99"/>
    <w:rsid w:val="009B1378"/>
    <w:rPr>
      <w:rFonts w:ascii="Cambria" w:eastAsia="Times New Roman" w:hAnsi="Cambria" w:cs="Cambria"/>
      <w:sz w:val="24"/>
      <w:szCs w:val="22"/>
      <w:lang w:eastAsia="en-US"/>
    </w:rPr>
  </w:style>
  <w:style w:type="paragraph" w:customStyle="1" w:styleId="VYHLKA">
    <w:name w:val="VYHLÁŠKA"/>
    <w:basedOn w:val="Normln"/>
    <w:next w:val="Normln"/>
    <w:rsid w:val="00A74199"/>
    <w:pPr>
      <w:keepLines/>
      <w:spacing w:line="240" w:lineRule="auto"/>
      <w:jc w:val="center"/>
      <w:outlineLvl w:val="0"/>
    </w:pPr>
    <w:rPr>
      <w:rFonts w:eastAsia="Times New Roman"/>
      <w:b/>
      <w:caps/>
      <w:szCs w:val="20"/>
      <w:lang w:eastAsia="cs-CZ"/>
    </w:rPr>
  </w:style>
  <w:style w:type="paragraph" w:styleId="Odstavecseseznamem">
    <w:name w:val="List Paragraph"/>
    <w:basedOn w:val="Normln"/>
    <w:uiPriority w:val="34"/>
    <w:qFormat/>
    <w:rsid w:val="00A50484"/>
    <w:pPr>
      <w:ind w:left="708"/>
    </w:pPr>
  </w:style>
  <w:style w:type="paragraph" w:styleId="Zhlav">
    <w:name w:val="header"/>
    <w:basedOn w:val="Normln"/>
    <w:link w:val="ZhlavChar"/>
    <w:uiPriority w:val="99"/>
    <w:unhideWhenUsed/>
    <w:rsid w:val="00F737B8"/>
    <w:pPr>
      <w:tabs>
        <w:tab w:val="center" w:pos="4536"/>
        <w:tab w:val="right" w:pos="9072"/>
      </w:tabs>
    </w:pPr>
  </w:style>
  <w:style w:type="character" w:customStyle="1" w:styleId="ZhlavChar">
    <w:name w:val="Záhlaví Char"/>
    <w:link w:val="Zhlav"/>
    <w:uiPriority w:val="99"/>
    <w:rsid w:val="00F737B8"/>
    <w:rPr>
      <w:sz w:val="22"/>
      <w:szCs w:val="22"/>
      <w:lang w:eastAsia="en-US"/>
    </w:rPr>
  </w:style>
  <w:style w:type="paragraph" w:styleId="Zpat">
    <w:name w:val="footer"/>
    <w:basedOn w:val="Normln"/>
    <w:link w:val="ZpatChar"/>
    <w:uiPriority w:val="99"/>
    <w:unhideWhenUsed/>
    <w:rsid w:val="00F737B8"/>
    <w:pPr>
      <w:tabs>
        <w:tab w:val="center" w:pos="4536"/>
        <w:tab w:val="right" w:pos="9072"/>
      </w:tabs>
    </w:pPr>
  </w:style>
  <w:style w:type="character" w:customStyle="1" w:styleId="ZpatChar">
    <w:name w:val="Zápatí Char"/>
    <w:link w:val="Zpat"/>
    <w:uiPriority w:val="99"/>
    <w:rsid w:val="00F737B8"/>
    <w:rPr>
      <w:sz w:val="22"/>
      <w:szCs w:val="22"/>
      <w:lang w:eastAsia="en-US"/>
    </w:rPr>
  </w:style>
  <w:style w:type="paragraph" w:styleId="Textbubliny">
    <w:name w:val="Balloon Text"/>
    <w:basedOn w:val="Normln"/>
    <w:link w:val="TextbublinyChar"/>
    <w:uiPriority w:val="99"/>
    <w:semiHidden/>
    <w:unhideWhenUsed/>
    <w:rsid w:val="006841F7"/>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6841F7"/>
    <w:rPr>
      <w:rFonts w:ascii="Tahoma" w:hAnsi="Tahoma" w:cs="Tahoma"/>
      <w:sz w:val="16"/>
      <w:szCs w:val="16"/>
      <w:lang w:eastAsia="en-US"/>
    </w:rPr>
  </w:style>
  <w:style w:type="character" w:customStyle="1" w:styleId="NovelizanbodChar">
    <w:name w:val="Novelizační bod Char"/>
    <w:link w:val="Novelizanbod"/>
    <w:locked/>
    <w:rsid w:val="00766C27"/>
    <w:rPr>
      <w:rFonts w:ascii="Times New Roman" w:hAnsi="Times New Roman"/>
      <w:sz w:val="24"/>
    </w:rPr>
  </w:style>
  <w:style w:type="paragraph" w:customStyle="1" w:styleId="Novelizanbod">
    <w:name w:val="Novelizační bod"/>
    <w:basedOn w:val="Normln"/>
    <w:next w:val="Normln"/>
    <w:link w:val="NovelizanbodChar"/>
    <w:rsid w:val="00766C27"/>
    <w:pPr>
      <w:keepLines/>
      <w:numPr>
        <w:numId w:val="1"/>
      </w:numPr>
      <w:tabs>
        <w:tab w:val="left" w:pos="851"/>
      </w:tabs>
      <w:spacing w:before="480" w:after="120" w:line="240" w:lineRule="auto"/>
    </w:pPr>
    <w:rPr>
      <w:szCs w:val="20"/>
      <w:lang w:eastAsia="cs-CZ"/>
    </w:rPr>
  </w:style>
  <w:style w:type="paragraph" w:customStyle="1" w:styleId="Textodstavce">
    <w:name w:val="Text odstavce"/>
    <w:basedOn w:val="Normln"/>
    <w:link w:val="TextodstavceChar"/>
    <w:rsid w:val="00766C27"/>
    <w:pPr>
      <w:numPr>
        <w:numId w:val="2"/>
      </w:numPr>
      <w:tabs>
        <w:tab w:val="left" w:pos="851"/>
      </w:tabs>
      <w:spacing w:before="120" w:after="120" w:line="240" w:lineRule="auto"/>
      <w:outlineLvl w:val="6"/>
    </w:pPr>
    <w:rPr>
      <w:rFonts w:eastAsia="Times New Roman"/>
      <w:szCs w:val="20"/>
      <w:lang w:eastAsia="cs-CZ"/>
    </w:rPr>
  </w:style>
  <w:style w:type="character" w:customStyle="1" w:styleId="TextodstavceChar">
    <w:name w:val="Text odstavce Char"/>
    <w:link w:val="Textodstavce"/>
    <w:locked/>
    <w:rsid w:val="00766C27"/>
    <w:rPr>
      <w:rFonts w:ascii="Times New Roman" w:eastAsia="Times New Roman" w:hAnsi="Times New Roman"/>
      <w:sz w:val="24"/>
    </w:rPr>
  </w:style>
  <w:style w:type="paragraph" w:customStyle="1" w:styleId="Paragraf">
    <w:name w:val="Paragraf"/>
    <w:basedOn w:val="Normln"/>
    <w:next w:val="Textodstavce"/>
    <w:rsid w:val="00766C27"/>
    <w:pPr>
      <w:keepLines/>
      <w:spacing w:before="240" w:line="240" w:lineRule="auto"/>
      <w:jc w:val="center"/>
      <w:outlineLvl w:val="5"/>
    </w:pPr>
    <w:rPr>
      <w:rFonts w:eastAsia="Times New Roman"/>
      <w:szCs w:val="20"/>
      <w:lang w:eastAsia="cs-CZ"/>
    </w:rPr>
  </w:style>
  <w:style w:type="paragraph" w:customStyle="1" w:styleId="Textbodu">
    <w:name w:val="Text bodu"/>
    <w:basedOn w:val="Normln"/>
    <w:rsid w:val="00766C27"/>
    <w:pPr>
      <w:numPr>
        <w:ilvl w:val="2"/>
        <w:numId w:val="2"/>
      </w:numPr>
      <w:spacing w:line="240" w:lineRule="auto"/>
      <w:outlineLvl w:val="8"/>
    </w:pPr>
    <w:rPr>
      <w:rFonts w:eastAsia="Times New Roman"/>
      <w:szCs w:val="20"/>
      <w:lang w:eastAsia="cs-CZ"/>
    </w:rPr>
  </w:style>
  <w:style w:type="paragraph" w:customStyle="1" w:styleId="Textpsmene">
    <w:name w:val="Text písmene"/>
    <w:basedOn w:val="Normln"/>
    <w:rsid w:val="00766C27"/>
    <w:pPr>
      <w:numPr>
        <w:ilvl w:val="1"/>
        <w:numId w:val="2"/>
      </w:numPr>
      <w:spacing w:line="240" w:lineRule="auto"/>
      <w:outlineLvl w:val="7"/>
    </w:pPr>
    <w:rPr>
      <w:rFonts w:eastAsia="Times New Roman"/>
      <w:szCs w:val="20"/>
      <w:lang w:eastAsia="cs-CZ"/>
    </w:rPr>
  </w:style>
  <w:style w:type="paragraph" w:customStyle="1" w:styleId="Nadpisparagrafu">
    <w:name w:val="Nadpis paragrafu"/>
    <w:basedOn w:val="Paragraf"/>
    <w:next w:val="Textodstavce"/>
    <w:rsid w:val="00766C27"/>
    <w:rPr>
      <w:b/>
    </w:rPr>
  </w:style>
  <w:style w:type="character" w:styleId="Odkaznakoment">
    <w:name w:val="annotation reference"/>
    <w:uiPriority w:val="99"/>
    <w:semiHidden/>
    <w:unhideWhenUsed/>
    <w:rsid w:val="00E83A83"/>
    <w:rPr>
      <w:sz w:val="16"/>
      <w:szCs w:val="16"/>
    </w:rPr>
  </w:style>
  <w:style w:type="paragraph" w:styleId="Textkomente">
    <w:name w:val="annotation text"/>
    <w:basedOn w:val="Normln"/>
    <w:link w:val="TextkomenteChar"/>
    <w:uiPriority w:val="99"/>
    <w:semiHidden/>
    <w:unhideWhenUsed/>
    <w:rsid w:val="00E83A83"/>
    <w:rPr>
      <w:sz w:val="20"/>
      <w:szCs w:val="20"/>
    </w:rPr>
  </w:style>
  <w:style w:type="character" w:customStyle="1" w:styleId="TextkomenteChar">
    <w:name w:val="Text komentáře Char"/>
    <w:link w:val="Textkomente"/>
    <w:uiPriority w:val="99"/>
    <w:semiHidden/>
    <w:rsid w:val="00E83A83"/>
    <w:rPr>
      <w:lang w:eastAsia="en-US"/>
    </w:rPr>
  </w:style>
  <w:style w:type="paragraph" w:styleId="Pedmtkomente">
    <w:name w:val="annotation subject"/>
    <w:basedOn w:val="Textkomente"/>
    <w:next w:val="Textkomente"/>
    <w:link w:val="PedmtkomenteChar"/>
    <w:uiPriority w:val="99"/>
    <w:semiHidden/>
    <w:unhideWhenUsed/>
    <w:rsid w:val="00E83A83"/>
    <w:rPr>
      <w:b/>
      <w:bCs/>
    </w:rPr>
  </w:style>
  <w:style w:type="character" w:customStyle="1" w:styleId="PedmtkomenteChar">
    <w:name w:val="Předmět komentáře Char"/>
    <w:link w:val="Pedmtkomente"/>
    <w:uiPriority w:val="99"/>
    <w:semiHidden/>
    <w:rsid w:val="00E83A83"/>
    <w:rPr>
      <w:b/>
      <w:bCs/>
      <w:lang w:eastAsia="en-US"/>
    </w:rPr>
  </w:style>
  <w:style w:type="paragraph" w:styleId="Nzev">
    <w:name w:val="Title"/>
    <w:basedOn w:val="Normln"/>
    <w:next w:val="Normln"/>
    <w:link w:val="NzevChar"/>
    <w:uiPriority w:val="10"/>
    <w:qFormat/>
    <w:rsid w:val="00DE008D"/>
    <w:pPr>
      <w:widowControl w:val="0"/>
      <w:spacing w:before="240" w:after="60"/>
      <w:jc w:val="center"/>
      <w:outlineLvl w:val="0"/>
    </w:pPr>
    <w:rPr>
      <w:rFonts w:eastAsia="Times New Roman" w:cs="Cambria"/>
      <w:b/>
      <w:caps/>
      <w:kern w:val="28"/>
      <w:szCs w:val="32"/>
    </w:rPr>
  </w:style>
  <w:style w:type="character" w:customStyle="1" w:styleId="NzevChar">
    <w:name w:val="Název Char"/>
    <w:link w:val="Nzev"/>
    <w:uiPriority w:val="10"/>
    <w:rsid w:val="00DE008D"/>
    <w:rPr>
      <w:rFonts w:ascii="Times New Roman" w:eastAsia="Times New Roman" w:hAnsi="Times New Roman" w:cs="Cambria"/>
      <w:b/>
      <w:caps/>
      <w:kern w:val="28"/>
      <w:sz w:val="24"/>
      <w:szCs w:val="32"/>
      <w:lang w:eastAsia="en-US"/>
    </w:rPr>
  </w:style>
  <w:style w:type="paragraph" w:styleId="Podnadpis">
    <w:name w:val="Subtitle"/>
    <w:basedOn w:val="Normln"/>
    <w:next w:val="Normln"/>
    <w:link w:val="PodnadpisChar"/>
    <w:uiPriority w:val="11"/>
    <w:qFormat/>
    <w:rsid w:val="009B1378"/>
    <w:pPr>
      <w:numPr>
        <w:numId w:val="4"/>
      </w:numPr>
      <w:spacing w:before="240" w:after="120"/>
      <w:outlineLvl w:val="1"/>
    </w:pPr>
    <w:rPr>
      <w:rFonts w:eastAsia="Times New Roman" w:cs="Cambria"/>
      <w:b/>
      <w:szCs w:val="24"/>
    </w:rPr>
  </w:style>
  <w:style w:type="character" w:customStyle="1" w:styleId="PodnadpisChar">
    <w:name w:val="Podnadpis Char"/>
    <w:link w:val="Podnadpis"/>
    <w:uiPriority w:val="11"/>
    <w:rsid w:val="009B1378"/>
    <w:rPr>
      <w:rFonts w:ascii="Times New Roman" w:eastAsia="Times New Roman" w:hAnsi="Times New Roman" w:cs="Cambria"/>
      <w:b/>
      <w:sz w:val="24"/>
      <w:szCs w:val="24"/>
      <w:lang w:eastAsia="en-US"/>
    </w:rPr>
  </w:style>
  <w:style w:type="paragraph" w:customStyle="1" w:styleId="Normlntun">
    <w:name w:val="Normální tučný"/>
    <w:basedOn w:val="Normln"/>
    <w:next w:val="Normln"/>
    <w:qFormat/>
    <w:rsid w:val="009B1378"/>
    <w:pPr>
      <w:spacing w:after="120"/>
    </w:pPr>
    <w:rPr>
      <w:rFonts w:eastAsia="Times New Roman"/>
      <w:b/>
      <w:szCs w:val="24"/>
    </w:rPr>
  </w:style>
  <w:style w:type="character" w:styleId="Hypertextovodkaz">
    <w:name w:val="Hyperlink"/>
    <w:uiPriority w:val="99"/>
    <w:unhideWhenUsed/>
    <w:rsid w:val="009B1378"/>
    <w:rPr>
      <w:color w:val="0000FF"/>
      <w:u w:val="single"/>
    </w:rPr>
  </w:style>
  <w:style w:type="paragraph" w:customStyle="1" w:styleId="Default">
    <w:name w:val="Default"/>
    <w:rsid w:val="003E121D"/>
    <w:pPr>
      <w:widowControl w:val="0"/>
      <w:tabs>
        <w:tab w:val="left" w:pos="720"/>
      </w:tabs>
      <w:suppressAutoHyphens/>
      <w:autoSpaceDE w:val="0"/>
      <w:spacing w:line="200" w:lineRule="atLeast"/>
    </w:pPr>
    <w:rPr>
      <w:rFonts w:eastAsia="Times New Roman" w:cs="Calibri"/>
      <w:lang w:eastAsia="en-US"/>
    </w:rPr>
  </w:style>
  <w:style w:type="character" w:customStyle="1" w:styleId="TextpoznpodarouChar">
    <w:name w:val="Text pozn. pod čarou Char"/>
    <w:link w:val="Textpoznpodarou"/>
    <w:uiPriority w:val="99"/>
    <w:semiHidden/>
    <w:rsid w:val="0085761C"/>
    <w:rPr>
      <w:lang w:eastAsia="en-US"/>
    </w:rPr>
  </w:style>
  <w:style w:type="paragraph" w:styleId="Textpoznpodarou">
    <w:name w:val="footnote text"/>
    <w:basedOn w:val="Normln"/>
    <w:link w:val="TextpoznpodarouChar"/>
    <w:uiPriority w:val="99"/>
    <w:semiHidden/>
    <w:unhideWhenUsed/>
    <w:rsid w:val="0085761C"/>
    <w:rPr>
      <w:sz w:val="20"/>
      <w:szCs w:val="20"/>
    </w:rPr>
  </w:style>
  <w:style w:type="paragraph" w:styleId="Zkladntext">
    <w:name w:val="Body Text"/>
    <w:basedOn w:val="Normln"/>
    <w:link w:val="ZkladntextChar"/>
    <w:unhideWhenUsed/>
    <w:rsid w:val="00FD7D33"/>
    <w:pPr>
      <w:spacing w:line="240" w:lineRule="auto"/>
    </w:pPr>
    <w:rPr>
      <w:rFonts w:eastAsia="Times New Roman"/>
      <w:sz w:val="20"/>
      <w:szCs w:val="24"/>
      <w:lang w:eastAsia="cs-CZ"/>
    </w:rPr>
  </w:style>
  <w:style w:type="character" w:customStyle="1" w:styleId="ZkladntextChar">
    <w:name w:val="Základní text Char"/>
    <w:link w:val="Zkladntext"/>
    <w:rsid w:val="00FD7D33"/>
    <w:rPr>
      <w:rFonts w:ascii="Times New Roman" w:eastAsia="Times New Roman" w:hAnsi="Times New Roman"/>
      <w:szCs w:val="24"/>
    </w:rPr>
  </w:style>
  <w:style w:type="paragraph" w:customStyle="1" w:styleId="MSp-text">
    <w:name w:val="MSp-text"/>
    <w:basedOn w:val="Normln"/>
    <w:rsid w:val="0028448D"/>
    <w:pPr>
      <w:tabs>
        <w:tab w:val="left" w:pos="720"/>
      </w:tabs>
      <w:spacing w:after="240" w:line="240" w:lineRule="auto"/>
      <w:ind w:firstLine="720"/>
    </w:pPr>
    <w:rPr>
      <w:rFonts w:eastAsia="Times New Roman"/>
      <w:szCs w:val="24"/>
    </w:rPr>
  </w:style>
  <w:style w:type="character" w:styleId="Znakapoznpodarou">
    <w:name w:val="footnote reference"/>
    <w:uiPriority w:val="99"/>
    <w:unhideWhenUsed/>
    <w:rsid w:val="0079702F"/>
    <w:rPr>
      <w:vertAlign w:val="superscript"/>
    </w:rPr>
  </w:style>
  <w:style w:type="paragraph" w:customStyle="1" w:styleId="center">
    <w:name w:val="center"/>
    <w:basedOn w:val="Normln"/>
    <w:rsid w:val="00AD730C"/>
    <w:pPr>
      <w:spacing w:before="100" w:beforeAutospacing="1" w:after="100" w:afterAutospacing="1" w:line="240" w:lineRule="auto"/>
    </w:pPr>
    <w:rPr>
      <w:rFonts w:eastAsia="Times New Roman"/>
      <w:szCs w:val="24"/>
      <w:lang w:eastAsia="cs-CZ"/>
    </w:rPr>
  </w:style>
  <w:style w:type="table" w:styleId="Svtlseznam">
    <w:name w:val="Light List"/>
    <w:basedOn w:val="Normlntabulka"/>
    <w:uiPriority w:val="61"/>
    <w:rsid w:val="001050F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lnweb">
    <w:name w:val="Normal (Web)"/>
    <w:basedOn w:val="Normln"/>
    <w:uiPriority w:val="99"/>
    <w:unhideWhenUsed/>
    <w:rsid w:val="008C2D8F"/>
    <w:pPr>
      <w:keepNext w:val="0"/>
      <w:spacing w:before="100" w:beforeAutospacing="1" w:after="100" w:afterAutospacing="1" w:line="240" w:lineRule="auto"/>
      <w:jc w:val="left"/>
    </w:pPr>
    <w:rPr>
      <w:rFonts w:eastAsia="Times New Roman"/>
      <w:szCs w:val="24"/>
      <w:lang w:eastAsia="cs-CZ"/>
    </w:rPr>
  </w:style>
  <w:style w:type="paragraph" w:styleId="Revize">
    <w:name w:val="Revision"/>
    <w:hidden/>
    <w:uiPriority w:val="99"/>
    <w:semiHidden/>
    <w:rsid w:val="008C2D8F"/>
    <w:rPr>
      <w:rFonts w:ascii="Times New Roman" w:hAnsi="Times New Roman"/>
      <w:sz w:val="24"/>
      <w:szCs w:val="22"/>
      <w:lang w:eastAsia="en-US"/>
    </w:rPr>
  </w:style>
  <w:style w:type="character" w:customStyle="1" w:styleId="Zmnka1">
    <w:name w:val="Zmínka1"/>
    <w:basedOn w:val="Standardnpsmoodstavce"/>
    <w:uiPriority w:val="99"/>
    <w:semiHidden/>
    <w:unhideWhenUsed/>
    <w:rsid w:val="00FC2159"/>
    <w:rPr>
      <w:color w:val="2B579A"/>
      <w:shd w:val="clear" w:color="auto" w:fill="E6E6E6"/>
    </w:rPr>
  </w:style>
  <w:style w:type="character" w:styleId="Sledovanodkaz">
    <w:name w:val="FollowedHyperlink"/>
    <w:basedOn w:val="Standardnpsmoodstavce"/>
    <w:uiPriority w:val="99"/>
    <w:semiHidden/>
    <w:unhideWhenUsed/>
    <w:rsid w:val="000632DF"/>
    <w:rPr>
      <w:color w:val="800080" w:themeColor="followedHyperlink"/>
      <w:u w:val="single"/>
    </w:rPr>
  </w:style>
  <w:style w:type="paragraph" w:styleId="Bezmezer">
    <w:name w:val="No Spacing"/>
    <w:uiPriority w:val="1"/>
    <w:qFormat/>
    <w:rsid w:val="008B52DA"/>
    <w:pPr>
      <w:keepNext/>
      <w:jc w:val="both"/>
    </w:pPr>
    <w:rPr>
      <w:rFonts w:ascii="Times New Roman" w:hAnsi="Times New Roman"/>
      <w:sz w:val="24"/>
      <w:szCs w:val="22"/>
      <w:lang w:eastAsia="en-US"/>
    </w:rPr>
  </w:style>
  <w:style w:type="table" w:styleId="Svtlseznamzvraznn1">
    <w:name w:val="Light List Accent 1"/>
    <w:basedOn w:val="Normlntabulka"/>
    <w:uiPriority w:val="61"/>
    <w:rsid w:val="00EA33C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918">
      <w:bodyDiv w:val="1"/>
      <w:marLeft w:val="0"/>
      <w:marRight w:val="0"/>
      <w:marTop w:val="0"/>
      <w:marBottom w:val="0"/>
      <w:divBdr>
        <w:top w:val="none" w:sz="0" w:space="0" w:color="auto"/>
        <w:left w:val="none" w:sz="0" w:space="0" w:color="auto"/>
        <w:bottom w:val="none" w:sz="0" w:space="0" w:color="auto"/>
        <w:right w:val="none" w:sz="0" w:space="0" w:color="auto"/>
      </w:divBdr>
    </w:div>
    <w:div w:id="20130308">
      <w:bodyDiv w:val="1"/>
      <w:marLeft w:val="0"/>
      <w:marRight w:val="0"/>
      <w:marTop w:val="0"/>
      <w:marBottom w:val="0"/>
      <w:divBdr>
        <w:top w:val="none" w:sz="0" w:space="0" w:color="auto"/>
        <w:left w:val="none" w:sz="0" w:space="0" w:color="auto"/>
        <w:bottom w:val="none" w:sz="0" w:space="0" w:color="auto"/>
        <w:right w:val="none" w:sz="0" w:space="0" w:color="auto"/>
      </w:divBdr>
    </w:div>
    <w:div w:id="57290658">
      <w:bodyDiv w:val="1"/>
      <w:marLeft w:val="0"/>
      <w:marRight w:val="0"/>
      <w:marTop w:val="0"/>
      <w:marBottom w:val="0"/>
      <w:divBdr>
        <w:top w:val="none" w:sz="0" w:space="0" w:color="auto"/>
        <w:left w:val="none" w:sz="0" w:space="0" w:color="auto"/>
        <w:bottom w:val="none" w:sz="0" w:space="0" w:color="auto"/>
        <w:right w:val="none" w:sz="0" w:space="0" w:color="auto"/>
      </w:divBdr>
    </w:div>
    <w:div w:id="66729727">
      <w:bodyDiv w:val="1"/>
      <w:marLeft w:val="0"/>
      <w:marRight w:val="0"/>
      <w:marTop w:val="0"/>
      <w:marBottom w:val="0"/>
      <w:divBdr>
        <w:top w:val="none" w:sz="0" w:space="0" w:color="auto"/>
        <w:left w:val="none" w:sz="0" w:space="0" w:color="auto"/>
        <w:bottom w:val="none" w:sz="0" w:space="0" w:color="auto"/>
        <w:right w:val="none" w:sz="0" w:space="0" w:color="auto"/>
      </w:divBdr>
    </w:div>
    <w:div w:id="83383663">
      <w:bodyDiv w:val="1"/>
      <w:marLeft w:val="0"/>
      <w:marRight w:val="0"/>
      <w:marTop w:val="0"/>
      <w:marBottom w:val="0"/>
      <w:divBdr>
        <w:top w:val="none" w:sz="0" w:space="0" w:color="auto"/>
        <w:left w:val="none" w:sz="0" w:space="0" w:color="auto"/>
        <w:bottom w:val="none" w:sz="0" w:space="0" w:color="auto"/>
        <w:right w:val="none" w:sz="0" w:space="0" w:color="auto"/>
      </w:divBdr>
    </w:div>
    <w:div w:id="100734604">
      <w:bodyDiv w:val="1"/>
      <w:marLeft w:val="0"/>
      <w:marRight w:val="0"/>
      <w:marTop w:val="0"/>
      <w:marBottom w:val="0"/>
      <w:divBdr>
        <w:top w:val="none" w:sz="0" w:space="0" w:color="auto"/>
        <w:left w:val="none" w:sz="0" w:space="0" w:color="auto"/>
        <w:bottom w:val="none" w:sz="0" w:space="0" w:color="auto"/>
        <w:right w:val="none" w:sz="0" w:space="0" w:color="auto"/>
      </w:divBdr>
    </w:div>
    <w:div w:id="155154397">
      <w:bodyDiv w:val="1"/>
      <w:marLeft w:val="0"/>
      <w:marRight w:val="0"/>
      <w:marTop w:val="0"/>
      <w:marBottom w:val="0"/>
      <w:divBdr>
        <w:top w:val="none" w:sz="0" w:space="0" w:color="auto"/>
        <w:left w:val="none" w:sz="0" w:space="0" w:color="auto"/>
        <w:bottom w:val="none" w:sz="0" w:space="0" w:color="auto"/>
        <w:right w:val="none" w:sz="0" w:space="0" w:color="auto"/>
      </w:divBdr>
    </w:div>
    <w:div w:id="161822061">
      <w:bodyDiv w:val="1"/>
      <w:marLeft w:val="0"/>
      <w:marRight w:val="0"/>
      <w:marTop w:val="0"/>
      <w:marBottom w:val="0"/>
      <w:divBdr>
        <w:top w:val="none" w:sz="0" w:space="0" w:color="auto"/>
        <w:left w:val="none" w:sz="0" w:space="0" w:color="auto"/>
        <w:bottom w:val="none" w:sz="0" w:space="0" w:color="auto"/>
        <w:right w:val="none" w:sz="0" w:space="0" w:color="auto"/>
      </w:divBdr>
    </w:div>
    <w:div w:id="165829633">
      <w:bodyDiv w:val="1"/>
      <w:marLeft w:val="0"/>
      <w:marRight w:val="0"/>
      <w:marTop w:val="0"/>
      <w:marBottom w:val="0"/>
      <w:divBdr>
        <w:top w:val="none" w:sz="0" w:space="0" w:color="auto"/>
        <w:left w:val="none" w:sz="0" w:space="0" w:color="auto"/>
        <w:bottom w:val="none" w:sz="0" w:space="0" w:color="auto"/>
        <w:right w:val="none" w:sz="0" w:space="0" w:color="auto"/>
      </w:divBdr>
    </w:div>
    <w:div w:id="167407190">
      <w:bodyDiv w:val="1"/>
      <w:marLeft w:val="0"/>
      <w:marRight w:val="0"/>
      <w:marTop w:val="0"/>
      <w:marBottom w:val="0"/>
      <w:divBdr>
        <w:top w:val="none" w:sz="0" w:space="0" w:color="auto"/>
        <w:left w:val="none" w:sz="0" w:space="0" w:color="auto"/>
        <w:bottom w:val="none" w:sz="0" w:space="0" w:color="auto"/>
        <w:right w:val="none" w:sz="0" w:space="0" w:color="auto"/>
      </w:divBdr>
      <w:divsChild>
        <w:div w:id="194393445">
          <w:marLeft w:val="1800"/>
          <w:marRight w:val="0"/>
          <w:marTop w:val="50"/>
          <w:marBottom w:val="50"/>
          <w:divBdr>
            <w:top w:val="none" w:sz="0" w:space="0" w:color="auto"/>
            <w:left w:val="none" w:sz="0" w:space="0" w:color="auto"/>
            <w:bottom w:val="none" w:sz="0" w:space="0" w:color="auto"/>
            <w:right w:val="none" w:sz="0" w:space="0" w:color="auto"/>
          </w:divBdr>
        </w:div>
      </w:divsChild>
    </w:div>
    <w:div w:id="185171246">
      <w:bodyDiv w:val="1"/>
      <w:marLeft w:val="0"/>
      <w:marRight w:val="0"/>
      <w:marTop w:val="0"/>
      <w:marBottom w:val="0"/>
      <w:divBdr>
        <w:top w:val="none" w:sz="0" w:space="0" w:color="auto"/>
        <w:left w:val="none" w:sz="0" w:space="0" w:color="auto"/>
        <w:bottom w:val="none" w:sz="0" w:space="0" w:color="auto"/>
        <w:right w:val="none" w:sz="0" w:space="0" w:color="auto"/>
      </w:divBdr>
    </w:div>
    <w:div w:id="225917752">
      <w:bodyDiv w:val="1"/>
      <w:marLeft w:val="0"/>
      <w:marRight w:val="0"/>
      <w:marTop w:val="0"/>
      <w:marBottom w:val="0"/>
      <w:divBdr>
        <w:top w:val="none" w:sz="0" w:space="0" w:color="auto"/>
        <w:left w:val="none" w:sz="0" w:space="0" w:color="auto"/>
        <w:bottom w:val="none" w:sz="0" w:space="0" w:color="auto"/>
        <w:right w:val="none" w:sz="0" w:space="0" w:color="auto"/>
      </w:divBdr>
    </w:div>
    <w:div w:id="263534121">
      <w:bodyDiv w:val="1"/>
      <w:marLeft w:val="0"/>
      <w:marRight w:val="0"/>
      <w:marTop w:val="0"/>
      <w:marBottom w:val="0"/>
      <w:divBdr>
        <w:top w:val="none" w:sz="0" w:space="0" w:color="auto"/>
        <w:left w:val="none" w:sz="0" w:space="0" w:color="auto"/>
        <w:bottom w:val="none" w:sz="0" w:space="0" w:color="auto"/>
        <w:right w:val="none" w:sz="0" w:space="0" w:color="auto"/>
      </w:divBdr>
    </w:div>
    <w:div w:id="283971688">
      <w:bodyDiv w:val="1"/>
      <w:marLeft w:val="0"/>
      <w:marRight w:val="0"/>
      <w:marTop w:val="0"/>
      <w:marBottom w:val="0"/>
      <w:divBdr>
        <w:top w:val="none" w:sz="0" w:space="0" w:color="auto"/>
        <w:left w:val="none" w:sz="0" w:space="0" w:color="auto"/>
        <w:bottom w:val="none" w:sz="0" w:space="0" w:color="auto"/>
        <w:right w:val="none" w:sz="0" w:space="0" w:color="auto"/>
      </w:divBdr>
    </w:div>
    <w:div w:id="291789541">
      <w:bodyDiv w:val="1"/>
      <w:marLeft w:val="0"/>
      <w:marRight w:val="0"/>
      <w:marTop w:val="0"/>
      <w:marBottom w:val="0"/>
      <w:divBdr>
        <w:top w:val="none" w:sz="0" w:space="0" w:color="auto"/>
        <w:left w:val="none" w:sz="0" w:space="0" w:color="auto"/>
        <w:bottom w:val="none" w:sz="0" w:space="0" w:color="auto"/>
        <w:right w:val="none" w:sz="0" w:space="0" w:color="auto"/>
      </w:divBdr>
      <w:divsChild>
        <w:div w:id="768476413">
          <w:marLeft w:val="288"/>
          <w:marRight w:val="0"/>
          <w:marTop w:val="240"/>
          <w:marBottom w:val="0"/>
          <w:divBdr>
            <w:top w:val="none" w:sz="0" w:space="0" w:color="auto"/>
            <w:left w:val="none" w:sz="0" w:space="0" w:color="auto"/>
            <w:bottom w:val="none" w:sz="0" w:space="0" w:color="auto"/>
            <w:right w:val="none" w:sz="0" w:space="0" w:color="auto"/>
          </w:divBdr>
        </w:div>
        <w:div w:id="523834697">
          <w:marLeft w:val="1080"/>
          <w:marRight w:val="0"/>
          <w:marTop w:val="50"/>
          <w:marBottom w:val="50"/>
          <w:divBdr>
            <w:top w:val="none" w:sz="0" w:space="0" w:color="auto"/>
            <w:left w:val="none" w:sz="0" w:space="0" w:color="auto"/>
            <w:bottom w:val="none" w:sz="0" w:space="0" w:color="auto"/>
            <w:right w:val="none" w:sz="0" w:space="0" w:color="auto"/>
          </w:divBdr>
        </w:div>
        <w:div w:id="1016813696">
          <w:marLeft w:val="1080"/>
          <w:marRight w:val="0"/>
          <w:marTop w:val="50"/>
          <w:marBottom w:val="50"/>
          <w:divBdr>
            <w:top w:val="none" w:sz="0" w:space="0" w:color="auto"/>
            <w:left w:val="none" w:sz="0" w:space="0" w:color="auto"/>
            <w:bottom w:val="none" w:sz="0" w:space="0" w:color="auto"/>
            <w:right w:val="none" w:sz="0" w:space="0" w:color="auto"/>
          </w:divBdr>
        </w:div>
        <w:div w:id="430662193">
          <w:marLeft w:val="1080"/>
          <w:marRight w:val="0"/>
          <w:marTop w:val="50"/>
          <w:marBottom w:val="50"/>
          <w:divBdr>
            <w:top w:val="none" w:sz="0" w:space="0" w:color="auto"/>
            <w:left w:val="none" w:sz="0" w:space="0" w:color="auto"/>
            <w:bottom w:val="none" w:sz="0" w:space="0" w:color="auto"/>
            <w:right w:val="none" w:sz="0" w:space="0" w:color="auto"/>
          </w:divBdr>
        </w:div>
        <w:div w:id="551622867">
          <w:marLeft w:val="1800"/>
          <w:marRight w:val="0"/>
          <w:marTop w:val="50"/>
          <w:marBottom w:val="50"/>
          <w:divBdr>
            <w:top w:val="none" w:sz="0" w:space="0" w:color="auto"/>
            <w:left w:val="none" w:sz="0" w:space="0" w:color="auto"/>
            <w:bottom w:val="none" w:sz="0" w:space="0" w:color="auto"/>
            <w:right w:val="none" w:sz="0" w:space="0" w:color="auto"/>
          </w:divBdr>
        </w:div>
        <w:div w:id="1762988267">
          <w:marLeft w:val="1800"/>
          <w:marRight w:val="0"/>
          <w:marTop w:val="50"/>
          <w:marBottom w:val="50"/>
          <w:divBdr>
            <w:top w:val="none" w:sz="0" w:space="0" w:color="auto"/>
            <w:left w:val="none" w:sz="0" w:space="0" w:color="auto"/>
            <w:bottom w:val="none" w:sz="0" w:space="0" w:color="auto"/>
            <w:right w:val="none" w:sz="0" w:space="0" w:color="auto"/>
          </w:divBdr>
        </w:div>
      </w:divsChild>
    </w:div>
    <w:div w:id="298337857">
      <w:bodyDiv w:val="1"/>
      <w:marLeft w:val="0"/>
      <w:marRight w:val="0"/>
      <w:marTop w:val="0"/>
      <w:marBottom w:val="0"/>
      <w:divBdr>
        <w:top w:val="none" w:sz="0" w:space="0" w:color="auto"/>
        <w:left w:val="none" w:sz="0" w:space="0" w:color="auto"/>
        <w:bottom w:val="none" w:sz="0" w:space="0" w:color="auto"/>
        <w:right w:val="none" w:sz="0" w:space="0" w:color="auto"/>
      </w:divBdr>
    </w:div>
    <w:div w:id="301929744">
      <w:bodyDiv w:val="1"/>
      <w:marLeft w:val="0"/>
      <w:marRight w:val="0"/>
      <w:marTop w:val="0"/>
      <w:marBottom w:val="0"/>
      <w:divBdr>
        <w:top w:val="none" w:sz="0" w:space="0" w:color="auto"/>
        <w:left w:val="none" w:sz="0" w:space="0" w:color="auto"/>
        <w:bottom w:val="none" w:sz="0" w:space="0" w:color="auto"/>
        <w:right w:val="none" w:sz="0" w:space="0" w:color="auto"/>
      </w:divBdr>
    </w:div>
    <w:div w:id="311638358">
      <w:bodyDiv w:val="1"/>
      <w:marLeft w:val="0"/>
      <w:marRight w:val="0"/>
      <w:marTop w:val="0"/>
      <w:marBottom w:val="0"/>
      <w:divBdr>
        <w:top w:val="none" w:sz="0" w:space="0" w:color="auto"/>
        <w:left w:val="none" w:sz="0" w:space="0" w:color="auto"/>
        <w:bottom w:val="none" w:sz="0" w:space="0" w:color="auto"/>
        <w:right w:val="none" w:sz="0" w:space="0" w:color="auto"/>
      </w:divBdr>
    </w:div>
    <w:div w:id="332030933">
      <w:bodyDiv w:val="1"/>
      <w:marLeft w:val="0"/>
      <w:marRight w:val="0"/>
      <w:marTop w:val="0"/>
      <w:marBottom w:val="0"/>
      <w:divBdr>
        <w:top w:val="none" w:sz="0" w:space="0" w:color="auto"/>
        <w:left w:val="none" w:sz="0" w:space="0" w:color="auto"/>
        <w:bottom w:val="none" w:sz="0" w:space="0" w:color="auto"/>
        <w:right w:val="none" w:sz="0" w:space="0" w:color="auto"/>
      </w:divBdr>
    </w:div>
    <w:div w:id="336661796">
      <w:bodyDiv w:val="1"/>
      <w:marLeft w:val="0"/>
      <w:marRight w:val="0"/>
      <w:marTop w:val="0"/>
      <w:marBottom w:val="0"/>
      <w:divBdr>
        <w:top w:val="none" w:sz="0" w:space="0" w:color="auto"/>
        <w:left w:val="none" w:sz="0" w:space="0" w:color="auto"/>
        <w:bottom w:val="none" w:sz="0" w:space="0" w:color="auto"/>
        <w:right w:val="none" w:sz="0" w:space="0" w:color="auto"/>
      </w:divBdr>
      <w:divsChild>
        <w:div w:id="1558783429">
          <w:marLeft w:val="0"/>
          <w:marRight w:val="0"/>
          <w:marTop w:val="0"/>
          <w:marBottom w:val="0"/>
          <w:divBdr>
            <w:top w:val="none" w:sz="0" w:space="0" w:color="auto"/>
            <w:left w:val="none" w:sz="0" w:space="0" w:color="auto"/>
            <w:bottom w:val="none" w:sz="0" w:space="0" w:color="auto"/>
            <w:right w:val="none" w:sz="0" w:space="0" w:color="auto"/>
          </w:divBdr>
          <w:divsChild>
            <w:div w:id="941962516">
              <w:marLeft w:val="0"/>
              <w:marRight w:val="0"/>
              <w:marTop w:val="0"/>
              <w:marBottom w:val="0"/>
              <w:divBdr>
                <w:top w:val="none" w:sz="0" w:space="0" w:color="auto"/>
                <w:left w:val="none" w:sz="0" w:space="0" w:color="auto"/>
                <w:bottom w:val="none" w:sz="0" w:space="0" w:color="auto"/>
                <w:right w:val="none" w:sz="0" w:space="0" w:color="auto"/>
              </w:divBdr>
              <w:divsChild>
                <w:div w:id="73019043">
                  <w:marLeft w:val="0"/>
                  <w:marRight w:val="0"/>
                  <w:marTop w:val="0"/>
                  <w:marBottom w:val="0"/>
                  <w:divBdr>
                    <w:top w:val="none" w:sz="0" w:space="0" w:color="auto"/>
                    <w:left w:val="none" w:sz="0" w:space="0" w:color="auto"/>
                    <w:bottom w:val="none" w:sz="0" w:space="0" w:color="auto"/>
                    <w:right w:val="none" w:sz="0" w:space="0" w:color="auto"/>
                  </w:divBdr>
                  <w:divsChild>
                    <w:div w:id="940450208">
                      <w:marLeft w:val="1"/>
                      <w:marRight w:val="1"/>
                      <w:marTop w:val="0"/>
                      <w:marBottom w:val="0"/>
                      <w:divBdr>
                        <w:top w:val="none" w:sz="0" w:space="0" w:color="auto"/>
                        <w:left w:val="none" w:sz="0" w:space="0" w:color="auto"/>
                        <w:bottom w:val="none" w:sz="0" w:space="0" w:color="auto"/>
                        <w:right w:val="none" w:sz="0" w:space="0" w:color="auto"/>
                      </w:divBdr>
                      <w:divsChild>
                        <w:div w:id="858546384">
                          <w:marLeft w:val="0"/>
                          <w:marRight w:val="0"/>
                          <w:marTop w:val="0"/>
                          <w:marBottom w:val="0"/>
                          <w:divBdr>
                            <w:top w:val="none" w:sz="0" w:space="0" w:color="auto"/>
                            <w:left w:val="none" w:sz="0" w:space="0" w:color="auto"/>
                            <w:bottom w:val="none" w:sz="0" w:space="0" w:color="auto"/>
                            <w:right w:val="none" w:sz="0" w:space="0" w:color="auto"/>
                          </w:divBdr>
                          <w:divsChild>
                            <w:div w:id="10498810">
                              <w:marLeft w:val="0"/>
                              <w:marRight w:val="0"/>
                              <w:marTop w:val="0"/>
                              <w:marBottom w:val="360"/>
                              <w:divBdr>
                                <w:top w:val="none" w:sz="0" w:space="0" w:color="auto"/>
                                <w:left w:val="none" w:sz="0" w:space="0" w:color="auto"/>
                                <w:bottom w:val="none" w:sz="0" w:space="0" w:color="auto"/>
                                <w:right w:val="none" w:sz="0" w:space="0" w:color="auto"/>
                              </w:divBdr>
                              <w:divsChild>
                                <w:div w:id="1948269065">
                                  <w:marLeft w:val="0"/>
                                  <w:marRight w:val="0"/>
                                  <w:marTop w:val="0"/>
                                  <w:marBottom w:val="0"/>
                                  <w:divBdr>
                                    <w:top w:val="none" w:sz="0" w:space="0" w:color="auto"/>
                                    <w:left w:val="none" w:sz="0" w:space="0" w:color="auto"/>
                                    <w:bottom w:val="none" w:sz="0" w:space="0" w:color="auto"/>
                                    <w:right w:val="none" w:sz="0" w:space="0" w:color="auto"/>
                                  </w:divBdr>
                                  <w:divsChild>
                                    <w:div w:id="1219123196">
                                      <w:marLeft w:val="0"/>
                                      <w:marRight w:val="0"/>
                                      <w:marTop w:val="0"/>
                                      <w:marBottom w:val="0"/>
                                      <w:divBdr>
                                        <w:top w:val="none" w:sz="0" w:space="0" w:color="auto"/>
                                        <w:left w:val="none" w:sz="0" w:space="0" w:color="auto"/>
                                        <w:bottom w:val="none" w:sz="0" w:space="0" w:color="auto"/>
                                        <w:right w:val="none" w:sz="0" w:space="0" w:color="auto"/>
                                      </w:divBdr>
                                      <w:divsChild>
                                        <w:div w:id="464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6370839">
      <w:bodyDiv w:val="1"/>
      <w:marLeft w:val="0"/>
      <w:marRight w:val="0"/>
      <w:marTop w:val="0"/>
      <w:marBottom w:val="0"/>
      <w:divBdr>
        <w:top w:val="none" w:sz="0" w:space="0" w:color="auto"/>
        <w:left w:val="none" w:sz="0" w:space="0" w:color="auto"/>
        <w:bottom w:val="none" w:sz="0" w:space="0" w:color="auto"/>
        <w:right w:val="none" w:sz="0" w:space="0" w:color="auto"/>
      </w:divBdr>
    </w:div>
    <w:div w:id="378553767">
      <w:bodyDiv w:val="1"/>
      <w:marLeft w:val="0"/>
      <w:marRight w:val="0"/>
      <w:marTop w:val="0"/>
      <w:marBottom w:val="0"/>
      <w:divBdr>
        <w:top w:val="none" w:sz="0" w:space="0" w:color="auto"/>
        <w:left w:val="none" w:sz="0" w:space="0" w:color="auto"/>
        <w:bottom w:val="none" w:sz="0" w:space="0" w:color="auto"/>
        <w:right w:val="none" w:sz="0" w:space="0" w:color="auto"/>
      </w:divBdr>
    </w:div>
    <w:div w:id="381946592">
      <w:bodyDiv w:val="1"/>
      <w:marLeft w:val="0"/>
      <w:marRight w:val="0"/>
      <w:marTop w:val="0"/>
      <w:marBottom w:val="0"/>
      <w:divBdr>
        <w:top w:val="none" w:sz="0" w:space="0" w:color="auto"/>
        <w:left w:val="none" w:sz="0" w:space="0" w:color="auto"/>
        <w:bottom w:val="none" w:sz="0" w:space="0" w:color="auto"/>
        <w:right w:val="none" w:sz="0" w:space="0" w:color="auto"/>
      </w:divBdr>
    </w:div>
    <w:div w:id="384379205">
      <w:bodyDiv w:val="1"/>
      <w:marLeft w:val="0"/>
      <w:marRight w:val="0"/>
      <w:marTop w:val="0"/>
      <w:marBottom w:val="0"/>
      <w:divBdr>
        <w:top w:val="none" w:sz="0" w:space="0" w:color="auto"/>
        <w:left w:val="none" w:sz="0" w:space="0" w:color="auto"/>
        <w:bottom w:val="none" w:sz="0" w:space="0" w:color="auto"/>
        <w:right w:val="none" w:sz="0" w:space="0" w:color="auto"/>
      </w:divBdr>
    </w:div>
    <w:div w:id="391776709">
      <w:bodyDiv w:val="1"/>
      <w:marLeft w:val="0"/>
      <w:marRight w:val="0"/>
      <w:marTop w:val="0"/>
      <w:marBottom w:val="0"/>
      <w:divBdr>
        <w:top w:val="none" w:sz="0" w:space="0" w:color="auto"/>
        <w:left w:val="none" w:sz="0" w:space="0" w:color="auto"/>
        <w:bottom w:val="none" w:sz="0" w:space="0" w:color="auto"/>
        <w:right w:val="none" w:sz="0" w:space="0" w:color="auto"/>
      </w:divBdr>
    </w:div>
    <w:div w:id="392896835">
      <w:bodyDiv w:val="1"/>
      <w:marLeft w:val="0"/>
      <w:marRight w:val="0"/>
      <w:marTop w:val="0"/>
      <w:marBottom w:val="0"/>
      <w:divBdr>
        <w:top w:val="none" w:sz="0" w:space="0" w:color="auto"/>
        <w:left w:val="none" w:sz="0" w:space="0" w:color="auto"/>
        <w:bottom w:val="none" w:sz="0" w:space="0" w:color="auto"/>
        <w:right w:val="none" w:sz="0" w:space="0" w:color="auto"/>
      </w:divBdr>
    </w:div>
    <w:div w:id="423234695">
      <w:bodyDiv w:val="1"/>
      <w:marLeft w:val="0"/>
      <w:marRight w:val="0"/>
      <w:marTop w:val="0"/>
      <w:marBottom w:val="0"/>
      <w:divBdr>
        <w:top w:val="none" w:sz="0" w:space="0" w:color="auto"/>
        <w:left w:val="none" w:sz="0" w:space="0" w:color="auto"/>
        <w:bottom w:val="none" w:sz="0" w:space="0" w:color="auto"/>
        <w:right w:val="none" w:sz="0" w:space="0" w:color="auto"/>
      </w:divBdr>
    </w:div>
    <w:div w:id="424888671">
      <w:bodyDiv w:val="1"/>
      <w:marLeft w:val="0"/>
      <w:marRight w:val="0"/>
      <w:marTop w:val="0"/>
      <w:marBottom w:val="0"/>
      <w:divBdr>
        <w:top w:val="none" w:sz="0" w:space="0" w:color="auto"/>
        <w:left w:val="none" w:sz="0" w:space="0" w:color="auto"/>
        <w:bottom w:val="none" w:sz="0" w:space="0" w:color="auto"/>
        <w:right w:val="none" w:sz="0" w:space="0" w:color="auto"/>
      </w:divBdr>
    </w:div>
    <w:div w:id="436605780">
      <w:bodyDiv w:val="1"/>
      <w:marLeft w:val="0"/>
      <w:marRight w:val="0"/>
      <w:marTop w:val="0"/>
      <w:marBottom w:val="0"/>
      <w:divBdr>
        <w:top w:val="none" w:sz="0" w:space="0" w:color="auto"/>
        <w:left w:val="none" w:sz="0" w:space="0" w:color="auto"/>
        <w:bottom w:val="none" w:sz="0" w:space="0" w:color="auto"/>
        <w:right w:val="none" w:sz="0" w:space="0" w:color="auto"/>
      </w:divBdr>
      <w:divsChild>
        <w:div w:id="977148840">
          <w:marLeft w:val="0"/>
          <w:marRight w:val="0"/>
          <w:marTop w:val="0"/>
          <w:marBottom w:val="0"/>
          <w:divBdr>
            <w:top w:val="none" w:sz="0" w:space="0" w:color="auto"/>
            <w:left w:val="none" w:sz="0" w:space="0" w:color="auto"/>
            <w:bottom w:val="none" w:sz="0" w:space="0" w:color="auto"/>
            <w:right w:val="none" w:sz="0" w:space="0" w:color="auto"/>
          </w:divBdr>
          <w:divsChild>
            <w:div w:id="2048676591">
              <w:marLeft w:val="0"/>
              <w:marRight w:val="0"/>
              <w:marTop w:val="0"/>
              <w:marBottom w:val="0"/>
              <w:divBdr>
                <w:top w:val="none" w:sz="0" w:space="0" w:color="auto"/>
                <w:left w:val="none" w:sz="0" w:space="0" w:color="auto"/>
                <w:bottom w:val="none" w:sz="0" w:space="0" w:color="auto"/>
                <w:right w:val="none" w:sz="0" w:space="0" w:color="auto"/>
              </w:divBdr>
              <w:divsChild>
                <w:div w:id="676545043">
                  <w:marLeft w:val="0"/>
                  <w:marRight w:val="0"/>
                  <w:marTop w:val="0"/>
                  <w:marBottom w:val="0"/>
                  <w:divBdr>
                    <w:top w:val="none" w:sz="0" w:space="0" w:color="auto"/>
                    <w:left w:val="none" w:sz="0" w:space="0" w:color="auto"/>
                    <w:bottom w:val="none" w:sz="0" w:space="0" w:color="auto"/>
                    <w:right w:val="none" w:sz="0" w:space="0" w:color="auto"/>
                  </w:divBdr>
                  <w:divsChild>
                    <w:div w:id="982153766">
                      <w:marLeft w:val="1"/>
                      <w:marRight w:val="1"/>
                      <w:marTop w:val="0"/>
                      <w:marBottom w:val="0"/>
                      <w:divBdr>
                        <w:top w:val="none" w:sz="0" w:space="0" w:color="auto"/>
                        <w:left w:val="none" w:sz="0" w:space="0" w:color="auto"/>
                        <w:bottom w:val="none" w:sz="0" w:space="0" w:color="auto"/>
                        <w:right w:val="none" w:sz="0" w:space="0" w:color="auto"/>
                      </w:divBdr>
                      <w:divsChild>
                        <w:div w:id="388843196">
                          <w:marLeft w:val="0"/>
                          <w:marRight w:val="0"/>
                          <w:marTop w:val="0"/>
                          <w:marBottom w:val="0"/>
                          <w:divBdr>
                            <w:top w:val="none" w:sz="0" w:space="0" w:color="auto"/>
                            <w:left w:val="none" w:sz="0" w:space="0" w:color="auto"/>
                            <w:bottom w:val="none" w:sz="0" w:space="0" w:color="auto"/>
                            <w:right w:val="none" w:sz="0" w:space="0" w:color="auto"/>
                          </w:divBdr>
                          <w:divsChild>
                            <w:div w:id="1618829269">
                              <w:marLeft w:val="0"/>
                              <w:marRight w:val="0"/>
                              <w:marTop w:val="0"/>
                              <w:marBottom w:val="360"/>
                              <w:divBdr>
                                <w:top w:val="none" w:sz="0" w:space="0" w:color="auto"/>
                                <w:left w:val="none" w:sz="0" w:space="0" w:color="auto"/>
                                <w:bottom w:val="none" w:sz="0" w:space="0" w:color="auto"/>
                                <w:right w:val="none" w:sz="0" w:space="0" w:color="auto"/>
                              </w:divBdr>
                              <w:divsChild>
                                <w:div w:id="6256244">
                                  <w:marLeft w:val="0"/>
                                  <w:marRight w:val="0"/>
                                  <w:marTop w:val="0"/>
                                  <w:marBottom w:val="0"/>
                                  <w:divBdr>
                                    <w:top w:val="none" w:sz="0" w:space="0" w:color="auto"/>
                                    <w:left w:val="none" w:sz="0" w:space="0" w:color="auto"/>
                                    <w:bottom w:val="none" w:sz="0" w:space="0" w:color="auto"/>
                                    <w:right w:val="none" w:sz="0" w:space="0" w:color="auto"/>
                                  </w:divBdr>
                                  <w:divsChild>
                                    <w:div w:id="2098020210">
                                      <w:marLeft w:val="0"/>
                                      <w:marRight w:val="0"/>
                                      <w:marTop w:val="0"/>
                                      <w:marBottom w:val="0"/>
                                      <w:divBdr>
                                        <w:top w:val="none" w:sz="0" w:space="0" w:color="auto"/>
                                        <w:left w:val="none" w:sz="0" w:space="0" w:color="auto"/>
                                        <w:bottom w:val="none" w:sz="0" w:space="0" w:color="auto"/>
                                        <w:right w:val="none" w:sz="0" w:space="0" w:color="auto"/>
                                      </w:divBdr>
                                      <w:divsChild>
                                        <w:div w:id="18976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1559129">
      <w:bodyDiv w:val="1"/>
      <w:marLeft w:val="0"/>
      <w:marRight w:val="0"/>
      <w:marTop w:val="0"/>
      <w:marBottom w:val="0"/>
      <w:divBdr>
        <w:top w:val="none" w:sz="0" w:space="0" w:color="auto"/>
        <w:left w:val="none" w:sz="0" w:space="0" w:color="auto"/>
        <w:bottom w:val="none" w:sz="0" w:space="0" w:color="auto"/>
        <w:right w:val="none" w:sz="0" w:space="0" w:color="auto"/>
      </w:divBdr>
    </w:div>
    <w:div w:id="475727575">
      <w:bodyDiv w:val="1"/>
      <w:marLeft w:val="0"/>
      <w:marRight w:val="0"/>
      <w:marTop w:val="0"/>
      <w:marBottom w:val="0"/>
      <w:divBdr>
        <w:top w:val="none" w:sz="0" w:space="0" w:color="auto"/>
        <w:left w:val="none" w:sz="0" w:space="0" w:color="auto"/>
        <w:bottom w:val="none" w:sz="0" w:space="0" w:color="auto"/>
        <w:right w:val="none" w:sz="0" w:space="0" w:color="auto"/>
      </w:divBdr>
      <w:divsChild>
        <w:div w:id="1438983638">
          <w:marLeft w:val="0"/>
          <w:marRight w:val="0"/>
          <w:marTop w:val="0"/>
          <w:marBottom w:val="0"/>
          <w:divBdr>
            <w:top w:val="none" w:sz="0" w:space="0" w:color="auto"/>
            <w:left w:val="none" w:sz="0" w:space="0" w:color="auto"/>
            <w:bottom w:val="none" w:sz="0" w:space="0" w:color="auto"/>
            <w:right w:val="none" w:sz="0" w:space="0" w:color="auto"/>
          </w:divBdr>
          <w:divsChild>
            <w:div w:id="845053783">
              <w:marLeft w:val="0"/>
              <w:marRight w:val="0"/>
              <w:marTop w:val="0"/>
              <w:marBottom w:val="0"/>
              <w:divBdr>
                <w:top w:val="none" w:sz="0" w:space="0" w:color="auto"/>
                <w:left w:val="none" w:sz="0" w:space="0" w:color="auto"/>
                <w:bottom w:val="none" w:sz="0" w:space="0" w:color="auto"/>
                <w:right w:val="none" w:sz="0" w:space="0" w:color="auto"/>
              </w:divBdr>
              <w:divsChild>
                <w:div w:id="2109543637">
                  <w:marLeft w:val="0"/>
                  <w:marRight w:val="0"/>
                  <w:marTop w:val="0"/>
                  <w:marBottom w:val="0"/>
                  <w:divBdr>
                    <w:top w:val="none" w:sz="0" w:space="0" w:color="auto"/>
                    <w:left w:val="none" w:sz="0" w:space="0" w:color="auto"/>
                    <w:bottom w:val="none" w:sz="0" w:space="0" w:color="auto"/>
                    <w:right w:val="none" w:sz="0" w:space="0" w:color="auto"/>
                  </w:divBdr>
                  <w:divsChild>
                    <w:div w:id="667946115">
                      <w:marLeft w:val="0"/>
                      <w:marRight w:val="0"/>
                      <w:marTop w:val="0"/>
                      <w:marBottom w:val="0"/>
                      <w:divBdr>
                        <w:top w:val="none" w:sz="0" w:space="0" w:color="auto"/>
                        <w:left w:val="none" w:sz="0" w:space="0" w:color="auto"/>
                        <w:bottom w:val="none" w:sz="0" w:space="0" w:color="auto"/>
                        <w:right w:val="none" w:sz="0" w:space="0" w:color="auto"/>
                      </w:divBdr>
                      <w:divsChild>
                        <w:div w:id="1618178928">
                          <w:marLeft w:val="0"/>
                          <w:marRight w:val="0"/>
                          <w:marTop w:val="0"/>
                          <w:marBottom w:val="0"/>
                          <w:divBdr>
                            <w:top w:val="none" w:sz="0" w:space="0" w:color="auto"/>
                            <w:left w:val="none" w:sz="0" w:space="0" w:color="auto"/>
                            <w:bottom w:val="none" w:sz="0" w:space="0" w:color="auto"/>
                            <w:right w:val="none" w:sz="0" w:space="0" w:color="auto"/>
                          </w:divBdr>
                          <w:divsChild>
                            <w:div w:id="1557276063">
                              <w:marLeft w:val="0"/>
                              <w:marRight w:val="0"/>
                              <w:marTop w:val="0"/>
                              <w:marBottom w:val="0"/>
                              <w:divBdr>
                                <w:top w:val="none" w:sz="0" w:space="0" w:color="auto"/>
                                <w:left w:val="none" w:sz="0" w:space="0" w:color="auto"/>
                                <w:bottom w:val="none" w:sz="0" w:space="0" w:color="auto"/>
                                <w:right w:val="none" w:sz="0" w:space="0" w:color="auto"/>
                              </w:divBdr>
                              <w:divsChild>
                                <w:div w:id="1155225482">
                                  <w:marLeft w:val="0"/>
                                  <w:marRight w:val="0"/>
                                  <w:marTop w:val="0"/>
                                  <w:marBottom w:val="0"/>
                                  <w:divBdr>
                                    <w:top w:val="none" w:sz="0" w:space="0" w:color="auto"/>
                                    <w:left w:val="none" w:sz="0" w:space="0" w:color="auto"/>
                                    <w:bottom w:val="none" w:sz="0" w:space="0" w:color="auto"/>
                                    <w:right w:val="none" w:sz="0" w:space="0" w:color="auto"/>
                                  </w:divBdr>
                                  <w:divsChild>
                                    <w:div w:id="11997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997976">
      <w:bodyDiv w:val="1"/>
      <w:marLeft w:val="0"/>
      <w:marRight w:val="0"/>
      <w:marTop w:val="0"/>
      <w:marBottom w:val="0"/>
      <w:divBdr>
        <w:top w:val="none" w:sz="0" w:space="0" w:color="auto"/>
        <w:left w:val="none" w:sz="0" w:space="0" w:color="auto"/>
        <w:bottom w:val="none" w:sz="0" w:space="0" w:color="auto"/>
        <w:right w:val="none" w:sz="0" w:space="0" w:color="auto"/>
      </w:divBdr>
    </w:div>
    <w:div w:id="486482999">
      <w:bodyDiv w:val="1"/>
      <w:marLeft w:val="0"/>
      <w:marRight w:val="0"/>
      <w:marTop w:val="0"/>
      <w:marBottom w:val="0"/>
      <w:divBdr>
        <w:top w:val="none" w:sz="0" w:space="0" w:color="auto"/>
        <w:left w:val="none" w:sz="0" w:space="0" w:color="auto"/>
        <w:bottom w:val="none" w:sz="0" w:space="0" w:color="auto"/>
        <w:right w:val="none" w:sz="0" w:space="0" w:color="auto"/>
      </w:divBdr>
    </w:div>
    <w:div w:id="501702384">
      <w:bodyDiv w:val="1"/>
      <w:marLeft w:val="0"/>
      <w:marRight w:val="0"/>
      <w:marTop w:val="0"/>
      <w:marBottom w:val="0"/>
      <w:divBdr>
        <w:top w:val="none" w:sz="0" w:space="0" w:color="auto"/>
        <w:left w:val="none" w:sz="0" w:space="0" w:color="auto"/>
        <w:bottom w:val="none" w:sz="0" w:space="0" w:color="auto"/>
        <w:right w:val="none" w:sz="0" w:space="0" w:color="auto"/>
      </w:divBdr>
    </w:div>
    <w:div w:id="532426150">
      <w:bodyDiv w:val="1"/>
      <w:marLeft w:val="0"/>
      <w:marRight w:val="0"/>
      <w:marTop w:val="0"/>
      <w:marBottom w:val="0"/>
      <w:divBdr>
        <w:top w:val="none" w:sz="0" w:space="0" w:color="auto"/>
        <w:left w:val="none" w:sz="0" w:space="0" w:color="auto"/>
        <w:bottom w:val="none" w:sz="0" w:space="0" w:color="auto"/>
        <w:right w:val="none" w:sz="0" w:space="0" w:color="auto"/>
      </w:divBdr>
    </w:div>
    <w:div w:id="539321860">
      <w:bodyDiv w:val="1"/>
      <w:marLeft w:val="0"/>
      <w:marRight w:val="0"/>
      <w:marTop w:val="0"/>
      <w:marBottom w:val="0"/>
      <w:divBdr>
        <w:top w:val="none" w:sz="0" w:space="0" w:color="auto"/>
        <w:left w:val="none" w:sz="0" w:space="0" w:color="auto"/>
        <w:bottom w:val="none" w:sz="0" w:space="0" w:color="auto"/>
        <w:right w:val="none" w:sz="0" w:space="0" w:color="auto"/>
      </w:divBdr>
    </w:div>
    <w:div w:id="543248724">
      <w:bodyDiv w:val="1"/>
      <w:marLeft w:val="0"/>
      <w:marRight w:val="0"/>
      <w:marTop w:val="0"/>
      <w:marBottom w:val="0"/>
      <w:divBdr>
        <w:top w:val="none" w:sz="0" w:space="0" w:color="auto"/>
        <w:left w:val="none" w:sz="0" w:space="0" w:color="auto"/>
        <w:bottom w:val="none" w:sz="0" w:space="0" w:color="auto"/>
        <w:right w:val="none" w:sz="0" w:space="0" w:color="auto"/>
      </w:divBdr>
    </w:div>
    <w:div w:id="561646428">
      <w:bodyDiv w:val="1"/>
      <w:marLeft w:val="0"/>
      <w:marRight w:val="0"/>
      <w:marTop w:val="0"/>
      <w:marBottom w:val="0"/>
      <w:divBdr>
        <w:top w:val="none" w:sz="0" w:space="0" w:color="auto"/>
        <w:left w:val="none" w:sz="0" w:space="0" w:color="auto"/>
        <w:bottom w:val="none" w:sz="0" w:space="0" w:color="auto"/>
        <w:right w:val="none" w:sz="0" w:space="0" w:color="auto"/>
      </w:divBdr>
    </w:div>
    <w:div w:id="569730661">
      <w:bodyDiv w:val="1"/>
      <w:marLeft w:val="0"/>
      <w:marRight w:val="0"/>
      <w:marTop w:val="0"/>
      <w:marBottom w:val="0"/>
      <w:divBdr>
        <w:top w:val="none" w:sz="0" w:space="0" w:color="auto"/>
        <w:left w:val="none" w:sz="0" w:space="0" w:color="auto"/>
        <w:bottom w:val="none" w:sz="0" w:space="0" w:color="auto"/>
        <w:right w:val="none" w:sz="0" w:space="0" w:color="auto"/>
      </w:divBdr>
    </w:div>
    <w:div w:id="629897569">
      <w:bodyDiv w:val="1"/>
      <w:marLeft w:val="0"/>
      <w:marRight w:val="0"/>
      <w:marTop w:val="0"/>
      <w:marBottom w:val="0"/>
      <w:divBdr>
        <w:top w:val="none" w:sz="0" w:space="0" w:color="auto"/>
        <w:left w:val="none" w:sz="0" w:space="0" w:color="auto"/>
        <w:bottom w:val="none" w:sz="0" w:space="0" w:color="auto"/>
        <w:right w:val="none" w:sz="0" w:space="0" w:color="auto"/>
      </w:divBdr>
    </w:div>
    <w:div w:id="636489758">
      <w:bodyDiv w:val="1"/>
      <w:marLeft w:val="0"/>
      <w:marRight w:val="0"/>
      <w:marTop w:val="0"/>
      <w:marBottom w:val="0"/>
      <w:divBdr>
        <w:top w:val="none" w:sz="0" w:space="0" w:color="auto"/>
        <w:left w:val="none" w:sz="0" w:space="0" w:color="auto"/>
        <w:bottom w:val="none" w:sz="0" w:space="0" w:color="auto"/>
        <w:right w:val="none" w:sz="0" w:space="0" w:color="auto"/>
      </w:divBdr>
    </w:div>
    <w:div w:id="644047490">
      <w:bodyDiv w:val="1"/>
      <w:marLeft w:val="0"/>
      <w:marRight w:val="0"/>
      <w:marTop w:val="0"/>
      <w:marBottom w:val="0"/>
      <w:divBdr>
        <w:top w:val="none" w:sz="0" w:space="0" w:color="auto"/>
        <w:left w:val="none" w:sz="0" w:space="0" w:color="auto"/>
        <w:bottom w:val="none" w:sz="0" w:space="0" w:color="auto"/>
        <w:right w:val="none" w:sz="0" w:space="0" w:color="auto"/>
      </w:divBdr>
    </w:div>
    <w:div w:id="647395794">
      <w:bodyDiv w:val="1"/>
      <w:marLeft w:val="0"/>
      <w:marRight w:val="0"/>
      <w:marTop w:val="0"/>
      <w:marBottom w:val="0"/>
      <w:divBdr>
        <w:top w:val="none" w:sz="0" w:space="0" w:color="auto"/>
        <w:left w:val="none" w:sz="0" w:space="0" w:color="auto"/>
        <w:bottom w:val="none" w:sz="0" w:space="0" w:color="auto"/>
        <w:right w:val="none" w:sz="0" w:space="0" w:color="auto"/>
      </w:divBdr>
    </w:div>
    <w:div w:id="683440525">
      <w:bodyDiv w:val="1"/>
      <w:marLeft w:val="0"/>
      <w:marRight w:val="0"/>
      <w:marTop w:val="0"/>
      <w:marBottom w:val="0"/>
      <w:divBdr>
        <w:top w:val="none" w:sz="0" w:space="0" w:color="auto"/>
        <w:left w:val="none" w:sz="0" w:space="0" w:color="auto"/>
        <w:bottom w:val="none" w:sz="0" w:space="0" w:color="auto"/>
        <w:right w:val="none" w:sz="0" w:space="0" w:color="auto"/>
      </w:divBdr>
    </w:div>
    <w:div w:id="696273253">
      <w:bodyDiv w:val="1"/>
      <w:marLeft w:val="0"/>
      <w:marRight w:val="0"/>
      <w:marTop w:val="0"/>
      <w:marBottom w:val="0"/>
      <w:divBdr>
        <w:top w:val="none" w:sz="0" w:space="0" w:color="auto"/>
        <w:left w:val="none" w:sz="0" w:space="0" w:color="auto"/>
        <w:bottom w:val="none" w:sz="0" w:space="0" w:color="auto"/>
        <w:right w:val="none" w:sz="0" w:space="0" w:color="auto"/>
      </w:divBdr>
    </w:div>
    <w:div w:id="703402316">
      <w:bodyDiv w:val="1"/>
      <w:marLeft w:val="0"/>
      <w:marRight w:val="0"/>
      <w:marTop w:val="0"/>
      <w:marBottom w:val="0"/>
      <w:divBdr>
        <w:top w:val="none" w:sz="0" w:space="0" w:color="auto"/>
        <w:left w:val="none" w:sz="0" w:space="0" w:color="auto"/>
        <w:bottom w:val="none" w:sz="0" w:space="0" w:color="auto"/>
        <w:right w:val="none" w:sz="0" w:space="0" w:color="auto"/>
      </w:divBdr>
    </w:div>
    <w:div w:id="786972496">
      <w:bodyDiv w:val="1"/>
      <w:marLeft w:val="0"/>
      <w:marRight w:val="0"/>
      <w:marTop w:val="0"/>
      <w:marBottom w:val="0"/>
      <w:divBdr>
        <w:top w:val="none" w:sz="0" w:space="0" w:color="auto"/>
        <w:left w:val="none" w:sz="0" w:space="0" w:color="auto"/>
        <w:bottom w:val="none" w:sz="0" w:space="0" w:color="auto"/>
        <w:right w:val="none" w:sz="0" w:space="0" w:color="auto"/>
      </w:divBdr>
    </w:div>
    <w:div w:id="883759368">
      <w:bodyDiv w:val="1"/>
      <w:marLeft w:val="0"/>
      <w:marRight w:val="0"/>
      <w:marTop w:val="0"/>
      <w:marBottom w:val="0"/>
      <w:divBdr>
        <w:top w:val="none" w:sz="0" w:space="0" w:color="auto"/>
        <w:left w:val="none" w:sz="0" w:space="0" w:color="auto"/>
        <w:bottom w:val="none" w:sz="0" w:space="0" w:color="auto"/>
        <w:right w:val="none" w:sz="0" w:space="0" w:color="auto"/>
      </w:divBdr>
    </w:div>
    <w:div w:id="895122417">
      <w:bodyDiv w:val="1"/>
      <w:marLeft w:val="0"/>
      <w:marRight w:val="0"/>
      <w:marTop w:val="0"/>
      <w:marBottom w:val="0"/>
      <w:divBdr>
        <w:top w:val="none" w:sz="0" w:space="0" w:color="auto"/>
        <w:left w:val="none" w:sz="0" w:space="0" w:color="auto"/>
        <w:bottom w:val="none" w:sz="0" w:space="0" w:color="auto"/>
        <w:right w:val="none" w:sz="0" w:space="0" w:color="auto"/>
      </w:divBdr>
    </w:div>
    <w:div w:id="912741544">
      <w:bodyDiv w:val="1"/>
      <w:marLeft w:val="0"/>
      <w:marRight w:val="0"/>
      <w:marTop w:val="0"/>
      <w:marBottom w:val="0"/>
      <w:divBdr>
        <w:top w:val="none" w:sz="0" w:space="0" w:color="auto"/>
        <w:left w:val="none" w:sz="0" w:space="0" w:color="auto"/>
        <w:bottom w:val="none" w:sz="0" w:space="0" w:color="auto"/>
        <w:right w:val="none" w:sz="0" w:space="0" w:color="auto"/>
      </w:divBdr>
    </w:div>
    <w:div w:id="913588175">
      <w:bodyDiv w:val="1"/>
      <w:marLeft w:val="0"/>
      <w:marRight w:val="0"/>
      <w:marTop w:val="0"/>
      <w:marBottom w:val="0"/>
      <w:divBdr>
        <w:top w:val="none" w:sz="0" w:space="0" w:color="auto"/>
        <w:left w:val="none" w:sz="0" w:space="0" w:color="auto"/>
        <w:bottom w:val="none" w:sz="0" w:space="0" w:color="auto"/>
        <w:right w:val="none" w:sz="0" w:space="0" w:color="auto"/>
      </w:divBdr>
    </w:div>
    <w:div w:id="916209941">
      <w:bodyDiv w:val="1"/>
      <w:marLeft w:val="0"/>
      <w:marRight w:val="0"/>
      <w:marTop w:val="0"/>
      <w:marBottom w:val="0"/>
      <w:divBdr>
        <w:top w:val="none" w:sz="0" w:space="0" w:color="auto"/>
        <w:left w:val="none" w:sz="0" w:space="0" w:color="auto"/>
        <w:bottom w:val="none" w:sz="0" w:space="0" w:color="auto"/>
        <w:right w:val="none" w:sz="0" w:space="0" w:color="auto"/>
      </w:divBdr>
    </w:div>
    <w:div w:id="996223437">
      <w:bodyDiv w:val="1"/>
      <w:marLeft w:val="0"/>
      <w:marRight w:val="0"/>
      <w:marTop w:val="0"/>
      <w:marBottom w:val="0"/>
      <w:divBdr>
        <w:top w:val="none" w:sz="0" w:space="0" w:color="auto"/>
        <w:left w:val="none" w:sz="0" w:space="0" w:color="auto"/>
        <w:bottom w:val="none" w:sz="0" w:space="0" w:color="auto"/>
        <w:right w:val="none" w:sz="0" w:space="0" w:color="auto"/>
      </w:divBdr>
    </w:div>
    <w:div w:id="998918778">
      <w:bodyDiv w:val="1"/>
      <w:marLeft w:val="0"/>
      <w:marRight w:val="0"/>
      <w:marTop w:val="0"/>
      <w:marBottom w:val="0"/>
      <w:divBdr>
        <w:top w:val="none" w:sz="0" w:space="0" w:color="auto"/>
        <w:left w:val="none" w:sz="0" w:space="0" w:color="auto"/>
        <w:bottom w:val="none" w:sz="0" w:space="0" w:color="auto"/>
        <w:right w:val="none" w:sz="0" w:space="0" w:color="auto"/>
      </w:divBdr>
    </w:div>
    <w:div w:id="998921819">
      <w:bodyDiv w:val="1"/>
      <w:marLeft w:val="0"/>
      <w:marRight w:val="0"/>
      <w:marTop w:val="0"/>
      <w:marBottom w:val="0"/>
      <w:divBdr>
        <w:top w:val="none" w:sz="0" w:space="0" w:color="auto"/>
        <w:left w:val="none" w:sz="0" w:space="0" w:color="auto"/>
        <w:bottom w:val="none" w:sz="0" w:space="0" w:color="auto"/>
        <w:right w:val="none" w:sz="0" w:space="0" w:color="auto"/>
      </w:divBdr>
    </w:div>
    <w:div w:id="1010253639">
      <w:bodyDiv w:val="1"/>
      <w:marLeft w:val="0"/>
      <w:marRight w:val="0"/>
      <w:marTop w:val="0"/>
      <w:marBottom w:val="0"/>
      <w:divBdr>
        <w:top w:val="none" w:sz="0" w:space="0" w:color="auto"/>
        <w:left w:val="none" w:sz="0" w:space="0" w:color="auto"/>
        <w:bottom w:val="none" w:sz="0" w:space="0" w:color="auto"/>
        <w:right w:val="none" w:sz="0" w:space="0" w:color="auto"/>
      </w:divBdr>
    </w:div>
    <w:div w:id="1013066308">
      <w:bodyDiv w:val="1"/>
      <w:marLeft w:val="0"/>
      <w:marRight w:val="0"/>
      <w:marTop w:val="0"/>
      <w:marBottom w:val="0"/>
      <w:divBdr>
        <w:top w:val="none" w:sz="0" w:space="0" w:color="auto"/>
        <w:left w:val="none" w:sz="0" w:space="0" w:color="auto"/>
        <w:bottom w:val="none" w:sz="0" w:space="0" w:color="auto"/>
        <w:right w:val="none" w:sz="0" w:space="0" w:color="auto"/>
      </w:divBdr>
    </w:div>
    <w:div w:id="1031108980">
      <w:bodyDiv w:val="1"/>
      <w:marLeft w:val="0"/>
      <w:marRight w:val="0"/>
      <w:marTop w:val="0"/>
      <w:marBottom w:val="0"/>
      <w:divBdr>
        <w:top w:val="none" w:sz="0" w:space="0" w:color="auto"/>
        <w:left w:val="none" w:sz="0" w:space="0" w:color="auto"/>
        <w:bottom w:val="none" w:sz="0" w:space="0" w:color="auto"/>
        <w:right w:val="none" w:sz="0" w:space="0" w:color="auto"/>
      </w:divBdr>
    </w:div>
    <w:div w:id="1032461258">
      <w:bodyDiv w:val="1"/>
      <w:marLeft w:val="0"/>
      <w:marRight w:val="0"/>
      <w:marTop w:val="0"/>
      <w:marBottom w:val="0"/>
      <w:divBdr>
        <w:top w:val="none" w:sz="0" w:space="0" w:color="auto"/>
        <w:left w:val="none" w:sz="0" w:space="0" w:color="auto"/>
        <w:bottom w:val="none" w:sz="0" w:space="0" w:color="auto"/>
        <w:right w:val="none" w:sz="0" w:space="0" w:color="auto"/>
      </w:divBdr>
    </w:div>
    <w:div w:id="1070350486">
      <w:bodyDiv w:val="1"/>
      <w:marLeft w:val="0"/>
      <w:marRight w:val="0"/>
      <w:marTop w:val="0"/>
      <w:marBottom w:val="0"/>
      <w:divBdr>
        <w:top w:val="none" w:sz="0" w:space="0" w:color="auto"/>
        <w:left w:val="none" w:sz="0" w:space="0" w:color="auto"/>
        <w:bottom w:val="none" w:sz="0" w:space="0" w:color="auto"/>
        <w:right w:val="none" w:sz="0" w:space="0" w:color="auto"/>
      </w:divBdr>
    </w:div>
    <w:div w:id="1080249445">
      <w:bodyDiv w:val="1"/>
      <w:marLeft w:val="0"/>
      <w:marRight w:val="0"/>
      <w:marTop w:val="0"/>
      <w:marBottom w:val="0"/>
      <w:divBdr>
        <w:top w:val="none" w:sz="0" w:space="0" w:color="auto"/>
        <w:left w:val="none" w:sz="0" w:space="0" w:color="auto"/>
        <w:bottom w:val="none" w:sz="0" w:space="0" w:color="auto"/>
        <w:right w:val="none" w:sz="0" w:space="0" w:color="auto"/>
      </w:divBdr>
    </w:div>
    <w:div w:id="1108935180">
      <w:bodyDiv w:val="1"/>
      <w:marLeft w:val="0"/>
      <w:marRight w:val="0"/>
      <w:marTop w:val="0"/>
      <w:marBottom w:val="0"/>
      <w:divBdr>
        <w:top w:val="none" w:sz="0" w:space="0" w:color="auto"/>
        <w:left w:val="none" w:sz="0" w:space="0" w:color="auto"/>
        <w:bottom w:val="none" w:sz="0" w:space="0" w:color="auto"/>
        <w:right w:val="none" w:sz="0" w:space="0" w:color="auto"/>
      </w:divBdr>
    </w:div>
    <w:div w:id="1136948296">
      <w:bodyDiv w:val="1"/>
      <w:marLeft w:val="0"/>
      <w:marRight w:val="0"/>
      <w:marTop w:val="0"/>
      <w:marBottom w:val="0"/>
      <w:divBdr>
        <w:top w:val="none" w:sz="0" w:space="0" w:color="auto"/>
        <w:left w:val="none" w:sz="0" w:space="0" w:color="auto"/>
        <w:bottom w:val="none" w:sz="0" w:space="0" w:color="auto"/>
        <w:right w:val="none" w:sz="0" w:space="0" w:color="auto"/>
      </w:divBdr>
    </w:div>
    <w:div w:id="1215312702">
      <w:bodyDiv w:val="1"/>
      <w:marLeft w:val="0"/>
      <w:marRight w:val="0"/>
      <w:marTop w:val="0"/>
      <w:marBottom w:val="0"/>
      <w:divBdr>
        <w:top w:val="none" w:sz="0" w:space="0" w:color="auto"/>
        <w:left w:val="none" w:sz="0" w:space="0" w:color="auto"/>
        <w:bottom w:val="none" w:sz="0" w:space="0" w:color="auto"/>
        <w:right w:val="none" w:sz="0" w:space="0" w:color="auto"/>
      </w:divBdr>
    </w:div>
    <w:div w:id="1245913441">
      <w:bodyDiv w:val="1"/>
      <w:marLeft w:val="0"/>
      <w:marRight w:val="0"/>
      <w:marTop w:val="0"/>
      <w:marBottom w:val="0"/>
      <w:divBdr>
        <w:top w:val="none" w:sz="0" w:space="0" w:color="auto"/>
        <w:left w:val="none" w:sz="0" w:space="0" w:color="auto"/>
        <w:bottom w:val="none" w:sz="0" w:space="0" w:color="auto"/>
        <w:right w:val="none" w:sz="0" w:space="0" w:color="auto"/>
      </w:divBdr>
    </w:div>
    <w:div w:id="1256866640">
      <w:bodyDiv w:val="1"/>
      <w:marLeft w:val="0"/>
      <w:marRight w:val="0"/>
      <w:marTop w:val="0"/>
      <w:marBottom w:val="0"/>
      <w:divBdr>
        <w:top w:val="none" w:sz="0" w:space="0" w:color="auto"/>
        <w:left w:val="none" w:sz="0" w:space="0" w:color="auto"/>
        <w:bottom w:val="none" w:sz="0" w:space="0" w:color="auto"/>
        <w:right w:val="none" w:sz="0" w:space="0" w:color="auto"/>
      </w:divBdr>
    </w:div>
    <w:div w:id="1288900637">
      <w:bodyDiv w:val="1"/>
      <w:marLeft w:val="0"/>
      <w:marRight w:val="0"/>
      <w:marTop w:val="0"/>
      <w:marBottom w:val="0"/>
      <w:divBdr>
        <w:top w:val="none" w:sz="0" w:space="0" w:color="auto"/>
        <w:left w:val="none" w:sz="0" w:space="0" w:color="auto"/>
        <w:bottom w:val="none" w:sz="0" w:space="0" w:color="auto"/>
        <w:right w:val="none" w:sz="0" w:space="0" w:color="auto"/>
      </w:divBdr>
    </w:div>
    <w:div w:id="1309748583">
      <w:bodyDiv w:val="1"/>
      <w:marLeft w:val="0"/>
      <w:marRight w:val="0"/>
      <w:marTop w:val="0"/>
      <w:marBottom w:val="0"/>
      <w:divBdr>
        <w:top w:val="none" w:sz="0" w:space="0" w:color="auto"/>
        <w:left w:val="none" w:sz="0" w:space="0" w:color="auto"/>
        <w:bottom w:val="none" w:sz="0" w:space="0" w:color="auto"/>
        <w:right w:val="none" w:sz="0" w:space="0" w:color="auto"/>
      </w:divBdr>
    </w:div>
    <w:div w:id="1318533101">
      <w:bodyDiv w:val="1"/>
      <w:marLeft w:val="0"/>
      <w:marRight w:val="0"/>
      <w:marTop w:val="0"/>
      <w:marBottom w:val="0"/>
      <w:divBdr>
        <w:top w:val="none" w:sz="0" w:space="0" w:color="auto"/>
        <w:left w:val="none" w:sz="0" w:space="0" w:color="auto"/>
        <w:bottom w:val="none" w:sz="0" w:space="0" w:color="auto"/>
        <w:right w:val="none" w:sz="0" w:space="0" w:color="auto"/>
      </w:divBdr>
    </w:div>
    <w:div w:id="1320890660">
      <w:bodyDiv w:val="1"/>
      <w:marLeft w:val="0"/>
      <w:marRight w:val="0"/>
      <w:marTop w:val="0"/>
      <w:marBottom w:val="0"/>
      <w:divBdr>
        <w:top w:val="none" w:sz="0" w:space="0" w:color="auto"/>
        <w:left w:val="none" w:sz="0" w:space="0" w:color="auto"/>
        <w:bottom w:val="none" w:sz="0" w:space="0" w:color="auto"/>
        <w:right w:val="none" w:sz="0" w:space="0" w:color="auto"/>
      </w:divBdr>
    </w:div>
    <w:div w:id="1330258661">
      <w:bodyDiv w:val="1"/>
      <w:marLeft w:val="0"/>
      <w:marRight w:val="0"/>
      <w:marTop w:val="0"/>
      <w:marBottom w:val="0"/>
      <w:divBdr>
        <w:top w:val="none" w:sz="0" w:space="0" w:color="auto"/>
        <w:left w:val="none" w:sz="0" w:space="0" w:color="auto"/>
        <w:bottom w:val="none" w:sz="0" w:space="0" w:color="auto"/>
        <w:right w:val="none" w:sz="0" w:space="0" w:color="auto"/>
      </w:divBdr>
    </w:div>
    <w:div w:id="1341590048">
      <w:bodyDiv w:val="1"/>
      <w:marLeft w:val="0"/>
      <w:marRight w:val="0"/>
      <w:marTop w:val="0"/>
      <w:marBottom w:val="0"/>
      <w:divBdr>
        <w:top w:val="none" w:sz="0" w:space="0" w:color="auto"/>
        <w:left w:val="none" w:sz="0" w:space="0" w:color="auto"/>
        <w:bottom w:val="none" w:sz="0" w:space="0" w:color="auto"/>
        <w:right w:val="none" w:sz="0" w:space="0" w:color="auto"/>
      </w:divBdr>
    </w:div>
    <w:div w:id="1399135927">
      <w:bodyDiv w:val="1"/>
      <w:marLeft w:val="0"/>
      <w:marRight w:val="0"/>
      <w:marTop w:val="0"/>
      <w:marBottom w:val="0"/>
      <w:divBdr>
        <w:top w:val="none" w:sz="0" w:space="0" w:color="auto"/>
        <w:left w:val="none" w:sz="0" w:space="0" w:color="auto"/>
        <w:bottom w:val="none" w:sz="0" w:space="0" w:color="auto"/>
        <w:right w:val="none" w:sz="0" w:space="0" w:color="auto"/>
      </w:divBdr>
    </w:div>
    <w:div w:id="1431001732">
      <w:bodyDiv w:val="1"/>
      <w:marLeft w:val="0"/>
      <w:marRight w:val="0"/>
      <w:marTop w:val="0"/>
      <w:marBottom w:val="0"/>
      <w:divBdr>
        <w:top w:val="none" w:sz="0" w:space="0" w:color="auto"/>
        <w:left w:val="none" w:sz="0" w:space="0" w:color="auto"/>
        <w:bottom w:val="none" w:sz="0" w:space="0" w:color="auto"/>
        <w:right w:val="none" w:sz="0" w:space="0" w:color="auto"/>
      </w:divBdr>
    </w:div>
    <w:div w:id="1432048341">
      <w:bodyDiv w:val="1"/>
      <w:marLeft w:val="0"/>
      <w:marRight w:val="0"/>
      <w:marTop w:val="0"/>
      <w:marBottom w:val="0"/>
      <w:divBdr>
        <w:top w:val="none" w:sz="0" w:space="0" w:color="auto"/>
        <w:left w:val="none" w:sz="0" w:space="0" w:color="auto"/>
        <w:bottom w:val="none" w:sz="0" w:space="0" w:color="auto"/>
        <w:right w:val="none" w:sz="0" w:space="0" w:color="auto"/>
      </w:divBdr>
    </w:div>
    <w:div w:id="1437139596">
      <w:bodyDiv w:val="1"/>
      <w:marLeft w:val="0"/>
      <w:marRight w:val="0"/>
      <w:marTop w:val="0"/>
      <w:marBottom w:val="0"/>
      <w:divBdr>
        <w:top w:val="none" w:sz="0" w:space="0" w:color="auto"/>
        <w:left w:val="none" w:sz="0" w:space="0" w:color="auto"/>
        <w:bottom w:val="none" w:sz="0" w:space="0" w:color="auto"/>
        <w:right w:val="none" w:sz="0" w:space="0" w:color="auto"/>
      </w:divBdr>
    </w:div>
    <w:div w:id="1443183618">
      <w:bodyDiv w:val="1"/>
      <w:marLeft w:val="0"/>
      <w:marRight w:val="0"/>
      <w:marTop w:val="0"/>
      <w:marBottom w:val="0"/>
      <w:divBdr>
        <w:top w:val="none" w:sz="0" w:space="0" w:color="auto"/>
        <w:left w:val="none" w:sz="0" w:space="0" w:color="auto"/>
        <w:bottom w:val="none" w:sz="0" w:space="0" w:color="auto"/>
        <w:right w:val="none" w:sz="0" w:space="0" w:color="auto"/>
      </w:divBdr>
    </w:div>
    <w:div w:id="1484195995">
      <w:bodyDiv w:val="1"/>
      <w:marLeft w:val="0"/>
      <w:marRight w:val="0"/>
      <w:marTop w:val="0"/>
      <w:marBottom w:val="0"/>
      <w:divBdr>
        <w:top w:val="none" w:sz="0" w:space="0" w:color="auto"/>
        <w:left w:val="none" w:sz="0" w:space="0" w:color="auto"/>
        <w:bottom w:val="none" w:sz="0" w:space="0" w:color="auto"/>
        <w:right w:val="none" w:sz="0" w:space="0" w:color="auto"/>
      </w:divBdr>
    </w:div>
    <w:div w:id="1515459294">
      <w:bodyDiv w:val="1"/>
      <w:marLeft w:val="0"/>
      <w:marRight w:val="0"/>
      <w:marTop w:val="0"/>
      <w:marBottom w:val="0"/>
      <w:divBdr>
        <w:top w:val="none" w:sz="0" w:space="0" w:color="auto"/>
        <w:left w:val="none" w:sz="0" w:space="0" w:color="auto"/>
        <w:bottom w:val="none" w:sz="0" w:space="0" w:color="auto"/>
        <w:right w:val="none" w:sz="0" w:space="0" w:color="auto"/>
      </w:divBdr>
    </w:div>
    <w:div w:id="1531333497">
      <w:bodyDiv w:val="1"/>
      <w:marLeft w:val="0"/>
      <w:marRight w:val="0"/>
      <w:marTop w:val="0"/>
      <w:marBottom w:val="0"/>
      <w:divBdr>
        <w:top w:val="none" w:sz="0" w:space="0" w:color="auto"/>
        <w:left w:val="none" w:sz="0" w:space="0" w:color="auto"/>
        <w:bottom w:val="none" w:sz="0" w:space="0" w:color="auto"/>
        <w:right w:val="none" w:sz="0" w:space="0" w:color="auto"/>
      </w:divBdr>
    </w:div>
    <w:div w:id="1612660941">
      <w:bodyDiv w:val="1"/>
      <w:marLeft w:val="0"/>
      <w:marRight w:val="0"/>
      <w:marTop w:val="0"/>
      <w:marBottom w:val="0"/>
      <w:divBdr>
        <w:top w:val="none" w:sz="0" w:space="0" w:color="auto"/>
        <w:left w:val="none" w:sz="0" w:space="0" w:color="auto"/>
        <w:bottom w:val="none" w:sz="0" w:space="0" w:color="auto"/>
        <w:right w:val="none" w:sz="0" w:space="0" w:color="auto"/>
      </w:divBdr>
    </w:div>
    <w:div w:id="1701584339">
      <w:bodyDiv w:val="1"/>
      <w:marLeft w:val="0"/>
      <w:marRight w:val="0"/>
      <w:marTop w:val="0"/>
      <w:marBottom w:val="0"/>
      <w:divBdr>
        <w:top w:val="none" w:sz="0" w:space="0" w:color="auto"/>
        <w:left w:val="none" w:sz="0" w:space="0" w:color="auto"/>
        <w:bottom w:val="none" w:sz="0" w:space="0" w:color="auto"/>
        <w:right w:val="none" w:sz="0" w:space="0" w:color="auto"/>
      </w:divBdr>
    </w:div>
    <w:div w:id="1727296258">
      <w:bodyDiv w:val="1"/>
      <w:marLeft w:val="0"/>
      <w:marRight w:val="0"/>
      <w:marTop w:val="0"/>
      <w:marBottom w:val="0"/>
      <w:divBdr>
        <w:top w:val="none" w:sz="0" w:space="0" w:color="auto"/>
        <w:left w:val="none" w:sz="0" w:space="0" w:color="auto"/>
        <w:bottom w:val="none" w:sz="0" w:space="0" w:color="auto"/>
        <w:right w:val="none" w:sz="0" w:space="0" w:color="auto"/>
      </w:divBdr>
    </w:div>
    <w:div w:id="1758400972">
      <w:bodyDiv w:val="1"/>
      <w:marLeft w:val="0"/>
      <w:marRight w:val="0"/>
      <w:marTop w:val="0"/>
      <w:marBottom w:val="0"/>
      <w:divBdr>
        <w:top w:val="none" w:sz="0" w:space="0" w:color="auto"/>
        <w:left w:val="none" w:sz="0" w:space="0" w:color="auto"/>
        <w:bottom w:val="none" w:sz="0" w:space="0" w:color="auto"/>
        <w:right w:val="none" w:sz="0" w:space="0" w:color="auto"/>
      </w:divBdr>
    </w:div>
    <w:div w:id="1760250408">
      <w:bodyDiv w:val="1"/>
      <w:marLeft w:val="0"/>
      <w:marRight w:val="0"/>
      <w:marTop w:val="0"/>
      <w:marBottom w:val="0"/>
      <w:divBdr>
        <w:top w:val="none" w:sz="0" w:space="0" w:color="auto"/>
        <w:left w:val="none" w:sz="0" w:space="0" w:color="auto"/>
        <w:bottom w:val="none" w:sz="0" w:space="0" w:color="auto"/>
        <w:right w:val="none" w:sz="0" w:space="0" w:color="auto"/>
      </w:divBdr>
    </w:div>
    <w:div w:id="1768621979">
      <w:bodyDiv w:val="1"/>
      <w:marLeft w:val="0"/>
      <w:marRight w:val="0"/>
      <w:marTop w:val="0"/>
      <w:marBottom w:val="0"/>
      <w:divBdr>
        <w:top w:val="none" w:sz="0" w:space="0" w:color="auto"/>
        <w:left w:val="none" w:sz="0" w:space="0" w:color="auto"/>
        <w:bottom w:val="none" w:sz="0" w:space="0" w:color="auto"/>
        <w:right w:val="none" w:sz="0" w:space="0" w:color="auto"/>
      </w:divBdr>
    </w:div>
    <w:div w:id="1792939893">
      <w:bodyDiv w:val="1"/>
      <w:marLeft w:val="0"/>
      <w:marRight w:val="0"/>
      <w:marTop w:val="0"/>
      <w:marBottom w:val="0"/>
      <w:divBdr>
        <w:top w:val="none" w:sz="0" w:space="0" w:color="auto"/>
        <w:left w:val="none" w:sz="0" w:space="0" w:color="auto"/>
        <w:bottom w:val="none" w:sz="0" w:space="0" w:color="auto"/>
        <w:right w:val="none" w:sz="0" w:space="0" w:color="auto"/>
      </w:divBdr>
    </w:div>
    <w:div w:id="1827041446">
      <w:bodyDiv w:val="1"/>
      <w:marLeft w:val="0"/>
      <w:marRight w:val="0"/>
      <w:marTop w:val="0"/>
      <w:marBottom w:val="0"/>
      <w:divBdr>
        <w:top w:val="none" w:sz="0" w:space="0" w:color="auto"/>
        <w:left w:val="none" w:sz="0" w:space="0" w:color="auto"/>
        <w:bottom w:val="none" w:sz="0" w:space="0" w:color="auto"/>
        <w:right w:val="none" w:sz="0" w:space="0" w:color="auto"/>
      </w:divBdr>
    </w:div>
    <w:div w:id="1828208959">
      <w:bodyDiv w:val="1"/>
      <w:marLeft w:val="0"/>
      <w:marRight w:val="0"/>
      <w:marTop w:val="0"/>
      <w:marBottom w:val="0"/>
      <w:divBdr>
        <w:top w:val="none" w:sz="0" w:space="0" w:color="auto"/>
        <w:left w:val="none" w:sz="0" w:space="0" w:color="auto"/>
        <w:bottom w:val="none" w:sz="0" w:space="0" w:color="auto"/>
        <w:right w:val="none" w:sz="0" w:space="0" w:color="auto"/>
      </w:divBdr>
    </w:div>
    <w:div w:id="1833331105">
      <w:bodyDiv w:val="1"/>
      <w:marLeft w:val="0"/>
      <w:marRight w:val="0"/>
      <w:marTop w:val="0"/>
      <w:marBottom w:val="0"/>
      <w:divBdr>
        <w:top w:val="none" w:sz="0" w:space="0" w:color="auto"/>
        <w:left w:val="none" w:sz="0" w:space="0" w:color="auto"/>
        <w:bottom w:val="none" w:sz="0" w:space="0" w:color="auto"/>
        <w:right w:val="none" w:sz="0" w:space="0" w:color="auto"/>
      </w:divBdr>
    </w:div>
    <w:div w:id="1896769649">
      <w:bodyDiv w:val="1"/>
      <w:marLeft w:val="0"/>
      <w:marRight w:val="0"/>
      <w:marTop w:val="0"/>
      <w:marBottom w:val="0"/>
      <w:divBdr>
        <w:top w:val="none" w:sz="0" w:space="0" w:color="auto"/>
        <w:left w:val="none" w:sz="0" w:space="0" w:color="auto"/>
        <w:bottom w:val="none" w:sz="0" w:space="0" w:color="auto"/>
        <w:right w:val="none" w:sz="0" w:space="0" w:color="auto"/>
      </w:divBdr>
    </w:div>
    <w:div w:id="1907035696">
      <w:bodyDiv w:val="1"/>
      <w:marLeft w:val="0"/>
      <w:marRight w:val="0"/>
      <w:marTop w:val="0"/>
      <w:marBottom w:val="0"/>
      <w:divBdr>
        <w:top w:val="none" w:sz="0" w:space="0" w:color="auto"/>
        <w:left w:val="none" w:sz="0" w:space="0" w:color="auto"/>
        <w:bottom w:val="none" w:sz="0" w:space="0" w:color="auto"/>
        <w:right w:val="none" w:sz="0" w:space="0" w:color="auto"/>
      </w:divBdr>
    </w:div>
    <w:div w:id="1914461444">
      <w:bodyDiv w:val="1"/>
      <w:marLeft w:val="0"/>
      <w:marRight w:val="0"/>
      <w:marTop w:val="0"/>
      <w:marBottom w:val="0"/>
      <w:divBdr>
        <w:top w:val="none" w:sz="0" w:space="0" w:color="auto"/>
        <w:left w:val="none" w:sz="0" w:space="0" w:color="auto"/>
        <w:bottom w:val="none" w:sz="0" w:space="0" w:color="auto"/>
        <w:right w:val="none" w:sz="0" w:space="0" w:color="auto"/>
      </w:divBdr>
    </w:div>
    <w:div w:id="1951349889">
      <w:bodyDiv w:val="1"/>
      <w:marLeft w:val="0"/>
      <w:marRight w:val="0"/>
      <w:marTop w:val="0"/>
      <w:marBottom w:val="0"/>
      <w:divBdr>
        <w:top w:val="none" w:sz="0" w:space="0" w:color="auto"/>
        <w:left w:val="none" w:sz="0" w:space="0" w:color="auto"/>
        <w:bottom w:val="none" w:sz="0" w:space="0" w:color="auto"/>
        <w:right w:val="none" w:sz="0" w:space="0" w:color="auto"/>
      </w:divBdr>
    </w:div>
    <w:div w:id="2003971448">
      <w:bodyDiv w:val="1"/>
      <w:marLeft w:val="0"/>
      <w:marRight w:val="0"/>
      <w:marTop w:val="0"/>
      <w:marBottom w:val="0"/>
      <w:divBdr>
        <w:top w:val="none" w:sz="0" w:space="0" w:color="auto"/>
        <w:left w:val="none" w:sz="0" w:space="0" w:color="auto"/>
        <w:bottom w:val="none" w:sz="0" w:space="0" w:color="auto"/>
        <w:right w:val="none" w:sz="0" w:space="0" w:color="auto"/>
      </w:divBdr>
    </w:div>
    <w:div w:id="2035692835">
      <w:bodyDiv w:val="1"/>
      <w:marLeft w:val="0"/>
      <w:marRight w:val="0"/>
      <w:marTop w:val="0"/>
      <w:marBottom w:val="0"/>
      <w:divBdr>
        <w:top w:val="none" w:sz="0" w:space="0" w:color="auto"/>
        <w:left w:val="none" w:sz="0" w:space="0" w:color="auto"/>
        <w:bottom w:val="none" w:sz="0" w:space="0" w:color="auto"/>
        <w:right w:val="none" w:sz="0" w:space="0" w:color="auto"/>
      </w:divBdr>
    </w:div>
    <w:div w:id="2036228312">
      <w:bodyDiv w:val="1"/>
      <w:marLeft w:val="0"/>
      <w:marRight w:val="0"/>
      <w:marTop w:val="0"/>
      <w:marBottom w:val="0"/>
      <w:divBdr>
        <w:top w:val="none" w:sz="0" w:space="0" w:color="auto"/>
        <w:left w:val="none" w:sz="0" w:space="0" w:color="auto"/>
        <w:bottom w:val="none" w:sz="0" w:space="0" w:color="auto"/>
        <w:right w:val="none" w:sz="0" w:space="0" w:color="auto"/>
      </w:divBdr>
    </w:div>
    <w:div w:id="2077849371">
      <w:bodyDiv w:val="1"/>
      <w:marLeft w:val="0"/>
      <w:marRight w:val="0"/>
      <w:marTop w:val="0"/>
      <w:marBottom w:val="0"/>
      <w:divBdr>
        <w:top w:val="none" w:sz="0" w:space="0" w:color="auto"/>
        <w:left w:val="none" w:sz="0" w:space="0" w:color="auto"/>
        <w:bottom w:val="none" w:sz="0" w:space="0" w:color="auto"/>
        <w:right w:val="none" w:sz="0" w:space="0" w:color="auto"/>
      </w:divBdr>
    </w:div>
    <w:div w:id="2087994067">
      <w:bodyDiv w:val="1"/>
      <w:marLeft w:val="0"/>
      <w:marRight w:val="0"/>
      <w:marTop w:val="0"/>
      <w:marBottom w:val="0"/>
      <w:divBdr>
        <w:top w:val="none" w:sz="0" w:space="0" w:color="auto"/>
        <w:left w:val="none" w:sz="0" w:space="0" w:color="auto"/>
        <w:bottom w:val="none" w:sz="0" w:space="0" w:color="auto"/>
        <w:right w:val="none" w:sz="0" w:space="0" w:color="auto"/>
      </w:divBdr>
    </w:div>
    <w:div w:id="212811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ukushima_Daiichi_nuclear_disas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c.europa.eu/newsroom/document.cfm?doc_id=44639"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zpravy.idnes.cz/z-neratovicke-spolany-unikla-kyselina-dhv-/domaci.aspx?c=A001120_104949_domaci_jpl" TargetMode="External"/><Relationship Id="rId13" Type="http://schemas.openxmlformats.org/officeDocument/2006/relationships/hyperlink" Target="https://www.tipcars.com/magazin/aktuality/cesti-spotrebitele-zaluji-kvuli-afere-dieselgate-skodu-i-volkswagen-o-nahradu-skody-az-21-miliard.html" TargetMode="External"/><Relationship Id="rId3" Type="http://schemas.openxmlformats.org/officeDocument/2006/relationships/hyperlink" Target="http://www.spiegel.de/wirtschaft/service/kreditbearbeitung-gebuehren-sind-unzulaessig-a-1001688.html" TargetMode="External"/><Relationship Id="rId7" Type="http://schemas.openxmlformats.org/officeDocument/2006/relationships/hyperlink" Target="https://www.stream.cz/adost/10016204-kurvitka-proc-se-spotrebic-pokazi-kratce-po-skonceni-zarucni-lhuty" TargetMode="External"/><Relationship Id="rId12" Type="http://schemas.openxmlformats.org/officeDocument/2006/relationships/hyperlink" Target="http://www.spolecnaobrana.net/" TargetMode="External"/><Relationship Id="rId2" Type="http://schemas.openxmlformats.org/officeDocument/2006/relationships/hyperlink" Target="https://www.economist.com/news/briefing/21721634-how-it-shaping-up-data-giving-rise-new-economy" TargetMode="External"/><Relationship Id="rId1" Type="http://schemas.openxmlformats.org/officeDocument/2006/relationships/hyperlink" Target="https://www.economist.com/news/leaders/21721656-data-economy-demands-new-approach-antitrust-rules-worlds-most-valuable-resource" TargetMode="External"/><Relationship Id="rId6" Type="http://schemas.openxmlformats.org/officeDocument/2006/relationships/hyperlink" Target="http://www.ceskatelevize.cz/ct24/svet/2047656-stejny-obal-ale-horsi-kvalita-potravin-nez-v-nemecku-v4-tlaci-na-evropskou-komisi-aby" TargetMode="External"/><Relationship Id="rId11" Type="http://schemas.openxmlformats.org/officeDocument/2006/relationships/hyperlink" Target="https://en.wikipedia.org/wiki/Fukushima_Daiichi_nuclear_disaster" TargetMode="External"/><Relationship Id="rId5" Type="http://schemas.openxmlformats.org/officeDocument/2006/relationships/hyperlink" Target="http://ekonomika.idnes.cz/korea-po-skandalu-s-emisemi-prekontroluje-vozy-vw-a-audi-pkt-/eko-zahranicni.aspx?c=A150922_092217_ekonomika_rts" TargetMode="External"/><Relationship Id="rId15" Type="http://schemas.openxmlformats.org/officeDocument/2006/relationships/hyperlink" Target="https://safediesel.cz/cs/aktuality?shareId=142" TargetMode="External"/><Relationship Id="rId10" Type="http://schemas.openxmlformats.org/officeDocument/2006/relationships/hyperlink" Target="https://en.wikipedia.org/wiki/Deepwater_Horizon_oil_spill" TargetMode="External"/><Relationship Id="rId4" Type="http://schemas.openxmlformats.org/officeDocument/2006/relationships/hyperlink" Target="http://pravniradce.ihned.cz/c1-65404080-ctu-uctuje-vam-operator-za-obnovu-dat-bez-souhlasu-penize-vam-vrati" TargetMode="External"/><Relationship Id="rId9" Type="http://schemas.openxmlformats.org/officeDocument/2006/relationships/hyperlink" Target="http://frankbold.org/pro-media/tiskova-zprava/zlepsi-se-stav-ovzdusi-na-ostravsku-jeste-pred-rokem-2020" TargetMode="External"/><Relationship Id="rId14" Type="http://schemas.openxmlformats.org/officeDocument/2006/relationships/hyperlink" Target="https://de.wikipedia.org/wiki/Abgasskandal"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esta">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5B7B-FECD-4F07-9DDD-F1314DAD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18713</Words>
  <Characters>110407</Characters>
  <Application>Microsoft Office Word</Application>
  <DocSecurity>0</DocSecurity>
  <Lines>920</Lines>
  <Paragraphs>257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MSP ČR</Company>
  <LinksUpToDate>false</LinksUpToDate>
  <CharactersWithSpaces>128863</CharactersWithSpaces>
  <SharedDoc>false</SharedDoc>
  <HLinks>
    <vt:vector size="6" baseType="variant">
      <vt:variant>
        <vt:i4>6881288</vt:i4>
      </vt:variant>
      <vt:variant>
        <vt:i4>7</vt:i4>
      </vt:variant>
      <vt:variant>
        <vt:i4>0</vt:i4>
      </vt:variant>
      <vt:variant>
        <vt:i4>5</vt:i4>
      </vt:variant>
      <vt:variant>
        <vt:lpwstr>mailto:bpecivova@msp.justice.cz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JSosna</dc:creator>
  <cp:lastModifiedBy>Petr Dimun</cp:lastModifiedBy>
  <cp:revision>2</cp:revision>
  <cp:lastPrinted>2017-07-14T12:21:00Z</cp:lastPrinted>
  <dcterms:created xsi:type="dcterms:W3CDTF">2017-09-27T12:27:00Z</dcterms:created>
  <dcterms:modified xsi:type="dcterms:W3CDTF">2017-09-27T12:27:00Z</dcterms:modified>
</cp:coreProperties>
</file>